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726"/>
        <w:gridCol w:w="6366"/>
      </w:tblGrid>
      <w:tr>
        <w:trPr>
          <w:trHeight w:val="1785" w:hRule="atLeast"/>
        </w:trPr>
        <w:tc>
          <w:tcPr>
            <w:tcW w:w="2726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09090" cy="1024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40" t="29380" r="57292" b="55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>
                <w:szCs w:val="28"/>
              </w:rPr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16"/>
              <w:widowControl/>
              <w:spacing w:lineRule="auto" w:line="240"/>
              <w:ind w:left="6" w:hanging="0"/>
              <w:jc w:val="center"/>
              <w:rPr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Normal"/>
        <w:ind w:left="5940" w:hanging="0"/>
        <w:rPr>
          <w:sz w:val="28"/>
          <w:szCs w:val="28"/>
        </w:rPr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 образовательной программы: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Форма обучения: </w:t>
      </w:r>
    </w:p>
    <w:p>
      <w:pPr>
        <w:pStyle w:val="Normal"/>
        <w:tabs>
          <w:tab w:val="clear" w:pos="708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5" w:name="spec_kind"/>
      <w:bookmarkEnd w:id="5"/>
      <w:r>
        <w:rPr>
          <w:sz w:val="28"/>
          <w:szCs w:val="28"/>
        </w:rPr>
        <w:t xml:space="preserve"> </w:t>
      </w:r>
      <w:bookmarkStart w:id="6" w:name="spec"/>
      <w:bookmarkEnd w:id="6"/>
    </w:p>
    <w:p>
      <w:pPr>
        <w:pStyle w:val="Normal"/>
        <w:tabs>
          <w:tab w:val="clear" w:pos="708"/>
          <w:tab w:val="left" w:pos="2820" w:leader="none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Направленность (профиль):  </w:t>
      </w:r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7" w:name="degree_kind"/>
      <w:bookmarkStart w:id="8" w:name="degree_kind"/>
      <w:bookmarkEnd w:id="8"/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9" w:name="stamp"/>
      <w:bookmarkStart w:id="10" w:name="stamp"/>
      <w:bookmarkEnd w:id="10"/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Орел  </w:t>
      </w:r>
      <w:bookmarkStart w:id="11" w:name="year"/>
      <w:bookmarkEnd w:id="11"/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11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Автор </w:t>
      </w:r>
      <w:bookmarkStart w:id="12" w:name="author_back_sign"/>
      <w:bookmarkEnd w:id="12"/>
    </w:p>
    <w:p>
      <w:pPr>
        <w:pStyle w:val="Normal"/>
        <w:jc w:val="both"/>
        <w:rPr>
          <w:color w:val="000000"/>
          <w:spacing w:val="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Рецензент </w:t>
      </w:r>
      <w:bookmarkStart w:id="13" w:name="reviewer_back"/>
      <w:bookmarkEnd w:id="13"/>
    </w:p>
    <w:p>
      <w:pPr>
        <w:pStyle w:val="Normal"/>
        <w:shd w:val="clear" w:color="auto" w:fill="FFFFFF" w:themeFill="background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Рабочая программа разработана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Российской Федерации от 12.03.2015 №207 по направлению подготовки  </w:t>
      </w:r>
      <w:bookmarkStart w:id="14" w:name="spec_back"/>
      <w:bookmarkEnd w:id="14"/>
    </w:p>
    <w:p>
      <w:pPr>
        <w:pStyle w:val="Normal"/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обсуждена на заседании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согласована с , за которой закреплено направление подготовки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НМС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5"/>
        <w:gridCol w:w="1939"/>
      </w:tblGrid>
      <w:tr>
        <w:trPr>
          <w:trHeight w:val="684" w:hRule="atLeast"/>
        </w:trPr>
        <w:tc>
          <w:tcPr>
            <w:tcW w:w="74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НМС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Indent2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Содержание</w:t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 w:val="false"/>
          <w:b w:val="false"/>
        </w:rPr>
      </w:pPr>
      <w:r>
        <w:rPr>
          <w:b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1 Цели и задачи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2 Место дисциплины в структуре образовательной программы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3 Планируемые результаты обучения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4 Структура дисциплины  и распределение её трудоёмкости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5 Содержание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 xml:space="preserve">6 Методические указания для обучающихся по освоению дисциплины  </w:t>
          </w:r>
          <w:r>
            <w:rPr>
              <w:bCs/>
              <w:szCs w:val="28"/>
            </w:rPr>
            <w:t>и учебно-методическое обеспечение самостоятельной работы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7 Фонд оценочных средств для проведения промежуточной аттестации обучающихся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8 Перечень основной и дополнительной учебной литературы, необходимой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8.1 Основная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8.2 Дополнительная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9 Перечень ресурсов информационно-телекоммуникационной сети «Интернет», необходимых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10 Перечень информационных технологий, используемых при осуществлении образовательного процесса по дисциплине</w:t>
            <w:tab/>
          </w:r>
        </w:p>
        <w:p>
          <w:pPr>
            <w:pStyle w:val="12"/>
            <w:rPr>
              <w:b/>
              <w:b/>
              <w:lang w:val="en-US"/>
            </w:rPr>
          </w:pPr>
          <w:r>
            <w:rPr/>
            <w:t>11 Материально-техническое обеспечение дисциплины</w:t>
            <w:tab/>
          </w:r>
          <w:r>
            <w:rPr/>
            <w:fldChar w:fldCharType="end"/>
          </w:r>
        </w:p>
      </w:sdtContent>
    </w:sdt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righ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15" w:name="introduction"/>
      <w:bookmarkStart w:id="16" w:name="introduction"/>
      <w:bookmarkEnd w:id="16"/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7" w:name="_Toc501490412"/>
      <w:r>
        <w:rPr/>
        <w:t xml:space="preserve">1 </w:t>
      </w:r>
      <w:bookmarkStart w:id="18" w:name="title_purpose"/>
      <w:bookmarkEnd w:id="18"/>
      <w:r>
        <w:rPr/>
        <w:t xml:space="preserve">Цели и задачи освоения дисциплины </w:t>
      </w:r>
      <w:bookmarkEnd w:id="17"/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 xml:space="preserve"/>
      </w:r>
    </w:p>
    <w:p>
      <w:pPr>
        <w:pStyle w:val="Normal"/>
        <w:widowControl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дисциплины:</w:t>
      </w:r>
    </w:p>
    <w:p>
      <w:pPr>
        <w:pStyle w:val="Normal"/>
        <w:tabs>
          <w:tab w:val="clear" w:pos="708"/>
          <w:tab w:val="left" w:pos="720" w:leader="none"/>
        </w:tabs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1.</w:t>
        <w:tab/>
        <w:t>Ознакомить обучающихся с понятиями и методами алгебры.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2.</w:t>
        <w:tab/>
        <w:t>Сформировать навыки решения профессионально-ориентированных задач с применением алгебраических методов.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3.</w:t>
        <w:tab/>
        <w:t>Сформировать представления о современных направлениях развития алгебры и возможностях её использования в современном информационном обществе.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9" w:name="_Toc501490413"/>
      <w:r>
        <w:rPr/>
        <w:t xml:space="preserve">2 </w:t>
      </w:r>
      <w:bookmarkStart w:id="20" w:name="title_area"/>
      <w:bookmarkEnd w:id="20"/>
      <w:r>
        <w:rPr/>
        <w:t xml:space="preserve">Место дисциплины в структуре </w:t>
      </w:r>
      <w:bookmarkEnd w:id="19"/>
      <w:r>
        <w:rPr/>
        <w:t>образовательной программы</w:t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/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21" w:name="_Toc501490414"/>
      <w:r>
        <w:rPr/>
        <w:t xml:space="preserve">3 </w:t>
      </w:r>
      <w:bookmarkStart w:id="22" w:name="title_comp"/>
      <w:bookmarkEnd w:id="22"/>
      <w:r>
        <w:rPr/>
        <w:t xml:space="preserve">Планируемые результаты обучения по дисциплине </w:t>
      </w:r>
      <w:bookmarkEnd w:id="21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tbl>
      <w:tblPr>
        <w:tblW w:w="934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56"/>
        <w:gridCol w:w="3561"/>
        <w:gridCol w:w="826"/>
        <w:gridCol w:w="4101"/>
      </w:tblGrid>
      <w:tr>
        <w:trPr/>
        <w:tc>
          <w:tcPr>
            <w:tcW w:w="4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  <w:lang w:val="en-US"/>
              </w:rPr>
            </w:pPr>
            <w:bookmarkStart w:id="23" w:name="comp"/>
            <w:bookmarkEnd w:id="23"/>
            <w:r>
              <w:rPr>
                <w:b/>
                <w:i/>
                <w:color w:val="000000"/>
                <w:spacing w:val="-2"/>
                <w:szCs w:val="28"/>
                <w:lang w:val="en-US"/>
              </w:rPr>
              <w:t>Формируемые компетенции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</w:rPr>
            </w:pPr>
            <w:r>
              <w:rPr>
                <w:b/>
                <w:i/>
                <w:color w:val="000000"/>
                <w:spacing w:val="-2"/>
                <w:szCs w:val="28"/>
              </w:rPr>
              <w:t>Планируемые результаты обучения по дисциплине</w:t>
            </w:r>
          </w:p>
        </w:tc>
      </w:tr>
      <w:tr>
        <w:trPr/>
        <w:tc>
          <w:tcPr>
            <w:tcW w:w="44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Требования к формируемым знаниям, умениям и навыкам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('УК-1. Способен осуществлятькритический анализпроблемных ситуаций наоснове системного подхода,вырабатывать стратегиюдействий',)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 Способен осуществлятькритический анализпроблемных ситуаций наоснове системного подхода,вырабатывать стратегиюдействий',)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('УК-1.1. Знать процедуры критического анализа, методики анализа результатов исследования и разработки стратегий проведения исследований, организации процесса принятия решения',)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('УК-1.2. Уметь принимать конкретные решения для повышения эффективности процедур анализа проблем, принятия решений и разработки стратегий',)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('УК-1.3.Владеть методиками постановки цели и определения способов ее достижения;  методиками разработки стратегий действий при проблемных ситуациях',)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('УК-2. Способен управлятьпроектом на всех этапах егожизненного цикла',)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 Способен управлятьпроектом на всех этапах егожизненного цикла',)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('УК-2.1.Знать методы управления проектами; этапы жизненного цикла проекта',)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('УК-2.2.Уметь 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 направления работ',)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('УК-2.3.Владеть навыками разработки проектов в избранной профессиональной сфере; методами оценки эффективности проекта, а также потребности в ресурсах',)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('УК-3.1.Знать методики формирования команд; методы эффективного руководства коллективами',)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('УК-3.2.Уметь разрабатывать командную стратегию; организовывать работу коллективов; управлять коллективом;разрабатывать мероприятия по личностному, образовательному и профессиональному росту',)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('УК-3.3.Владеть методами организации и управления коллективом, планированием его действий',)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('УК-4.1.Знать современные коммуникативные технологии, формы и методы коммуникации в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('УК-4.2.Уметь осуществлять коммуникацию в различных формах; обоснованно выбирать оптимальные средства коммуникации и коммуникационные технологии с учетом специфики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('УК-4.3.Владеть навыками применения современных коммуникационных технологий для профессионального взаимодействия',)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('УК-5.1.Знать национальные, конфессиональные и этнокультурные особенности и национальные традиции; основные принципы и нормы межкультурного взаимодействия',)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('УК-5.2.Уметь анализировать особенности межкультурного взаимодействия с учетом национальных, конфессиональных и этнокультурных особенностей и национальных традиций',)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('УК-5.3.Владеть приемами и средствами создания поликультурной среды для межкультурного взаимодействия в ходе решения задач профессиональной деятельности',)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('УК-6.1.Знать основные принципы профессионального и личностного развития, исходя из этапов карьерного роста и требований рынка труда; способы совершенствования своей деятельности на основе самооценки',)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('УК-6.2.Уметь решать задачи собственного профессионального и личностного развития, включая задачи изменения карьерной траектории; расставлять приоритеты',)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('УК-6.3.Владеть способами управления своей познавательной деятельностью и ее совершенствования на основе самооценки и принципов образования в течение всей жизни',)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24" w:name="_Toc501490415"/>
      <w:bookmarkStart w:id="25" w:name="_Toc501490415"/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color w:val="000000"/>
          <w:spacing w:val="-2"/>
        </w:rPr>
      </w:pPr>
      <w:r>
        <w:rPr/>
        <w:t xml:space="preserve">4 </w:t>
      </w:r>
      <w:bookmarkStart w:id="26" w:name="title_labour"/>
      <w:bookmarkEnd w:id="26"/>
      <w:r>
        <w:rPr/>
        <w:t>Структура дисциплины и распределение её трудоёмкости</w:t>
      </w:r>
      <w:bookmarkEnd w:id="25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27" w:name="labour"/>
      <w:bookmarkStart w:id="28" w:name="labour"/>
      <w:bookmarkEnd w:id="28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tbl>
      <w:tblPr>
        <w:tblW w:w="9359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59"/>
        <w:gridCol w:w="800"/>
        <w:gridCol w:w="802"/>
        <w:gridCol w:w="799"/>
        <w:gridCol w:w="800"/>
        <w:gridCol w:w="798"/>
        <w:gridCol w:w="800"/>
      </w:tblGrid>
      <w:tr>
        <w:trPr>
          <w:trHeight w:val="600" w:hRule="atLeast"/>
        </w:trPr>
        <w:tc>
          <w:tcPr>
            <w:tcW w:w="4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Вид учебной работы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Всего,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1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2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 Контактная работа, всего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Лекции (ЛК)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Практические занятия (ПР)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2 Самостоятельная работа (всего)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 Промежуточная аттестация (форма)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часах: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зачетных единицах: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lang w:val="en-US"/>
        </w:rPr>
      </w:pPr>
      <w:bookmarkStart w:id="29" w:name="_Toc501490416"/>
      <w:r>
        <w:rPr>
          <w:lang w:val="en-US"/>
        </w:rPr>
        <w:t xml:space="preserve">5 </w:t>
      </w:r>
      <w:bookmarkStart w:id="30" w:name="title_techn_card"/>
      <w:bookmarkEnd w:id="30"/>
      <w:r>
        <w:rPr>
          <w:lang w:val="en-US"/>
        </w:rPr>
        <w:t xml:space="preserve">Содержание дисциплины </w:t>
      </w:r>
      <w:bookmarkEnd w:id="2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31" w:name="techn_card_start"/>
      <w:bookmarkStart w:id="32" w:name="techn_card_start"/>
      <w:bookmarkEnd w:id="32"/>
    </w:p>
    <w:tbl>
      <w:tblPr>
        <w:tblW w:w="14788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9"/>
        <w:gridCol w:w="7069"/>
        <w:gridCol w:w="1930"/>
        <w:gridCol w:w="1930"/>
        <w:gridCol w:w="1930"/>
      </w:tblGrid>
      <w:tr>
        <w:trPr>
          <w:trHeight w:val="2832" w:hRule="atLeast"/>
          <w:cantSplit w:val="true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Вид и № занятия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Тема занятия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Контактная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Самостоятельная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Всего, час.</w:t>
            </w:r>
          </w:p>
        </w:tc>
      </w:tr>
      <w:tr>
        <w:trPr>
          <w:trHeight w:val="250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№1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№1 «Элемпенты теории множеств и математической логики»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математической логики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высказывания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высказываниями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Исключающее `или`. Предикаты. Операции над предикатами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теории множеств.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Понятие множества. Операции над множествами.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Нечеткие множества.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Бинарные отношения.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Декартово произведение множеств.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эквивалентности.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порядка.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Унарные отношения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отображения (функции)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Обратное отображение.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отображений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том, что композиция биективных отображений есть биективное отображение.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Высказывания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Множества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Доказательство равенства множеств.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Бинарные отношения.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математической индукции.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№2 «Основные алгебраические системы»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Группы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 групп.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Свойства, вытекающие из определения групп.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Группа классов-вычетов по модулю n.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Подгруппы, кольца,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подгруппы, признак подгруппы.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кольца и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Кольцо многочленов.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Поле комплексных чисел.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Поле комплексных чисел.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Вложение поля действительных чисел в поле комплексных.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Алгебраическая форма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Основная теорема алгебры.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Операции над комплексными числами.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Показательная и тригонометрическая форма комплексного числа.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Комплексно-сопряженные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Возведение комплексного числа в целую степень.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Извлечение корня n-ой степени из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Корни n-ой степени из единицы.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Подгруппы, кольца, поля.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Комплексные числа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комплексными числами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№3 «Матрицы, определители и системы линейных уравнений.»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Квадратная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Единичная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ассоциативности умножения матриц.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Перестановки n-го порядка.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Определитель квадратной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определителя. Свойства определителя.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Лапласа.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Ранг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Алгебраические векторы.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Алгебраическое векторное 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Системы линейных уравнений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СЛАУ.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Эквивалентные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Элементарные преобразования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Однородные 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Умножение матриц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Вычисление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Арифметические векторы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Крамера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Обратная матрица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52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№2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№4 «Векторные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Векторные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Примеры пространств.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Пересечение подпространств.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Пересечение подпространств. Линейная оболочка системы векторов.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Линейная 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и линейная независимость.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линейно зависимой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Построение линейно независимой подсистемы.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Размерность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Векторные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№5 «Линейные операторы»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Линейные операторы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изоморфизме линейных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существовании обратного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линейных операторов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линейных операторов.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 линейного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перехода от одного базиса к другому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координат при изменении базиса.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Характеристическая матрица и характеристический многочлен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Условия диагонализируемости матрицы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Линейные операторы и из свойства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Преобразования координат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№6 «Евклидовы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Евклидово пространство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Скалярное произведение.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Евклидово пространство.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Неравенство Коши-Буняковского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и ортонормированная система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Дополнительное подпространство.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Евклидовы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система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Ортогональное дополнение к подпространству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Анализ контрольных работ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Повторение и обобщение изученного материала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дисциплине: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Примечания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134" w:right="1134" w:header="709" w:top="1701" w:footer="709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sz w:val="28"/>
          <w:szCs w:val="28"/>
          <w:lang w:val="en-US"/>
        </w:rPr>
      </w:pPr>
      <w:bookmarkStart w:id="33" w:name="_Toc501490417"/>
      <w:r>
        <w:rPr/>
        <w:t xml:space="preserve">6 </w:t>
      </w:r>
      <w:bookmarkStart w:id="34" w:name="title_individ"/>
      <w:bookmarkEnd w:id="34"/>
      <w:r>
        <w:rPr/>
        <w:t xml:space="preserve">Методические указания для обучающихся по освоению дисциплины </w:t>
      </w:r>
      <w:bookmarkEnd w:id="33"/>
      <w:r>
        <w:rPr>
          <w:bCs/>
        </w:rPr>
        <w:t>и учебно-методическое обеспечение самостоятельной работы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bookmarkStart w:id="35" w:name="individual"/>
      <w:bookmarkEnd w:id="35"/>
      <w:r>
        <w:rPr>
          <w:rFonts w:cs="Times New Roman CYR" w:ascii="Times New Roman CYR" w:hAnsi="Times New Roman CYR"/>
          <w:sz w:val="28"/>
          <w:szCs w:val="28"/>
        </w:rPr>
        <w:t>1.Ознакомиться с общим тематическим планом лекционных и практических;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2.Самостоятельно прорабатывать уже пройденный материал лекционных и лабораторных занятий. При необходимости составить список вопрос и обратиться к преподавателю;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3.Перед изучением нового теоретического материала желательно заранее ознакомиться с содержанием предстоящей лекции. При необходимости составить список вопросов и обратиться к преподавателю.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4.Если в ходе рассмотрения нового теоретического или практического материала преподаватель ссылается на полученные ранее знания, умения или навыки, то рекомендуется их повторить;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5.Выполнять индивидуальные задания желательно не только в рамках учебных занятий;</w:t>
      </w:r>
    </w:p>
    <w:p>
      <w:pPr>
        <w:pStyle w:val="Normal"/>
        <w:widowControl w:val="false"/>
        <w:shd w:val="clear" w:color="auto" w:fill="FFFFFF"/>
        <w:suppressAutoHyphens w:val="true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6.Ознакомиться со списком литературы и интернет-ресурсов, рекомендуемых преподавателем для углубленного изучения либо дисциплины в целом, либо отдельных разделов.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36" w:name="ind_table"/>
      <w:bookmarkEnd w:id="36"/>
      <w:r>
        <w:rPr>
          <w:sz w:val="28"/>
          <w:szCs w:val="28"/>
        </w:rPr>
        <w:t>Учебно-методическое обеспечение самостоятельной работы студентов по дисциплине включает: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Линейная алгебра [Электронный ресурс] : практикум. Учебное пособие / Е.Б. Малышева [и др.]. – Электрон. текстовые данные. – М. : Московский государственный строительный университет, ЭБС АСВ, 2014. – 135 c. – 978-5-7264-0825-5. – Режим доступа: http://www.iprbookshop.ru/26858.html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Морозова Л.Е. Векторная алгебра [Электронный ресурс] : учебное пособие / Л.Е. Морозова, В.Б. Смирнова. – Электрон. текстовые данные. – СПб. : Санкт-Петербургский государственный архитектурно-строительный университет, ЭБС АСВ, 2014. – 120 c. – 978-5-9227-0476-2. – Режим доступа: http://www.iprbookshop.ru/26870.html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1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Л.Д. Линейная алгебра для экономистов [Электронный ресурс] : учебное пособие / Л.Д. Попов, М.М. Фоминых. – Электрон. текстовые данные. – Екатеринбург: Уральский федеральный университет, 2013. – 112 c. – 5-7996-0945-0. – Режим доступа: http://www.iprbookshop.ru/68344.html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37" w:name="_Toc501490418"/>
      <w:r>
        <w:rPr/>
        <w:t xml:space="preserve">7 </w:t>
      </w:r>
      <w:bookmarkStart w:id="38" w:name="title_mark"/>
      <w:bookmarkEnd w:id="38"/>
      <w:r>
        <w:rPr/>
        <w:t xml:space="preserve">Фонд оценочных средств для проведения промежуточной аттестации обучающихся по дисциплине </w:t>
      </w:r>
      <w:bookmarkEnd w:id="37"/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bookmarkStart w:id="39" w:name="mark"/>
      <w:bookmarkEnd w:id="39"/>
      <w:r>
        <w:rPr>
          <w:rFonts w:cs="Times New Roman CYR" w:ascii="Times New Roman CYR" w:hAnsi="Times New Roman CYR"/>
          <w:sz w:val="28"/>
          <w:szCs w:val="28"/>
        </w:rPr>
        <w:t>Фонд оценочных средств представлен в Приложении к рабочей программе.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40" w:name="_Toc501490419"/>
      <w:r>
        <w:rPr/>
        <w:t xml:space="preserve">8 </w:t>
      </w:r>
      <w:bookmarkStart w:id="41" w:name="title_lit"/>
      <w:bookmarkEnd w:id="41"/>
      <w:r>
        <w:rPr/>
        <w:t xml:space="preserve">Перечень основной и дополнительной учебной литературы, необходимой для освоения дисциплины </w:t>
      </w:r>
      <w:bookmarkEnd w:id="40"/>
    </w:p>
    <w:p>
      <w:pPr>
        <w:pStyle w:val="HeadWP"/>
        <w:ind w:firstLine="720"/>
        <w:jc w:val="left"/>
        <w:rPr>
          <w:bCs/>
        </w:rPr>
      </w:pPr>
      <w:r>
        <w:rPr>
          <w:bCs/>
        </w:rPr>
      </w:r>
    </w:p>
    <w:p>
      <w:pPr>
        <w:pStyle w:val="HeadWP"/>
        <w:numPr>
          <w:ilvl w:val="1"/>
          <w:numId w:val="4"/>
        </w:numPr>
        <w:jc w:val="left"/>
        <w:rPr>
          <w:b w:val="false"/>
          <w:b w:val="false"/>
          <w:bCs w:val="false"/>
        </w:rPr>
      </w:pPr>
      <w:bookmarkStart w:id="42" w:name="_Toc501490420"/>
      <w:bookmarkStart w:id="43" w:name="title_lit_osn"/>
      <w:bookmarkEnd w:id="43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Основная литература</w:t>
      </w:r>
      <w:bookmarkEnd w:id="42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Петришина И.Д. История России (1945 – 1985 гг.) : учебное пособие / Петришина И.Д.. — Липецк : Липецкий государственный педагогический университет имени П.П. Семёнова-Тян-Шанского, 2019. — 150 c. — ISBN 978-5-907168-71-8. — Текст : электронный // Электронно-библиотечная система IPR BOOKS : [сайт]. — URL: http://www.iprbookshop.ru/101002.html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 / Земцов Л.И., Шевченко И.А.. — 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/ Земцов Л.И., Шевченко И.А.. —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Филиппова Е.В. Изучение языковой теории в начальной школе : учебное пособие / Филиппова Е.В.. —  Липецк : Липецкий государственный педагогический университет имени П.П. Семёнова-Тян-Шанского, 2020. — 80 c. — ISBN 978-5-907168-76-3. — Текст : электронный // Электронно-библиотечная система IPR BOOKS : [сайт]. — URL: http://www.iprbookshop.ru/101001.html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0"/>
        <w:contextualSpacing/>
        <w:jc w:val="both"/>
        <w:rPr/>
      </w:pPr>
      <w:r>
        <w:rPr/>
      </w:r>
    </w:p>
    <w:p>
      <w:pPr>
        <w:pStyle w:val="HeadWP"/>
        <w:ind w:firstLine="720"/>
        <w:jc w:val="left"/>
        <w:rPr>
          <w:b w:val="false"/>
          <w:b w:val="false"/>
          <w:bCs/>
        </w:rPr>
      </w:pPr>
      <w:bookmarkStart w:id="44" w:name="_Toc501490421"/>
      <w:r>
        <w:rPr>
          <w:b w:val="false"/>
          <w:bCs w:val="false"/>
        </w:rPr>
        <w:t xml:space="preserve">8.2 </w:t>
      </w:r>
      <w:bookmarkStart w:id="45" w:name="title_lit_dop"/>
      <w:bookmarkEnd w:id="45"/>
      <w:r>
        <w:rPr>
          <w:b w:val="false"/>
          <w:bCs w:val="false"/>
        </w:rPr>
        <w:t>Дополнительная литература</w:t>
      </w:r>
      <w:bookmarkEnd w:id="44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Петришина И.Д. История России (1945 – 1985 гг.) : учебное пособие / Петришина И.Д.. — Липецк : Липецкий государственный педагогический университет имени П.П. Семёнова-Тян-Шанского, 2019. — 150 c. — ISBN 978-5-907168-71-8. — Текст : электронный // Электронно-библиотечная система IPR BOOKS : [сайт]. — URL: http://www.iprbookshop.ru/101002.html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 / Земцов Л.И., Шевченко И.А.. — 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Земцов Л.И. Потребление алкоголя и борьба за трезвость в великорусской деревне на рубеже XIX–XX веков / Земцов Л.И., Шевченко И.А.. —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Филиппова Е.В. Изучение языковой теории в начальной школе : учебное пособие / Филиппова Е.В.. —  Липецк : Липецкий государственный педагогический университет имени П.П. Семёнова-Тян-Шанского, 2020. — 80 c. — ISBN 978-5-907168-76-3. — Текст : электронный // Электронно-библиотечная система IPR BOOKS : [сайт]. — URL: http://www.iprbookshop.ru/101001.html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Autospacing="1" w:afterAutospacing="1"/>
        <w:rPr>
          <w:b/>
          <w:b/>
          <w:sz w:val="28"/>
        </w:rPr>
      </w:pPr>
      <w:bookmarkStart w:id="46" w:name="_GoBack"/>
      <w:bookmarkEnd w:id="46"/>
      <w:r>
        <w:rPr>
          <w:b/>
          <w:sz w:val="28"/>
        </w:rPr>
        <w:t>9. 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sz w:val="28"/>
        </w:rPr>
      </w:pPr>
      <w:r>
        <w:rPr>
          <w:sz w:val="28"/>
        </w:rPr>
        <w:t>Перечень электронно-библиотечных систем:</w:t>
      </w:r>
    </w:p>
    <w:p>
      <w:pPr>
        <w:pStyle w:val="Normal"/>
        <w:rPr>
          <w:sz w:val="28"/>
        </w:rPr>
      </w:pPr>
      <w:r>
        <w:rPr>
          <w:sz w:val="28"/>
        </w:rPr>
        <w:t xml:space="preserve">1. Электронно-библиотечная система IPRbooks http://www.iprbookshop.ru; </w:t>
      </w:r>
    </w:p>
    <w:p>
      <w:pPr>
        <w:pStyle w:val="Normal"/>
        <w:rPr>
          <w:sz w:val="28"/>
        </w:rPr>
      </w:pPr>
      <w:r>
        <w:rPr>
          <w:sz w:val="28"/>
        </w:rPr>
        <w:t>2. Научная электронная библиотека elibrary https://elibrary.ru;</w:t>
      </w:r>
    </w:p>
    <w:p>
      <w:pPr>
        <w:pStyle w:val="Normal"/>
        <w:rPr>
          <w:sz w:val="28"/>
        </w:rPr>
      </w:pPr>
      <w:r>
        <w:rPr>
          <w:sz w:val="28"/>
        </w:rPr>
        <w:t>3. «Электронная библиотека образовательных ресурсов (ЭБОР)»  http://elib.oreluniver.ru.</w:t>
      </w:r>
    </w:p>
    <w:p>
      <w:pPr>
        <w:pStyle w:val="Normal"/>
        <w:rPr>
          <w:sz w:val="28"/>
        </w:rPr>
      </w:pPr>
      <w:r>
        <w:rPr>
          <w:sz w:val="28"/>
        </w:rPr>
        <w:t>Перечень информационных справочных систем:</w:t>
      </w:r>
    </w:p>
    <w:p>
      <w:pPr>
        <w:pStyle w:val="Normal"/>
        <w:rPr>
          <w:sz w:val="28"/>
        </w:rPr>
      </w:pPr>
      <w:r>
        <w:rPr>
          <w:sz w:val="28"/>
        </w:rPr>
        <w:t>4. Справочно-правовая система «Консультант ПЛЮС».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rPr>
          <w:sz w:val="28"/>
        </w:rPr>
      </w:pPr>
      <w:r>
        <w:rPr>
          <w:sz w:val="28"/>
        </w:rPr>
        <w:t>1. Операционная система MS Windows XP SP3,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2. Операционная система MS Windows 7 Professional,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3. Операционная система Ubuntu 14.04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4. Пакет офисных приложений Office 2007,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5. Пакет офисных приложений Office 2016,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6. Автоматизации деятельности на предприятии 1С-Предприятие 8. Комплект для обучения в высших и средних учебных заведениях,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7. Анализ и моделирование бизнес-процессов Ramus Education,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8. Веб-браузер Mozilla Firefox,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9. Интегрированная среда разработки Visual C++ 2010 Express Edition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10. Интерпретатор языка программирования PHP PHP 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11. Интерпретатор языка программирования Python 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12. Командный интерпретатор, интерпретатор языка программирования bash 4.3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13. Компилятор языка программирования GCC 4.8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14. Поддержка виртуализации VirtualBox 5.3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15. Программа управления проектами Project Standard 2007, 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16. Просмотр файлов AdobeReader,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17. Просмотр файлов WinDjView,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18. Система компьютерной математики Maple 12,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19. Система моделирования бизнес процессов Bizagi Process Modeler,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20. Система управления базами данных mysql-5.5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21. Статистический пакет Eviews 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22. Текстовый редактор Kate 4.13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23. Текстовый фильтр grep 2.16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24. Торгово-аналитическая платформа, Rumus,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25. Файловый архиватор 7 Zip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26. Финансово-аналитическое программное обеспечение Project  Expert 7.21 Tutorial,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27. Язык программирования Delphi 2007 (RAD Studio),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28. 3D моделирование 3DS Max 2008,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29. Web-сервер apache 2 2.4.7 свободное ПО, ежегодно обновляемое ПО.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11. Материально-техническое обеспечение дисциплины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занятий лекционного типа, занятий семинарского типа, оснащены мультимедийным комплексом (ноутбук, проектор, демонстрационный экран), учебно-наглядными пособиями,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групповых и индивидуальных консультаций, текущего контроля и промежуточной аттестации оснащены ноутбуком, проектором, переносным демонстрационным экраном,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самостоятельной работы, оснащенные компьютерной техникой, подключенной к сети «Интернет» и обеспечивающей доступ в электронную информационно-образовательную среду университета,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хранения и профилактического обслуживания учебного оборудования, оснащенные специализированной мебелью.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b w:val="false"/>
          <w:b w:val="false"/>
        </w:rPr>
      </w:pPr>
      <w:bookmarkStart w:id="47" w:name="_Toc496696226"/>
      <w:r>
        <w:rPr>
          <w:b w:val="false"/>
        </w:rPr>
        <w:t>ПРИЛОЖЕНИЕ</w:t>
      </w:r>
      <w:bookmarkEnd w:id="47"/>
      <w:r>
        <w:rPr>
          <w:b w:val="false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 РАБОЧЕЙ ПРОГРАММЕ ДИСЦИПЛИНЫ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ФОНД ОЦЕНОЧНЫХ СРЕДСТВ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«Алгебра»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09.03.03 Прикладная информатика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Направленность (профиль) Прикладная информатика в экономике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Орел 2016</w:t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оценочных средств и их соответствие планируемым результатам обучения по дисциплине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74"/>
        <w:gridCol w:w="1978"/>
        <w:gridCol w:w="5492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Форма аттестации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Оценочные средства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Планируемые результаты обучения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(индикаторы достижения компетенций)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билетов для экзамена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Знать: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основные определения и формулировки наиболее важных результатов в фундаментальных разделах математики (З (ОПК-3)-I);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наиболее важных результатов в фундаментальных разделах математики (З (ОПК-3)-I);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-2"/>
              </w:rPr>
              <w:t xml:space="preserve">- </w:t>
            </w:r>
            <w:r>
              <w:rPr/>
              <w:t>базовый математический аппарат, используемый для формализации прикладных задач (З (ПК-23)-</w:t>
            </w:r>
            <w:r>
              <w:rPr>
                <w:lang w:val="en-US"/>
              </w:rPr>
              <w:t>I</w:t>
            </w:r>
            <w:r>
              <w:rPr/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Уметь: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kern w:val="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формулировать и доказывать наиболее важные результаты в фундаментальных разделах математики (У (ОПК-3)-I);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обосновать выбор средств решения типовых и нестандартных задач естественнонаучных дисциплин (У (ОПК-3)-I);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находить, обрабатывать и анализировать информацию из разных источников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математические методы в формализации решения прикладных задач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Владеть:</w:t>
            </w:r>
          </w:p>
          <w:p>
            <w:pPr>
              <w:pStyle w:val="Normal"/>
              <w:numPr>
                <w:ilvl w:val="0"/>
                <w:numId w:val="9"/>
              </w:numPr>
              <w:ind w:left="427" w:hanging="360"/>
              <w:jc w:val="both"/>
              <w:rPr>
                <w:sz w:val="28"/>
                <w:szCs w:val="28"/>
              </w:rPr>
            </w:pPr>
            <w:r>
              <w:rPr/>
              <w:t>навыками применения современного математического инструментария и информационно-коммуникационных технологий для решения типовых профессиональных задач (В (ОПК-3)-I)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выделения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постановки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формализации прикладной задачи (В (ПК-23)-I)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и шкалы оценивания </w:t>
      </w:r>
    </w:p>
    <w:tbl>
      <w:tblPr>
        <w:tblW w:w="10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64"/>
        <w:gridCol w:w="1710"/>
        <w:gridCol w:w="1839"/>
        <w:gridCol w:w="3155"/>
        <w:gridCol w:w="1572"/>
      </w:tblGrid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Вид контроля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Форма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аттестации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Оценочные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средства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Критерии оценивания для промежуточной аттестации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Шкала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оценивания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Промежуточная аттестация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 экзаменационных билетов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практические умения и навыки сформированы: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Знает: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основные определения и формулировки наиболее важных результатов в области алгебры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полные доказательства самых важных утверждений и теорем 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Умеет: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обосновать выбор средств решения типовых задач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формулировать и доказывать наиболее важные результаты.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Владеет: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навыками решения типовых задач.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34-40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«5» отлично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но отдельные практические умения и навыки сформированы недостаточно: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26-33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«4» хорошо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с незначительными   пробелами, необходимые практические умения и навыки в основном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21-25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«3» удовлетворительно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не освоено, необходимые  практические умения и навыки не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0-20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«2» неудовлетворительно</w:t>
            </w:r>
          </w:p>
        </w:tc>
      </w:tr>
    </w:tbl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Типовые оценочные средства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–экзамен в письменной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сессии. Продолжительность работы – 1 час 30 минут.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Структура и содержание экзаменационного билета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Экзаменационный билет состоит двух частей, предполагающих устное собеседование по одному вопросу и решение четырех практических заданий.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баллов за экзамен равно 40.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8"/>
        <w:gridCol w:w="2180"/>
        <w:gridCol w:w="1965"/>
        <w:gridCol w:w="1610"/>
        <w:gridCol w:w="2721"/>
      </w:tblGrid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Раздел дисциплины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Проверяемые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результаты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Критерии оценивания</w:t>
            </w:r>
          </w:p>
        </w:tc>
      </w:tr>
      <w:tr>
        <w:trPr>
          <w:trHeight w:val="1068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Теоретический 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8 баллов </w:t>
              <w:softHyphen/>
              <w:t>– полное раскрытие теоретического вопроса, материал изложен в определенной логической последовательности</w:t>
            </w:r>
            <w:r>
              <w:rPr>
                <w:color w:val="004000"/>
                <w:sz w:val="24"/>
              </w:rPr>
              <w:t>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6 баллов – полное раскрытие теоретического вопроса с незначительными неточностями формулировок;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4 балла – поставленный вопрос раскрыт недостаточно полно, отсутствуют отдельные выводы или формулировки;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2 балла – изложен краткий план ответа на вопрос в  определенной логической последовательности</w:t>
            </w:r>
            <w:r>
              <w:rPr>
                <w:color w:val="004000"/>
                <w:sz w:val="24"/>
              </w:rPr>
              <w:t xml:space="preserve"> </w:t>
            </w:r>
            <w:r>
              <w:rPr>
                <w:sz w:val="24"/>
              </w:rPr>
              <w:t>(даны основные определения, приведены формулы);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0 баллов – в противном случае.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 xml:space="preserve">Практическое </w:t>
            </w:r>
          </w:p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8 баллов – практическое задание выполнено верно, сделаны верные обоснованные выводы;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6 баллов – в решении допущена одна вычислительная ошибка, в связи с этим, возможно, получены неверные выводы / задание выполнено верно, отсутствуют обоснованные выводы.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4 балла – задание выполнено правильно не менее, чем на 50%, приведены все необходимые для его решения формулы.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2 балла – задание верно выполнено на 1/3, приведены необходимые для решения задачи формулы, возможно, с негрубыми ошибками. 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0 баллов – в противном случае.</w:t>
            </w:r>
          </w:p>
        </w:tc>
      </w:tr>
    </w:tbl>
    <w:p>
      <w:pPr>
        <w:pStyle w:val="Normal"/>
        <w:ind w:firstLine="709"/>
        <w:jc w:val="center"/>
        <w:rPr>
          <w:b/>
          <w:b/>
          <w:bCs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3.2 Перечень т</w:t>
      </w:r>
      <w:r>
        <w:rPr>
          <w:b/>
          <w:bCs/>
          <w:sz w:val="28"/>
          <w:szCs w:val="28"/>
        </w:rPr>
        <w:t>еоретических вопросов для промежуточной аттестации по дисциплине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множества. Конечные и бесконечные множества. Подмножества.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множествами и их свойства.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высказывания. Простые и сложные высказывания. Логические операции над высказываниями.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алгебры высказывания.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Равносильные преобразования формул. Свойства отношения равносильности на множестве логических формул. Теорема.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Виды теорем.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и достаточные условия.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Прямое произведение двух множеств и способы его задания.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Предикаты. Область определения и область истинности.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Операции над предикатами. Кванторы общности и существования.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с предикатами и их равносильность.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Бинарные отношения. График бинарного отношения. Отношения эквивалентности. Примеры. Теорема о разбиении множества на классы эквивалентности. Фактор-множество.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Отношение порядка.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бинарной операции. Коммутативная, ассоциативная и дистрибутивная бинарные операции. Примеры. Обратная операция. Теорема о единственности нейтрального элемента. Теорема о симметричном элементе. Понятие алгебры.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Определение группы.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Некоторые свойства групп. Признак подгруппы.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Гомоморфизм и изоморфизм групп. Теоремы о нейтральном элементе и симметричном элементе при гомоморфном отображении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группу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Теорема о гомоморфном образе группы.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групп.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Понятие кольца, примеры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Некоторые свойства колец.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Определение  поля. Примеры полей. Некоторые свойства полей.</w:t>
      </w:r>
      <w:r>
        <w:rPr>
          <w:sz w:val="28"/>
          <w:szCs w:val="28"/>
        </w:rPr>
        <w:t xml:space="preserve"> Подполе и характеристика поля.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Аксиоматическое определение поля действительных чисел. 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Некоторые свойства поля действительных чисел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. Принцип Архимеда.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Поле комплексных чисел. Теорема о поле комплексных чисел. Поле комплексных чисел как надполе поля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Поле комплексных чисел. Действия над комплексными  числами.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арифметического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мерного векторного 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Определение векторного пространства. Примеры.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Простейшие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свойства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Линейная зависимость векторов.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Размерность векторного пространства. Базис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Базис векторного пространства. Теорема о размерности векторного пространства, базис которого состоит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векторов. Следствие. Теорема о дополнении линейно независимой системы векторов пространства 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до базиса этого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Координаты вектора. Координатная строка. Координатные строки суммы векторов и произведения вектора на число.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>Связь между базисами пространства. Теорема о матрице перехода от одного базиса пространства к другому его базису.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Преобразование координат вектора. Теорема.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векторных пространств. Свойства изоморфизма, вытекающие из определения.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Изоморфизм векторных пространств. Необходимое и достаточное условие изоморфизма двух векторных пространств.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Понятие подпространства. Примеры. Признак подпространства.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>Понятие подпространства. Примеры. Теорема о размерности подпространства.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Линейная оболочка векторов. Пересечение подпространств.  Сумма подпространств..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Теорема о размерности суммы двух подпространств.  Прямая сумма подпространств. Признак прямой суммы.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Прямая сумма подпространств. Теорема о размерности прямой суммы подпространств.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3.3 Примеры практических заданий 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промежуточной аттестации по дисциплине</w:t>
      </w:r>
    </w:p>
    <w:p>
      <w:pPr>
        <w:pStyle w:val="Normal"/>
        <w:ind w:left="4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определитель: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Выполнить действия, используя тригонометрическую форму комплексного числа: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/>
        </m:f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Найдите обратную матрицу для матрицы и сделать проверку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AΔB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; если </w:t>
      </w:r>
      <w:r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>={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 xml:space="preserve">2},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+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>3}.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06"/>
        <w:gridCol w:w="2520"/>
        <w:gridCol w:w="3728"/>
      </w:tblGrid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pageBreakBefore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 Пример экзаменационного билета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Утверждаю: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Зав. кафедрой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д.п.н., профессор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softHyphen/>
              <w:softHyphen/>
            </w:r>
            <w:r>
              <w:rPr>
                <w:u w:val="single"/>
              </w:rPr>
              <w:softHyphen/>
              <w:t xml:space="preserve">                                 </w:t>
            </w:r>
            <w:r>
              <w:rPr/>
              <w:t xml:space="preserve">В.Д. Селютин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  2016 г.</w:t>
            </w:r>
            <w:r>
              <w:rPr/>
              <w:t xml:space="preserve"> </w:t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09.03.03</w:t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1 курс о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ФГБОУ ВО «Орловский государственный университет имени И.С. Тургенева»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Физико-математический факультет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Кафедра алгебры и математических методов в экономике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Дисциплина «Алгебра»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Билет №1</w:t>
            </w:r>
          </w:p>
          <w:p>
            <w:pPr>
              <w:pStyle w:val="Normal"/>
              <w:ind w:left="284" w:hanging="0"/>
              <w:rPr>
                <w:sz w:val="28"/>
                <w:szCs w:val="28"/>
              </w:rPr>
            </w:pPr>
            <w:r>
              <w:rPr/>
              <w:t xml:space="preserve">1.Элементарные преобразования матрицы. Метод Гаусса. Равносильные системы. 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Вычислить определитель: </w:t>
            </w: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Выполнить действия, используя тригонометрическую форму комплексного числа: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/>
              </m:f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Найдите обратную матрицу для матрицы и сделать проверку 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AΔB</m:t>
              </m:r>
            </m:oMath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B</w:t>
            </w:r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A</w:t>
            </w:r>
            <w:r>
              <w:rPr/>
              <w:t xml:space="preserve">; если </w:t>
            </w:r>
            <w:r>
              <w:rPr>
                <w:i/>
                <w:iCs/>
              </w:rPr>
              <w:t>А</w:t>
            </w:r>
            <w:r>
              <w:rPr/>
              <w:t>={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/>
              <w:t xml:space="preserve">: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-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 xml:space="preserve">2},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>=</w:t>
            </w:r>
            <w:r>
              <w:rPr/>
              <w:t>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i/>
                <w:iCs/>
              </w:rPr>
              <w:t>:</w:t>
            </w:r>
            <w:r>
              <w:rPr/>
              <w:t xml:space="preserve">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+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>3}.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Разработал: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к.ф.-м.н., доцент </w:t>
            </w:r>
            <w:r>
              <w:rPr>
                <w:u w:val="single"/>
              </w:rPr>
              <w:t xml:space="preserve">                       </w:t>
            </w:r>
            <w:r>
              <w:rPr/>
              <w:t xml:space="preserve">  Д.Е. Ломакин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Рассмотрены и одобрены на заседании кафедры</w:t>
            </w:r>
          </w:p>
          <w:p>
            <w:pPr>
              <w:pStyle w:val="Normal"/>
              <w:rPr>
                <w:u w:val="single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</w:t>
            </w:r>
            <w:r>
              <w:rPr/>
              <w:t xml:space="preserve">  2016 г.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Протокол №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Opera,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№8 от «19» апреля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«16» мая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Председатель НМС к.пед.н., доц. Л.Н. Зубкова  </w:t>
      </w:r>
      <w:r>
        <w:rPr/>
        <w:drawing>
          <wp:inline distT="0" distB="0" distL="0" distR="0">
            <wp:extent cx="1325880" cy="50927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Chrome,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 xml:space="preserve">Протокол №8 от «11» мая 2018 г. 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«15» мая 2018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Mozilla Firefox,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«21» февраля 2019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Зав. кафедрой  д.пед.н., проф. В.Д. Селютин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115695" cy="463550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«17» мая 2019 г.</w:t>
      </w:r>
    </w:p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fficinaSans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stroked="f" style="position:absolute;margin-left:227.6pt;margin-top:0.05pt;width:12.45pt;height:13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185" cy="174625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61.2pt;margin-top:0.05pt;width:6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715.9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6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4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6c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94b5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94b5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94b5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76ced"/>
    <w:pPr>
      <w:keepNext w:val="true"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Normal"/>
    <w:next w:val="Normal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Normal"/>
    <w:next w:val="Normal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uiPriority w:val="99"/>
    <w:rsid w:val="00f94b56"/>
    <w:rPr>
      <w:color w:val="0000FF"/>
      <w:u w:val="single"/>
    </w:rPr>
  </w:style>
  <w:style w:type="character" w:styleId="Pagenumber">
    <w:name w:val="page number"/>
    <w:basedOn w:val="DefaultParagraphFont"/>
    <w:qFormat/>
    <w:rsid w:val="00dc7fc1"/>
    <w:rPr/>
  </w:style>
  <w:style w:type="character" w:styleId="Style8" w:customStyle="1">
    <w:name w:val="Основной текст Знак"/>
    <w:basedOn w:val="DefaultParagraphFont"/>
    <w:link w:val="ab"/>
    <w:qFormat/>
    <w:rsid w:val="00d82466"/>
    <w:rPr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locked/>
    <w:rsid w:val="00e80f92"/>
    <w:rPr>
      <w:rFonts w:ascii="Arial" w:hAnsi="Arial" w:cs="Arial"/>
      <w:b/>
      <w:bCs/>
      <w:kern w:val="2"/>
      <w:sz w:val="32"/>
      <w:szCs w:val="32"/>
    </w:rPr>
  </w:style>
  <w:style w:type="character" w:styleId="Style9" w:customStyle="1">
    <w:name w:val="Нижний колонтитул Знак"/>
    <w:basedOn w:val="DefaultParagraphFont"/>
    <w:link w:val="a7"/>
    <w:qFormat/>
    <w:locked/>
    <w:rsid w:val="00e80f92"/>
    <w:rPr>
      <w:sz w:val="24"/>
      <w:szCs w:val="24"/>
    </w:rPr>
  </w:style>
  <w:style w:type="character" w:styleId="22" w:customStyle="1">
    <w:name w:val="_ЗАГ_2_2 Знак"/>
    <w:link w:val="22"/>
    <w:qFormat/>
    <w:locked/>
    <w:rsid w:val="00e80f92"/>
    <w:rPr>
      <w:rFonts w:ascii="OfficinaSansC" w:hAnsi="OfficinaSansC" w:eastAsia="MS Mincho"/>
      <w:b/>
      <w:bCs/>
      <w:sz w:val="28"/>
      <w:szCs w:val="28"/>
      <w:lang w:eastAsia="ja-JP"/>
    </w:rPr>
  </w:style>
  <w:style w:type="character" w:styleId="Style10">
    <w:name w:val="Посещённая гиперссылка"/>
    <w:basedOn w:val="DefaultParagraphFont"/>
    <w:rsid w:val="002e7a9a"/>
    <w:rPr>
      <w:color w:val="800080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c"/>
    <w:rsid w:val="00d82466"/>
    <w:pPr>
      <w:spacing w:before="0" w:after="12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Body Text Indent"/>
    <w:basedOn w:val="Normal"/>
    <w:rsid w:val="00f76ced"/>
    <w:pPr>
      <w:widowControl w:val="false"/>
      <w:tabs>
        <w:tab w:val="clear" w:pos="708"/>
        <w:tab w:val="left" w:pos="1080" w:leader="none"/>
      </w:tabs>
      <w:spacing w:lineRule="auto" w:line="360"/>
      <w:ind w:firstLine="426"/>
      <w:jc w:val="both"/>
    </w:pPr>
    <w:rPr>
      <w:color w:val="000000"/>
      <w:sz w:val="26"/>
    </w:rPr>
  </w:style>
  <w:style w:type="paragraph" w:styleId="BodyTextIndent2">
    <w:name w:val="Body Text Indent 2"/>
    <w:basedOn w:val="Normal"/>
    <w:qFormat/>
    <w:rsid w:val="00f76ced"/>
    <w:pPr>
      <w:widowControl w:val="false"/>
      <w:spacing w:lineRule="auto" w:line="360"/>
      <w:ind w:firstLine="709"/>
      <w:jc w:val="both"/>
    </w:pPr>
    <w:rPr/>
  </w:style>
  <w:style w:type="paragraph" w:styleId="HeadWP" w:customStyle="1">
    <w:name w:val="HeadWP"/>
    <w:basedOn w:val="Normal"/>
    <w:qFormat/>
    <w:rsid w:val="001c53ac"/>
    <w:pPr>
      <w:jc w:val="center"/>
    </w:pPr>
    <w:rPr>
      <w:b/>
      <w:sz w:val="28"/>
      <w:szCs w:val="28"/>
    </w:rPr>
  </w:style>
  <w:style w:type="paragraph" w:styleId="12">
    <w:name w:val="TOC 1"/>
    <w:basedOn w:val="Normal"/>
    <w:next w:val="Normal"/>
    <w:autoRedefine/>
    <w:uiPriority w:val="39"/>
    <w:rsid w:val="00a4251c"/>
    <w:pPr>
      <w:tabs>
        <w:tab w:val="clear" w:pos="708"/>
        <w:tab w:val="right" w:pos="9360" w:leader="none"/>
      </w:tabs>
      <w:ind w:right="535" w:hanging="0"/>
    </w:pPr>
    <w:rPr>
      <w:sz w:val="2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a8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figures">
    <w:name w:val="table of figures"/>
    <w:basedOn w:val="Normal"/>
    <w:next w:val="Normal"/>
    <w:semiHidden/>
    <w:qFormat/>
    <w:rsid w:val="00cb6bb3"/>
    <w:pPr/>
    <w:rPr>
      <w:sz w:val="28"/>
    </w:rPr>
  </w:style>
  <w:style w:type="paragraph" w:styleId="221" w:customStyle="1">
    <w:name w:val="_ЗАГ_2_2"/>
    <w:basedOn w:val="Normal"/>
    <w:link w:val="220"/>
    <w:qFormat/>
    <w:rsid w:val="00e80f92"/>
    <w:pPr>
      <w:tabs>
        <w:tab w:val="clear" w:pos="708"/>
        <w:tab w:val="left" w:pos="1418" w:leader="none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val="x-none" w:eastAsia="ja-JP"/>
    </w:rPr>
  </w:style>
  <w:style w:type="paragraph" w:styleId="ListParagraph">
    <w:name w:val="List Paragraph"/>
    <w:basedOn w:val="Normal"/>
    <w:uiPriority w:val="34"/>
    <w:qFormat/>
    <w:rsid w:val="009469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56b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65779-BA6B-485B-B383-378E276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5</TotalTime>
  <Application>LibreOffice/6.4.7.2$Linux_X86_64 LibreOffice_project/40$Build-2</Application>
  <Pages>31</Pages>
  <Words>3641</Words>
  <Characters>25176</Characters>
  <CharactersWithSpaces>28178</CharactersWithSpaces>
  <Paragraphs>969</Paragraphs>
  <Company>Temp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2021-06-03T13:54:00Z</dcterms:created>
  <dc:creator>Денис</dc:creator>
  <dc:description/>
  <dc:language>ru-RU</dc:language>
  <cp:lastModifiedBy/>
  <cp:lastPrinted>2011-05-10T17:38:00Z</cp:lastPrinted>
  <dcterms:modified xsi:type="dcterms:W3CDTF">2021-06-08T23:47:10Z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