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93" w:type="dxa"/>
        <w:jc w:val="left"/>
        <w:tblInd w:w="1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726"/>
        <w:gridCol w:w="6366"/>
      </w:tblGrid>
      <w:tr>
        <w:trPr>
          <w:trHeight w:val="1785" w:hRule="atLeast"/>
        </w:trPr>
        <w:tc>
          <w:tcPr>
            <w:tcW w:w="2726" w:type="dxa"/>
            <w:tcBorders/>
          </w:tcPr>
          <w:p>
            <w:pPr>
              <w:pStyle w:val="Normal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09090" cy="1024255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3640" t="29380" r="57292" b="55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09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  <w:tcBorders/>
          </w:tcPr>
          <w:p>
            <w:pPr>
              <w:pStyle w:val="4"/>
              <w:ind w:left="6" w:hanging="0"/>
              <w:jc w:val="center"/>
              <w:rPr>
                <w:szCs w:val="28"/>
              </w:rPr>
            </w:pPr>
            <w:r>
              <w:rPr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4"/>
              <w:ind w:left="6" w:hanging="0"/>
              <w:jc w:val="center"/>
              <w:rPr>
                <w:szCs w:val="28"/>
              </w:rPr>
            </w:pPr>
            <w:bookmarkStart w:id="0" w:name="univer"/>
            <w:bookmarkEnd w:id="0"/>
            <w:r>
              <w:rPr>
                <w:szCs w:val="28"/>
              </w:rPr>
      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</w:t>
            </w:r>
          </w:p>
          <w:p>
            <w:pPr>
              <w:pStyle w:val="Style16"/>
              <w:widowControl/>
              <w:spacing w:lineRule="auto" w:line="240"/>
              <w:ind w:left="6" w:hanging="0"/>
              <w:jc w:val="center"/>
              <w:rPr>
                <w:sz w:val="28"/>
                <w:szCs w:val="28"/>
              </w:rPr>
            </w:pPr>
            <w:bookmarkStart w:id="1" w:name="inst_and_dep"/>
            <w:bookmarkEnd w:id="1"/>
            <w:r>
              <w:rPr>
                <w:b/>
                <w:sz w:val="28"/>
                <w:szCs w:val="28"/>
              </w:rPr>
              <w:t>ФИЗИКО-МАТЕМАТИЧЕСКИЙ ФАКУЛЬТЕТ</w:t>
            </w:r>
          </w:p>
          <w:p>
            <w:pPr>
              <w:pStyle w:val="Normal"/>
              <w:ind w:left="6" w:hanging="0"/>
              <w:rPr>
                <w:b/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</w:p>
        </w:tc>
      </w:tr>
    </w:tbl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32"/>
          <w:lang w:val="en-US"/>
        </w:rPr>
      </w:pPr>
      <w:r>
        <w:rPr>
          <w:sz w:val="32"/>
          <w:lang w:val="en-US"/>
        </w:rPr>
      </w:r>
    </w:p>
    <w:p>
      <w:pPr>
        <w:pStyle w:val="BodyTextIndent2"/>
        <w:widowControl/>
        <w:tabs>
          <w:tab w:val="clear" w:pos="708"/>
          <w:tab w:val="left" w:pos="3261" w:leader="none"/>
        </w:tabs>
        <w:spacing w:lineRule="auto" w:line="24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/>
      </w:r>
    </w:p>
    <w:p>
      <w:pPr>
        <w:pStyle w:val="Normal"/>
        <w:ind w:left="5940" w:hanging="0"/>
        <w:rPr>
          <w:sz w:val="28"/>
          <w:szCs w:val="28"/>
        </w:rPr>
      </w:pPr>
      <w:bookmarkStart w:id="2" w:name="BUP"/>
      <w:bookmarkEnd w:id="2"/>
      <w:r>
        <w:rPr>
          <w:sz w:val="28"/>
          <w:szCs w:val="28"/>
        </w:rPr>
        <w:t>09.03.03 –16 – о – 4</w:t>
      </w:r>
    </w:p>
    <w:p>
      <w:pPr>
        <w:pStyle w:val="Normal"/>
        <w:ind w:left="6480" w:hanging="0"/>
        <w:rPr>
          <w:sz w:val="28"/>
          <w:szCs w:val="28"/>
        </w:rPr>
      </w:pPr>
      <w:r>
        <w:rPr>
          <w:sz w:val="28"/>
          <w:szCs w:val="28"/>
        </w:rPr>
      </w:r>
      <w:bookmarkStart w:id="3" w:name="WP"/>
      <w:bookmarkStart w:id="4" w:name="WP"/>
      <w:bookmarkEnd w:id="4"/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Indent2"/>
        <w:widowControl/>
        <w:numPr>
          <w:ilvl w:val="0"/>
          <w:numId w:val="0"/>
        </w:numPr>
        <w:spacing w:lineRule="auto" w:line="240"/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дисциплины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Тип образовательной программы: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Форма обучения: </w:t>
      </w:r>
    </w:p>
    <w:p>
      <w:pPr>
        <w:pStyle w:val="Normal"/>
        <w:tabs>
          <w:tab w:val="clear" w:pos="708"/>
          <w:tab w:val="left" w:pos="0" w:leader="none"/>
          <w:tab w:val="left" w:pos="2820" w:leader="none"/>
        </w:tabs>
        <w:ind w:firstLine="360"/>
        <w:jc w:val="both"/>
        <w:rPr>
          <w:sz w:val="28"/>
          <w:szCs w:val="28"/>
        </w:rPr>
      </w:pPr>
      <w:bookmarkStart w:id="5" w:name="spec_kind"/>
      <w:bookmarkEnd w:id="5"/>
      <w:r>
        <w:rPr>
          <w:sz w:val="28"/>
          <w:szCs w:val="28"/>
        </w:rPr>
        <w:t xml:space="preserve"> </w:t>
      </w:r>
      <w:bookmarkStart w:id="6" w:name="spec"/>
      <w:bookmarkEnd w:id="6"/>
    </w:p>
    <w:p>
      <w:pPr>
        <w:pStyle w:val="Normal"/>
        <w:tabs>
          <w:tab w:val="clear" w:pos="708"/>
          <w:tab w:val="left" w:pos="2820" w:leader="none"/>
        </w:tabs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</w:p>
    <w:p>
      <w:pPr>
        <w:pStyle w:val="Normal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Направленность (профиль):  </w:t>
      </w:r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7" w:name="degree_kind"/>
      <w:bookmarkStart w:id="8" w:name="degree_kind"/>
      <w:bookmarkEnd w:id="8"/>
    </w:p>
    <w:p>
      <w:pPr>
        <w:pStyle w:val="BodyTextIndent2"/>
        <w:widowControl/>
        <w:spacing w:lineRule="auto" w:line="240"/>
        <w:ind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9" w:name="stamp"/>
      <w:bookmarkStart w:id="10" w:name="stamp"/>
      <w:bookmarkEnd w:id="10"/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BodyTextIndent2"/>
        <w:widowControl/>
        <w:spacing w:lineRule="auto" w:line="240"/>
        <w:ind w:firstLine="51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Орел  </w:t>
      </w:r>
      <w:bookmarkStart w:id="11" w:name="year"/>
      <w:bookmarkEnd w:id="11"/>
      <w:r>
        <w:rPr>
          <w:sz w:val="28"/>
          <w:szCs w:val="28"/>
        </w:rPr>
        <w:t>2021</w:t>
      </w:r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 w:themeFill="background1"/>
        <w:ind w:left="11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Автор </w:t>
      </w:r>
      <w:bookmarkStart w:id="12" w:name="author_back_sign"/>
      <w:bookmarkEnd w:id="12"/>
    </w:p>
    <w:p>
      <w:pPr>
        <w:pStyle w:val="Normal"/>
        <w:jc w:val="both"/>
        <w:rPr>
          <w:color w:val="000000"/>
          <w:spacing w:val="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>Рецензент </w:t>
      </w:r>
      <w:bookmarkStart w:id="13" w:name="reviewer_back"/>
      <w:bookmarkEnd w:id="13"/>
    </w:p>
    <w:p>
      <w:pPr>
        <w:pStyle w:val="Normal"/>
        <w:shd w:val="clear" w:color="auto" w:fill="FFFFFF" w:themeFill="background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Рабочая программа разработана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Российской Федерации от 12.03.2015 №207 по направлению подготовки  </w:t>
      </w:r>
      <w:bookmarkStart w:id="14" w:name="spec_back"/>
      <w:bookmarkEnd w:id="14"/>
    </w:p>
    <w:p>
      <w:pPr>
        <w:pStyle w:val="Normal"/>
        <w:shd w:val="clear" w:color="auto" w:fill="FFFFFF"/>
        <w:jc w:val="both"/>
        <w:rPr>
          <w:color w:val="000000"/>
          <w:spacing w:val="-1"/>
          <w:sz w:val="28"/>
          <w:szCs w:val="28"/>
        </w:rPr>
      </w:pPr>
      <w:r>
        <w:rPr>
          <w:color w:val="000000"/>
          <w:spacing w:val="-1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обсуждена на заседании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Протокол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согласована с , за которой закреплено направление подготовки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4"/>
        <w:gridCol w:w="2210"/>
      </w:tblGrid>
      <w:tr>
        <w:trPr>
          <w:trHeight w:val="684" w:hRule="atLeast"/>
        </w:trPr>
        <w:tc>
          <w:tcPr>
            <w:tcW w:w="714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</w:p>
          <w:p>
            <w:pPr>
              <w:pStyle w:val="Normal"/>
              <w:tabs>
                <w:tab w:val="clear" w:pos="708"/>
                <w:tab w:val="left" w:pos="1080" w:leader="none"/>
              </w:tabs>
              <w:bidi w:val="0"/>
              <w:spacing w:lineRule="auto" w:line="360" w:beforeAutospacing="0" w:before="0" w:afterAutospacing="0" w:after="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/>
            </w:r>
          </w:p>
        </w:tc>
        <w:tc>
          <w:tcPr>
            <w:tcW w:w="22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утверждена на заседании НМС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Протокол №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5"/>
        <w:gridCol w:w="1939"/>
      </w:tblGrid>
      <w:tr>
        <w:trPr>
          <w:trHeight w:val="684" w:hRule="atLeast"/>
        </w:trPr>
        <w:tc>
          <w:tcPr>
            <w:tcW w:w="741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НМС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1080" w:leader="none"/>
              </w:tabs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BodyTextIndent2"/>
        <w:spacing w:lineRule="auto" w:line="240"/>
        <w:ind w:hanging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Indent2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spacing w:lineRule="auto" w:line="240"/>
        <w:ind w:left="0" w:firstLine="720"/>
        <w:jc w:val="center"/>
        <w:outlineLvl w:val="0"/>
        <w:rPr>
          <w:b/>
          <w:b/>
          <w:color w:val="000000"/>
          <w:spacing w:val="-2"/>
          <w:sz w:val="28"/>
          <w:szCs w:val="28"/>
        </w:rPr>
      </w:pPr>
      <w:r>
        <w:rPr>
          <w:b/>
          <w:color w:val="000000"/>
          <w:spacing w:val="-2"/>
          <w:sz w:val="28"/>
          <w:szCs w:val="28"/>
        </w:rPr>
        <w:t>Содержание</w:t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 w:val="false"/>
          <w:b w:val="false"/>
        </w:rPr>
      </w:pPr>
      <w:r>
        <w:rPr>
          <w:b w:val="fals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r>
            <w:rPr/>
            <w:t>1 Цели и задачи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2 Место дисциплины в структуре образовательной программы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3 Планируемые результаты обучения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4 Структура дисциплины  и распределение её трудоёмкости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5 Содержание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 xml:space="preserve">6 Методические указания для обучающихся по освоению дисциплины  </w:t>
          </w:r>
          <w:r>
            <w:rPr>
              <w:bCs/>
              <w:szCs w:val="28"/>
            </w:rPr>
            <w:t>и учебно-методическое обеспечение самостоятельной работы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7 Фонд оценочных средств для проведения промежуточной аттестации обучающихся по дисциплине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8 Перечень основной и дополнительной учебной литературы, необходимой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8.1 Основная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>
              <w:bCs/>
            </w:rPr>
            <w:t>8.2 Дополнительная литература</w:t>
          </w:r>
          <w:r>
            <w:rPr/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</w:rPr>
          </w:pPr>
          <w:r>
            <w:rPr/>
            <w:t>9 Перечень ресурсов информационно-телекоммуникационной сети «Интернет», необходимых для освоения дисциплины</w:t>
            <w:tab/>
          </w:r>
        </w:p>
        <w:p>
          <w:pPr>
            <w:pStyle w:val="12"/>
            <w:rPr>
              <w:rFonts w:ascii="Calibri" w:hAnsi="Calibri"/>
              <w:sz w:val="22"/>
              <w:szCs w:val="22"/>
              <w:lang w:val="en-US"/>
            </w:rPr>
          </w:pPr>
          <w:r>
            <w:rPr/>
            <w:t>10 Перечень информационных технологий, используемых при осуществлении образовательного процесса по дисциплине</w:t>
            <w:tab/>
          </w:r>
        </w:p>
        <w:p>
          <w:pPr>
            <w:pStyle w:val="12"/>
            <w:rPr>
              <w:b/>
              <w:b/>
              <w:lang w:val="en-US"/>
            </w:rPr>
          </w:pPr>
          <w:r>
            <w:rPr/>
            <w:t>11 Материально-техническое обеспечение дисциплины</w:t>
            <w:tab/>
          </w:r>
          <w:r>
            <w:rPr/>
            <w:fldChar w:fldCharType="end"/>
          </w:r>
        </w:p>
      </w:sdtContent>
    </w:sdt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lef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4677" w:type="dxa"/>
            <w:tcBorders/>
          </w:tcPr>
          <w:p>
            <w:pPr>
              <w:pStyle w:val="HeadWP"/>
              <w:numPr>
                <w:ilvl w:val="0"/>
                <w:numId w:val="0"/>
              </w:numPr>
              <w:ind w:left="0" w:hanging="0"/>
              <w:jc w:val="right"/>
              <w:outlineLvl w:val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HeadWP"/>
        <w:numPr>
          <w:ilvl w:val="0"/>
          <w:numId w:val="0"/>
        </w:numPr>
        <w:ind w:left="0" w:hanging="0"/>
        <w:jc w:val="left"/>
        <w:outlineLvl w:val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15" w:name="introduction"/>
      <w:bookmarkStart w:id="16" w:name="introduction"/>
      <w:bookmarkEnd w:id="16"/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7" w:name="_Toc501490412"/>
      <w:r>
        <w:rPr/>
        <w:t xml:space="preserve">1 </w:t>
      </w:r>
      <w:bookmarkStart w:id="18" w:name="title_purpose"/>
      <w:bookmarkEnd w:id="18"/>
      <w:r>
        <w:rPr/>
        <w:t xml:space="preserve">Цели и задачи освоения дисциплины </w:t>
      </w:r>
      <w:bookmarkEnd w:id="17"/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0"/>
        <w:ind w:left="0" w:right="0" w:firstLine="709"/>
        <w:jc w:val="both"/>
        <w:rPr>
          <w:sz w:val="24"/>
          <w:szCs w:val="24"/>
        </w:rPr>
      </w:pPr>
      <w:r>
        <w:rPr>
          <w:sz w:val="28"/>
          <w:szCs w:val="28"/>
        </w:rPr>
        <w:t xml:space="preserve"/>
      </w:r>
    </w:p>
    <w:p>
      <w:pPr>
        <w:pStyle w:val="Normal"/>
        <w:widowControl w:val="false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дисциплины:</w:t>
      </w:r>
    </w:p>
    <w:p>
      <w:pPr>
        <w:pStyle w:val="Normal"/>
        <w:tabs>
          <w:tab w:val="clear" w:pos="708"/>
          <w:tab w:val="left" w:pos="720" w:leader="none"/>
        </w:tabs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1.</w:t>
        <w:tab/>
        <w:t>Ознакомить обучающихся с понятиями и методами алгебры.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2.</w:t>
        <w:tab/>
        <w:t>Сформировать навыки решения профессионально-ориентированных задач с применением алгебраических методов.</w:t>
      </w:r>
    </w:p>
    <w:p>
      <w:pPr>
        <w:pStyle w:val="Normal"/>
        <w:ind w:firstLine="709"/>
        <w:jc w:val="both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3.</w:t>
        <w:tab/>
        <w:t>Сформировать представления о современных направлениях развития алгебры и возможностях её использования в современном информационном обществе.</w:t>
      </w: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19" w:name="_Toc501490413"/>
      <w:r>
        <w:rPr/>
        <w:t xml:space="preserve">2 </w:t>
      </w:r>
      <w:bookmarkStart w:id="20" w:name="title_area"/>
      <w:bookmarkEnd w:id="20"/>
      <w:r>
        <w:rPr/>
        <w:t xml:space="preserve">Место дисциплины в структуре </w:t>
      </w:r>
      <w:bookmarkEnd w:id="19"/>
      <w:r>
        <w:rPr/>
        <w:t>образовательной программы</w:t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p>
      <w:pPr>
        <w:pStyle w:val="Normal"/>
        <w:ind w:firstLine="720"/>
        <w:jc w:val="both"/>
        <w:rPr>
          <w:color w:val="000000"/>
          <w:spacing w:val="-2"/>
          <w:sz w:val="28"/>
          <w:szCs w:val="28"/>
        </w:rPr>
      </w:pPr>
      <w:r>
        <w:rPr>
          <w:color w:val="000000" w:themeColor="text1" w:themeShade="ff" w:themeTint="ff"/>
          <w:sz w:val="28"/>
          <w:szCs w:val="28"/>
        </w:rPr>
        <w:t xml:space="preserve"/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/>
      </w:pPr>
      <w:bookmarkStart w:id="21" w:name="_Toc501490414"/>
      <w:r>
        <w:rPr/>
        <w:t xml:space="preserve">3 </w:t>
      </w:r>
      <w:bookmarkStart w:id="22" w:name="title_comp"/>
      <w:bookmarkEnd w:id="22"/>
      <w:r>
        <w:rPr/>
        <w:t xml:space="preserve">Планируемые результаты обучения по дисциплине </w:t>
      </w:r>
      <w:bookmarkEnd w:id="21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</w:p>
    <w:tbl>
      <w:tblPr>
        <w:tblW w:w="9345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856"/>
        <w:gridCol w:w="3561"/>
        <w:gridCol w:w="826"/>
        <w:gridCol w:w="4101"/>
      </w:tblGrid>
      <w:tr>
        <w:trPr/>
        <w:tc>
          <w:tcPr>
            <w:tcW w:w="44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  <w:lang w:val="en-US"/>
              </w:rPr>
            </w:pPr>
            <w:bookmarkStart w:id="23" w:name="comp"/>
            <w:bookmarkEnd w:id="23"/>
            <w:r>
              <w:rPr>
                <w:b/>
                <w:i/>
                <w:color w:val="000000"/>
                <w:spacing w:val="-2"/>
                <w:szCs w:val="28"/>
                <w:lang w:val="en-US"/>
              </w:rPr>
              <w:t>Формируемые компетенции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000000"/>
                <w:spacing w:val="-2"/>
                <w:szCs w:val="28"/>
              </w:rPr>
            </w:pPr>
            <w:r>
              <w:rPr>
                <w:b/>
                <w:i/>
                <w:color w:val="000000"/>
                <w:spacing w:val="-2"/>
                <w:szCs w:val="28"/>
              </w:rPr>
              <w:t>Планируемые результаты обучения по дисциплине</w:t>
            </w:r>
          </w:p>
        </w:tc>
      </w:tr>
      <w:tr>
        <w:trPr/>
        <w:tc>
          <w:tcPr>
            <w:tcW w:w="441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Требования к формируемым знаниям, умениям и навыкам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('УК-4.1.Знать современные коммуникативные технологии, формы и методы коммуникации в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('УК-4.2.Уметь осуществлять коммуникацию в различных формах; обоснованно выбирать оптимальные средства коммуникации и коммуникационные технологии с учетом специфики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('УК-4.3.Владеть навыками применения современных коммуникационных технологий для профессионального взаимодействия',)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('УК-3. Способен организовывать и руководить работой команды, вырабатывая командную стратегию для достижения поставленной цели',)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 Способен организовывать и руководить работой команды, вырабатывая командную стратегию для достижения поставленной цели',)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('УК-3.1.Знать методики формирования команд; методы эффективного руководства коллективами',)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('УК-3.2.Уметь разрабатывать командную стратегию; организовывать работу коллективов; управлять коллективом;разрабатывать мероприятия по личностному, образовательному и профессиональному росту',)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('УК-3.3.Владеть методами организации и управления коллективом, планированием его действий',)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('УК-5. Способен анализироватьи учитывать разнообразиекультур в процессе межкультурного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 Способен анализироватьи учитывать разнообразиекультур в процессе межкультурного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('УК-5.1.Знать национальные, конфессиональные и этнокультурные особенности и национальные традиции; основные принципы и нормы межкультурного взаимодействия',)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('УК-5.2.Уметь анализировать особенности межкультурного взаимодействия с учетом национальных, конфессиональных и этнокультурных особенностей и национальных традиций',)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('УК-5.3.Владеть приемами и средствами создания поликультурной среды для межкультурного взаимодействия в ходе решения задач профессиональной деятельности',)</w:t>
            </w:r>
          </w:p>
        </w:tc>
      </w:tr>
      <w:tr>
        <w:trPr/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/>
                <w:spacing w:val="-2"/>
                <w:sz w:val="24"/>
                <w:szCs w:val="24"/>
                <w:lang w:val="en-US"/>
              </w:rPr>
            </w:pPr>
            <w:r>
              <w:rPr>
                <w:color w:val="000000"/>
                <w:spacing w:val="-2"/>
                <w:sz w:val="24"/>
                <w:szCs w:val="24"/>
                <w:lang w:val="en-US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3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 Способен применять современные коммуникативные технологии, в том числе на иностранном(ых) языке(ах),для академического и профессионального взаимодействия',)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Знать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('УК-4.1.Знать современные коммуникативные технологии, формы и методы коммуникации в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Уметь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/>
                <w:color w:val="000000"/>
                <w:spacing w:val="-2"/>
                <w:sz w:val="22"/>
                <w:szCs w:val="22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('УК-4.2.Уметь осуществлять коммуникацию в различных формах; обоснованно выбирать оптимальные средства коммуникации и коммуникационные технологии с учетом специфики профессиональной деятельности',)</w:t>
            </w:r>
          </w:p>
        </w:tc>
      </w:tr>
      <w:tr>
        <w:trPr/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3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color w:val="000000"/>
                <w:spacing w:val="-2"/>
                <w:szCs w:val="28"/>
                <w:lang w:val="en-US"/>
              </w:rPr>
            </w:pPr>
            <w:r>
              <w:rPr>
                <w:color w:val="000000"/>
                <w:spacing w:val="-2"/>
                <w:szCs w:val="28"/>
                <w:lang w:val="en-US"/>
              </w:rPr>
              <w:t>Владеть</w:t>
            </w:r>
          </w:p>
        </w:tc>
        <w:tc>
          <w:tcPr>
            <w:tcW w:w="4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Liberation Serif" w:hAnsi="Liberation Serif" w:eastAsia="Liberation Serif" w:cs="Liberation Serif"/>
                <w:color w:val="000000"/>
                <w:spacing w:val="-2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 w:themeColor="text1" w:themeShade="ff" w:themeTint="ff"/>
                <w:sz w:val="24"/>
                <w:szCs w:val="24"/>
              </w:rPr>
              <w:t xml:space="preserve">('УК-4.3.Владеть навыками применения современных коммуникационных технологий для профессионального взаимодействия',)</w:t>
            </w:r>
          </w:p>
        </w:tc>
      </w:tr>
    </w:tbl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ind w:left="0" w:firstLine="720"/>
        <w:jc w:val="both"/>
        <w:outlineLvl w:val="0"/>
        <w:rPr/>
      </w:pPr>
      <w:r>
        <w:rPr/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bookmarkStart w:id="24" w:name="_Toc501490415"/>
      <w:bookmarkStart w:id="25" w:name="_Toc501490415"/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hanging="0"/>
        <w:jc w:val="both"/>
        <w:outlineLvl w:val="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color w:val="000000"/>
          <w:spacing w:val="-2"/>
        </w:rPr>
      </w:pPr>
      <w:r>
        <w:rPr/>
        <w:t xml:space="preserve">4 </w:t>
      </w:r>
      <w:bookmarkStart w:id="26" w:name="title_labour"/>
      <w:bookmarkEnd w:id="26"/>
      <w:r>
        <w:rPr/>
        <w:t>Структура дисциплины и распределение её трудоёмкости</w:t>
      </w:r>
      <w:bookmarkEnd w:id="25"/>
    </w:p>
    <w:p>
      <w:pPr>
        <w:pStyle w:val="Normal"/>
        <w:jc w:val="both"/>
        <w:rPr>
          <w:color w:val="000000"/>
          <w:spacing w:val="-2"/>
          <w:sz w:val="28"/>
          <w:szCs w:val="28"/>
        </w:rPr>
      </w:pPr>
      <w:r>
        <w:rPr>
          <w:color w:val="000000"/>
          <w:spacing w:val="-2"/>
          <w:sz w:val="28"/>
          <w:szCs w:val="28"/>
        </w:rPr>
      </w:r>
      <w:bookmarkStart w:id="27" w:name="labour"/>
      <w:bookmarkStart w:id="28" w:name="labour"/>
      <w:bookmarkEnd w:id="28"/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850" w:header="708" w:top="1134" w:footer="708" w:bottom="1134" w:gutter="0"/>
          <w:pgNumType w:fmt="decimal"/>
          <w:formProt w:val="false"/>
          <w:textDirection w:val="lrTb"/>
          <w:docGrid w:type="default" w:linePitch="312" w:charSpace="0"/>
        </w:sectPr>
      </w:pPr>
    </w:p>
    <w:tbl>
      <w:tblPr>
        <w:tblW w:w="9359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59"/>
        <w:gridCol w:w="800"/>
        <w:gridCol w:w="802"/>
        <w:gridCol w:w="799"/>
        <w:gridCol w:w="800"/>
        <w:gridCol w:w="798"/>
        <w:gridCol w:w="800"/>
      </w:tblGrid>
      <w:tr>
        <w:trPr>
          <w:trHeight w:val="600" w:hRule="atLeast"/>
        </w:trPr>
        <w:tc>
          <w:tcPr>
            <w:tcW w:w="4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Вид учебной работы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Всего,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1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За 2 семестр, кол.</w:t>
            </w:r>
          </w:p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часов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 w:val="20"/>
                <w:szCs w:val="28"/>
              </w:rPr>
            </w:pPr>
            <w:r>
              <w:rPr>
                <w:color w:val="000000"/>
                <w:spacing w:val="-2"/>
                <w:sz w:val="20"/>
                <w:szCs w:val="28"/>
              </w:rPr>
              <w:t>занятий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 Контактная работа, всего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Лекции (ЛК)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56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    </w:t>
            </w:r>
            <w:r>
              <w:rPr>
                <w:color w:val="000000"/>
                <w:spacing w:val="-2"/>
                <w:szCs w:val="28"/>
              </w:rPr>
              <w:t>Практические занятия (ПР)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88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22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 xml:space="preserve">2 Самостоятельная работа (всего)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3 Промежуточная аттестация (форма)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72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Экзамен (36)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часах: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288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144</w:t>
            </w:r>
          </w:p>
        </w:tc>
      </w:tr>
      <w:tr>
        <w:trPr/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Общая трудоемкость дисциплины в зачетных единицах:</w:t>
            </w:r>
          </w:p>
        </w:tc>
        <w:tc>
          <w:tcPr>
            <w:tcW w:w="1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8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  <w:tc>
          <w:tcPr>
            <w:tcW w:w="15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pacing w:val="-2"/>
                <w:szCs w:val="28"/>
              </w:rPr>
            </w:pPr>
            <w:r>
              <w:rPr>
                <w:color w:val="000000"/>
                <w:spacing w:val="-2"/>
                <w:szCs w:val="28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header="708" w:top="1134" w:footer="708" w:bottom="1134" w:gutter="0"/>
          <w:formProt w:val="false"/>
          <w:textDirection w:val="lrTb"/>
          <w:docGrid w:type="default" w:linePitch="312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lang w:val="en-US"/>
        </w:rPr>
      </w:pPr>
      <w:bookmarkStart w:id="29" w:name="_Toc501490416"/>
      <w:r>
        <w:rPr>
          <w:lang w:val="en-US"/>
        </w:rPr>
        <w:t xml:space="preserve">5 </w:t>
      </w:r>
      <w:bookmarkStart w:id="30" w:name="title_techn_card"/>
      <w:bookmarkEnd w:id="30"/>
      <w:r>
        <w:rPr>
          <w:lang w:val="en-US"/>
        </w:rPr>
        <w:t xml:space="preserve">Содержание дисциплины </w:t>
      </w:r>
      <w:bookmarkEnd w:id="29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bookmarkStart w:id="31" w:name="techn_card_start"/>
      <w:bookmarkStart w:id="32" w:name="techn_card_start"/>
      <w:bookmarkEnd w:id="32"/>
    </w:p>
    <w:tbl>
      <w:tblPr>
        <w:tblW w:w="14788" w:type="dxa"/>
        <w:jc w:val="left"/>
        <w:tblInd w:w="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1929"/>
        <w:gridCol w:w="7069"/>
        <w:gridCol w:w="1930"/>
        <w:gridCol w:w="1930"/>
        <w:gridCol w:w="1930"/>
      </w:tblGrid>
      <w:tr>
        <w:trPr>
          <w:trHeight w:val="2832" w:hRule="atLeast"/>
          <w:cantSplit w:val="true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Вид и № занятия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Тема занятия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Контактная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Самостоятельная работа, час.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Всего, час.</w:t>
            </w:r>
          </w:p>
        </w:tc>
      </w:tr>
      <w:tr>
        <w:trPr>
          <w:trHeight w:val="250" w:hRule="atLeast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№1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№1 «Элемпенты теории множеств и математической логики»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математической логики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высказывания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высказываниями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Исключающее `или`. Предикаты. Операции над предикатами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Элементы теории множеств.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Понятие множества. Операции над множествами.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Нечеткие множества.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Бинарные отношения.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Декартово произведение множеств.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эквивалентности.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Отношение порядка.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Унарные отношения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отображения (функции)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Обратное отображение.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отображений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том, что композиция биективных отображений есть биективное отображение.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Высказывания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Множества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Доказательство равенства множеств.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Бинарные отношения.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математической индукции.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№2 «Основные алгебраические системы»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Группы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 групп.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Свойства, вытекающие из определения групп.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Группа классов-вычетов по модулю n.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Подгруппы, кольца,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подгруппы, признак подгруппы.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кольца и поля.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Кольцо многочленов.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Поле комплексных чисел.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Поле комплексных чисел.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Вложение поля действительных чисел в поле комплексных.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Алгебраическая форма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Основная теорема алгебры.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Операции над комплексными числами.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Показательная и тригонометрическая форма комплексного числа.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Комплексно-сопряженные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Возведение комплексного числа в целую степень.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Извлечение корня n-ой степени из комплексного числа.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Корни n-ой степени из единицы.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группы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Подгруппы, кольца, поля.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Комплексные числа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Операции над комплексными числами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30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№3 «Матрицы, определители и системы линейных уравнений.»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Понятие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Квадратная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Единичная матрица.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ассоциативности умножения матриц.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Перестановки n-го порядка.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Определитель квадратной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определителя. Свойства определителя.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Лапласа.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Ранг матрицы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Алгебраические векторы.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Алгебраическое векторное 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Системы линейных уравнений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СЛАУ.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Эквивалентные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Элементарные преобразования системы.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Однородные 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Метод Крамера.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Кронекера-Капелли.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Крамера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минора матрицы порядка k.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Матрицы и операции над ними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Умножение матриц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Вычисление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определителей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Арифметические векторы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Гаусса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Метод Крамера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Обратная матрица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52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147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Семестр №2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№4 «Векторные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Векторные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Примеры пространств.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Пересечение подпространств.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Пересечение подпространств. Линейная оболочка системы векторов.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Линейная 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и линейная независимость.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Свойства линейно зависимой системы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Построение линейно независимой подсистемы.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векторного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ЛК19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Размерность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Разложение векторного пространства в прямую сумму подпространств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Векторные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Подпространство векторного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Линейная зависимость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Базис системы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Размерность подпространства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№5 «Линейные операторы»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Линейные операторы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Понятие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Примеры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Связь инъективности и сюръективности оператора с размерностью пространства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изоморфизме линейных пространств.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 существовании обратного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Композиция линейных операторов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линейных операторов.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Ранг матрицы линейного отображения.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Матрица перехода от одного базиса к другому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координат при изменении базиса.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Характеристическая матрица и характеристический многочлен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Условия диагонализируемости матрицы линейного оператора.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ПР29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Линейные операторы и из свойства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№1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Ядро и образ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Матрица перехода от одного базиса к другому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ПР35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Преобразования координат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Преобразование матрицы линейного оператора при изменении базиса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Собственные векторы и собственные значения линейного оператора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>Раздел №6 «Евклидовы пространства»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ЛК26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Евклидово пространство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Скалярное произведение.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Евклидово пространство.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Неравенство Коши-Буняковского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ЛК27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Лекция: 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и ортонормированная система векторов.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Теорема об ортогонализации.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ЛК28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Лекция: 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Изучаемые вопросы: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 xml:space="preserve">Ортогональное дополнение к подпространству.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Вопросы для самостоятельного изучения: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Дополнительное подпространство.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ПР38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Евклидовы пространства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ПР39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Ортогональная система векторов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ПР40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Ортогональное дополнение к подпространству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ПР41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Подготовка к контрольной работе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ПР42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Контрольная работа №2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ПР43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Анализ контрольных работ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ПР44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Повторение и обобщение изученного материала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разделу: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20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Промежуточная аттестация: экз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36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семестру: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72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</w:tr>
      <w:tr>
        <w:trPr/>
        <w:tc>
          <w:tcPr>
            <w:tcW w:w="8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Итого по дисциплине: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144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i/>
                <w:i/>
                <w:szCs w:val="28"/>
              </w:rPr>
            </w:pPr>
            <w:r>
              <w:rPr>
                <w:i/>
                <w:szCs w:val="28"/>
              </w:rPr>
              <w:t>288</w:t>
            </w:r>
          </w:p>
        </w:tc>
      </w:tr>
      <w:tr>
        <w:trPr/>
        <w:tc>
          <w:tcPr>
            <w:tcW w:w="109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szCs w:val="28"/>
              </w:rPr>
            </w:pPr>
            <w:r>
              <w:rPr>
                <w:b/>
                <w:szCs w:val="28"/>
              </w:rPr>
              <w:t xml:space="preserve">Примечания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134" w:right="1134" w:header="709" w:top="1701" w:footer="709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WP"/>
        <w:numPr>
          <w:ilvl w:val="0"/>
          <w:numId w:val="0"/>
        </w:numPr>
        <w:ind w:left="0" w:firstLine="720"/>
        <w:jc w:val="both"/>
        <w:outlineLvl w:val="0"/>
        <w:rPr>
          <w:sz w:val="28"/>
          <w:szCs w:val="28"/>
          <w:lang w:val="en-US"/>
        </w:rPr>
      </w:pPr>
      <w:bookmarkStart w:id="33" w:name="_Toc501490417"/>
      <w:r>
        <w:rPr/>
        <w:t xml:space="preserve">6 </w:t>
      </w:r>
      <w:bookmarkStart w:id="34" w:name="title_individ"/>
      <w:bookmarkEnd w:id="34"/>
      <w:r>
        <w:rPr/>
        <w:t xml:space="preserve">Методические указания для обучающихся по освоению дисциплины </w:t>
      </w:r>
      <w:bookmarkEnd w:id="33"/>
      <w:r>
        <w:rPr>
          <w:bCs/>
        </w:rPr>
        <w:t>и учебно-методическое обеспечение самостоятельной работы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bookmarkStart w:id="35" w:name="individual"/>
      <w:bookmarkEnd w:id="35"/>
      <w:r>
        <w:rPr>
          <w:rFonts w:cs="Times New Roman CYR" w:ascii="Times New Roman CYR" w:hAnsi="Times New Roman CYR"/>
          <w:sz w:val="28"/>
          <w:szCs w:val="28"/>
        </w:rPr>
        <w:t>1.Ознакомиться с общим тематическим планом лекционных и практических;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2.Самостоятельно прорабатывать уже пройденный материал лекционных и лабораторных занятий. При необходимости составить список вопрос и обратиться к преподавателю;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3.Перед изучением нового теоретического материала желательно заранее ознакомиться с содержанием предстоящей лекции. При необходимости составить список вопросов и обратиться к преподавателю.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4.Если в ходе рассмотрения нового теоретического или практического материала преподаватель ссылается на полученные ранее знания, умения или навыки, то рекомендуется их повторить;</w:t>
      </w:r>
    </w:p>
    <w:p>
      <w:pPr>
        <w:pStyle w:val="Normal"/>
        <w:suppressAutoHyphens w:val="true"/>
        <w:ind w:left="284" w:hanging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5.Выполнять индивидуальные задания желательно не только в рамках учебных занятий;</w:t>
      </w:r>
    </w:p>
    <w:p>
      <w:pPr>
        <w:pStyle w:val="Normal"/>
        <w:widowControl w:val="false"/>
        <w:shd w:val="clear" w:color="auto" w:fill="FFFFFF"/>
        <w:suppressAutoHyphens w:val="true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6.Ознакомиться со списком литературы и интернет-ресурсов, рекомендуемых преподавателем для углубленного изучения либо дисциплины в целом, либо отдельных разделов.</w:t>
      </w:r>
    </w:p>
    <w:p>
      <w:pPr>
        <w:pStyle w:val="Normal"/>
        <w:ind w:firstLine="709"/>
        <w:jc w:val="both"/>
        <w:rPr>
          <w:sz w:val="28"/>
          <w:szCs w:val="28"/>
        </w:rPr>
      </w:pPr>
      <w:bookmarkStart w:id="36" w:name="ind_table"/>
      <w:bookmarkEnd w:id="36"/>
      <w:r>
        <w:rPr>
          <w:sz w:val="28"/>
          <w:szCs w:val="28"/>
        </w:rPr>
        <w:t>Учебно-методическое обеспечение самостоятельной работы студентов по дисциплине включает: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Линейная алгебра [Электронный ресурс] : практикум. Учебное пособие / Е.Б. Малышева [и др.]. – Электрон. текстовые данные. – М. : Московский государственный строительный университет, ЭБС АСВ, 2014. – 135 c. – 978-5-7264-0825-5. – Режим доступа: http://www.iprbookshop.ru/26858.html</w:t>
      </w:r>
    </w:p>
    <w:p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fill="FCFCFC" w:val="clear"/>
        </w:rPr>
        <w:t>Морозова Л.Е. Векторная алгебра [Электронный ресурс] : учебное пособие / Л.Е. Морозова, В.Б. Смирнова. – Электрон. текстовые данные. – СПб. : Санкт-Петербургский государственный архитектурно-строительный университет, ЭБС АСВ, 2014. – 120 c. – 978-5-9227-0476-2. – Режим доступа: http://www.iprbookshop.ru/26870.html</w:t>
      </w:r>
    </w:p>
    <w:p>
      <w:pPr>
        <w:sectPr>
          <w:headerReference w:type="default" r:id="rId9"/>
          <w:footerReference w:type="default" r:id="rId10"/>
          <w:type w:val="nextPage"/>
          <w:pgSz w:w="11906" w:h="16838"/>
          <w:pgMar w:left="1701" w:right="851" w:header="709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ListParagraph"/>
        <w:numPr>
          <w:ilvl w:val="0"/>
          <w:numId w:val="3"/>
        </w:numPr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 Л.Д. Линейная алгебра для экономистов [Электронный ресурс] : учебное пособие / Л.Д. Попов, М.М. Фоминых. – Электрон. текстовые данные. – Екатеринбург: Уральский федеральный университет, 2013. – 112 c. – 5-7996-0945-0. – Режим доступа: http://www.iprbookshop.ru/68344.html</w:t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37" w:name="_Toc501490418"/>
      <w:r>
        <w:rPr/>
        <w:t xml:space="preserve">7 </w:t>
      </w:r>
      <w:bookmarkStart w:id="38" w:name="title_mark"/>
      <w:bookmarkEnd w:id="38"/>
      <w:r>
        <w:rPr/>
        <w:t xml:space="preserve">Фонд оценочных средств для проведения промежуточной аттестации обучающихся по дисциплине </w:t>
      </w:r>
      <w:bookmarkEnd w:id="37"/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bookmarkStart w:id="39" w:name="mark"/>
      <w:bookmarkEnd w:id="39"/>
      <w:r>
        <w:rPr>
          <w:rFonts w:cs="Times New Roman CYR" w:ascii="Times New Roman CYR" w:hAnsi="Times New Roman CYR"/>
          <w:sz w:val="28"/>
          <w:szCs w:val="28"/>
        </w:rPr>
        <w:t>Фонд оценочных средств представлен в Приложении к рабочей программе.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sz w:val="28"/>
          <w:szCs w:val="28"/>
        </w:rPr>
      </w:pPr>
      <w:bookmarkStart w:id="40" w:name="_Toc501490419"/>
      <w:r>
        <w:rPr/>
        <w:t xml:space="preserve">8 </w:t>
      </w:r>
      <w:bookmarkStart w:id="41" w:name="title_lit"/>
      <w:bookmarkEnd w:id="41"/>
      <w:r>
        <w:rPr/>
        <w:t xml:space="preserve">Перечень основной и дополнительной учебной литературы, необходимой для освоения дисциплины </w:t>
      </w:r>
      <w:bookmarkEnd w:id="40"/>
    </w:p>
    <w:p>
      <w:pPr>
        <w:pStyle w:val="HeadWP"/>
        <w:ind w:firstLine="720"/>
        <w:jc w:val="left"/>
        <w:rPr>
          <w:bCs/>
        </w:rPr>
      </w:pPr>
      <w:r>
        <w:rPr>
          <w:bCs/>
        </w:rPr>
      </w:r>
    </w:p>
    <w:p>
      <w:pPr>
        <w:pStyle w:val="HeadWP"/>
        <w:numPr>
          <w:ilvl w:val="1"/>
          <w:numId w:val="4"/>
        </w:numPr>
        <w:jc w:val="left"/>
        <w:rPr>
          <w:b w:val="false"/>
          <w:b w:val="false"/>
          <w:bCs w:val="false"/>
        </w:rPr>
      </w:pPr>
      <w:bookmarkStart w:id="42" w:name="_Toc501490420"/>
      <w:bookmarkStart w:id="43" w:name="title_lit_osn"/>
      <w:bookmarkEnd w:id="43"/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Основная литература</w:t>
      </w:r>
      <w:bookmarkEnd w:id="42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1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Регулирование социальных отношений в малых группах: анализ образовательных систем : учебно-методическое пособие / . —  Липецк : Липецкий государственный педагогический университет имени П.П. Семёнова-Тян-Шанского, 2020. — 52 c. — ISBN 2227-8397. — Текст : электронный // Электронно-библиотечная система IPR BOOKS : [сайт]. — URL: http://www.iprbookshop.ru/101042.html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3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Орлова Н.В. Жизнь в современном мире: демократия и -измы : учебное пособие / Орлова Н.В.. —  Липецк : Липецкий государственный педагогический университет имени П.П. Семёнова-Тян-Шанского, 2019. — 147 c. — ISBN 978-5-907168-32-9. — Текст : электронный // Электронно-библиотечная система IPR BOOKS : [сайт]. — URL: http://www.iprbookshop.ru/101000.html (дата обращения: 23.04.2021).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6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Шевякова Ю.И. Почему люди путешествуют? : учебное пособие / Шевякова Ю.И.. —  Липецк : Липецкий государственный педагогический университет имени П.П. Семёнова-Тян-Шанского, 2016. — 72 c. — ISBN 978-5-88536-776-2. — Текст : электронный // Электронно-библиотечная система IPR BOOKS : [сайт]. — URL: http://www.iprbookshop.ru/101020.html (дата обращения: 15.04.2021). — Режим доступа: для авторизир. пользователей </w:t>
      </w:r>
    </w:p>
    <w:p>
      <w:pPr>
        <w:pStyle w:val="ListParagraph"/>
        <w:numPr>
          <w:ilvl w:val="0"/>
          <w:numId w:val="0"/>
        </w:numPr>
        <w:bidi w:val="0"/>
        <w:spacing w:lineRule="auto" w:line="276" w:beforeAutospacing="0" w:before="0" w:afterAutospacing="0" w:after="200"/>
        <w:ind w:left="720" w:right="0" w:hanging="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0"/>
        <w:contextualSpacing/>
        <w:jc w:val="both"/>
        <w:rPr/>
      </w:pPr>
      <w:r>
        <w:rPr/>
      </w:r>
    </w:p>
    <w:p>
      <w:pPr>
        <w:pStyle w:val="HeadWP"/>
        <w:ind w:firstLine="720"/>
        <w:jc w:val="left"/>
        <w:rPr>
          <w:b w:val="false"/>
          <w:b w:val="false"/>
          <w:bCs/>
        </w:rPr>
      </w:pPr>
      <w:bookmarkStart w:id="44" w:name="_Toc501490421"/>
      <w:r>
        <w:rPr>
          <w:b w:val="false"/>
          <w:bCs w:val="false"/>
        </w:rPr>
        <w:t xml:space="preserve">8.2 </w:t>
      </w:r>
      <w:bookmarkStart w:id="45" w:name="title_lit_dop"/>
      <w:bookmarkEnd w:id="45"/>
      <w:r>
        <w:rPr>
          <w:b w:val="false"/>
          <w:bCs w:val="false"/>
        </w:rPr>
        <w:t>Дополнительная литература</w:t>
      </w:r>
      <w:bookmarkEnd w:id="44"/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1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Регулирование социальных отношений в малых группах: анализ образовательных систем : учебно-методическое пособие / . —  Липецк : Липецкий государственный педагогический университет имени П.П. Семёнова-Тян-Шанского, 2020. — 52 c. — ISBN 2227-8397. — Текст : электронный // Электронно-библиотечная система IPR BOOKS : [сайт]. — URL: http://www.iprbookshop.ru/101042.html (дата обращения: 15.04.2021).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3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Орлова Н.В. Жизнь в современном мире: демократия и -измы : учебное пособие / Орлова Н.В.. —  Липецк : Липецкий государственный педагогический университет имени П.П. Семёнова-Тян-Шанского, 2019. — 147 c. — ISBN 978-5-907168-32-9. — Текст : электронный // Электронно-библиотечная система IPR BOOKS : [сайт]. — URL: http://www.iprbookshop.ru/101000.html (дата обращения: 23.04.2021).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6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 </w:t>
      </w:r>
    </w:p>
    <w:p>
      <w:pPr>
        <w:pStyle w:val="ListParagraph"/>
        <w:numPr>
          <w:ilvl w:val="0"/>
          <w:numId w:val="5"/>
        </w:numPr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color w:val="000000" w:themeColor="text1" w:themeShade="ff" w:themeTint="ff"/>
          <w:sz w:val="28"/>
          <w:szCs w:val="28"/>
        </w:rPr>
        <w:t xml:space="preserve">Шевякова Ю.И. Почему люди путешествуют? : учебное пособие / Шевякова Ю.И.. —  Липецк : Липецкий государственный педагогический университет имени П.П. Семёнова-Тян-Шанского, 2016. — 72 c. — ISBN 978-5-88536-776-2. — Текст : электронный // Электронно-библиотечная система IPR BOOKS : [сайт]. — URL: http://www.iprbookshop.ru/101020.html (дата обращения: 15.04.2021). — Режим доступа: для авторизир. пользователей </w:t>
      </w:r>
    </w:p>
    <w:p>
      <w:pPr>
        <w:pStyle w:val="ListParagraph"/>
        <w:bidi w:val="0"/>
        <w:spacing w:lineRule="auto" w:line="276" w:beforeAutospacing="0" w:before="0" w:afterAutospacing="0" w:after="200"/>
        <w:ind w:left="0" w:right="0" w:hanging="360"/>
        <w:contextualSpacing/>
        <w:jc w:val="both"/>
        <w:rPr>
          <w:color w:val="000000" w:themeColor="text1" w:themeShade="ff" w:themeTint="ff"/>
          <w:sz w:val="22"/>
          <w:szCs w:val="22"/>
        </w:rPr>
      </w:pPr>
      <w:r>
        <w:rPr>
          <w:rFonts w:ascii="Times New Roman" w:hAnsi="Times New Roman"/>
          <w:b w:val="false"/>
          <w:bCs w:val="false"/>
          <w:color w:val="000000" w:themeColor="text1" w:themeShade="ff" w:themeTint="ff"/>
          <w:sz w:val="28"/>
          <w:szCs w:val="28"/>
        </w:rPr>
        <w:t xml:space="preserve">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Autospacing="1" w:afterAutospacing="1"/>
        <w:rPr>
          <w:b/>
          <w:b/>
          <w:sz w:val="28"/>
        </w:rPr>
      </w:pPr>
      <w:bookmarkStart w:id="46" w:name="_GoBack"/>
      <w:bookmarkEnd w:id="46"/>
      <w:r>
        <w:rPr>
          <w:b/>
          <w:sz w:val="28"/>
        </w:rPr>
        <w:t>9. Перечень ресурсов информационно-телекоммуникационной сети «Интернет», необходимых для освоения дисциплины</w:t>
      </w:r>
    </w:p>
    <w:p>
      <w:pPr>
        <w:pStyle w:val="Normal"/>
        <w:rPr>
          <w:sz w:val="28"/>
        </w:rPr>
      </w:pPr>
      <w:r>
        <w:rPr>
          <w:sz w:val="28"/>
        </w:rPr>
        <w:t>Перечень электронно-библиотечных систем:</w:t>
      </w:r>
    </w:p>
    <w:p>
      <w:pPr>
        <w:pStyle w:val="Normal"/>
        <w:rPr>
          <w:sz w:val="28"/>
        </w:rPr>
      </w:pPr>
      <w:r>
        <w:rPr>
          <w:sz w:val="28"/>
        </w:rPr>
        <w:t xml:space="preserve">1. Электронно-библиотечная система IPRbooks http://www.iprbookshop.ru; </w:t>
      </w:r>
    </w:p>
    <w:p>
      <w:pPr>
        <w:pStyle w:val="Normal"/>
        <w:rPr>
          <w:sz w:val="28"/>
        </w:rPr>
      </w:pPr>
      <w:r>
        <w:rPr>
          <w:sz w:val="28"/>
        </w:rPr>
        <w:t>2. Научная электронная библиотека elibrary https://elibrary.ru;</w:t>
      </w:r>
    </w:p>
    <w:p>
      <w:pPr>
        <w:pStyle w:val="Normal"/>
        <w:rPr>
          <w:sz w:val="28"/>
        </w:rPr>
      </w:pPr>
      <w:r>
        <w:rPr>
          <w:sz w:val="28"/>
        </w:rPr>
        <w:t>3. «Электронная библиотека образовательных ресурсов (ЭБОР)»  http://elib.oreluniver.ru.</w:t>
      </w:r>
    </w:p>
    <w:p>
      <w:pPr>
        <w:pStyle w:val="Normal"/>
        <w:rPr>
          <w:sz w:val="28"/>
        </w:rPr>
      </w:pPr>
      <w:r>
        <w:rPr>
          <w:sz w:val="28"/>
        </w:rPr>
        <w:t>Перечень информационных справочных систем:</w:t>
      </w:r>
    </w:p>
    <w:p>
      <w:pPr>
        <w:pStyle w:val="Normal"/>
        <w:rPr>
          <w:sz w:val="28"/>
        </w:rPr>
      </w:pPr>
      <w:r>
        <w:rPr>
          <w:sz w:val="28"/>
        </w:rPr>
        <w:t>4. Справочно-правовая система «Консультант ПЛЮС».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10. Перечень информационных технологий, используемых при осуществлении образовательного процесса по дисциплине</w:t>
      </w:r>
    </w:p>
    <w:p>
      <w:pPr>
        <w:pStyle w:val="Normal"/>
        <w:rPr>
          <w:sz w:val="28"/>
        </w:rPr>
      </w:pPr>
      <w:r>
        <w:rPr>
          <w:sz w:val="28"/>
        </w:rPr>
        <w:t>1. Операционная система MS Windows XP SP3,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2. Операционная система MS Windows 7 Professional,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3. Операционная система Ubuntu 14.04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4. Пакет офисных приложений Office 2007,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5. Пакет офисных приложений Office 2016,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6. Автоматизации деятельности на предприятии 1С-Предприятие 8. Комплект для обучения в высших и средних учебных заведениях,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7. Анализ и моделирование бизнес-процессов Ramus Education,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8. Веб-браузер Mozilla Firefox,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9. Интегрированная среда разработки Visual C++ 2010 Express Edition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10. Интерпретатор языка программирования PHP PHP 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11. Интерпретатор языка программирования Python 4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12. Командный интерпретатор, интерпретатор языка программирования bash 4.3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13. Компилятор языка программирования GCC 4.8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14. Поддержка виртуализации VirtualBox 5.3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15. Программа управления проектами Project Standard 2007, 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16. Просмотр файлов AdobeReader,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17. Просмотр файлов WinDjView,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18. Система компьютерной математики Maple 12,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19. Система моделирования бизнес процессов Bizagi Process Modeler, свободно распространяемое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20. Система управления базами данных mysql-5.5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21. Статистический пакет Eviews 6,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22. Текстовый редактор Kate 4.13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23. Текстовый фильтр grep 2.16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24. Торгово-аналитическая платформа, Rumus,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25. Файловый архиватор 7 Zip свободное ПО, ежегодно обновляемое ПО;</w:t>
      </w:r>
    </w:p>
    <w:p>
      <w:pPr>
        <w:pStyle w:val="Normal"/>
        <w:rPr>
          <w:sz w:val="28"/>
        </w:rPr>
      </w:pPr>
      <w:r>
        <w:rPr>
          <w:sz w:val="28"/>
        </w:rPr>
        <w:t>26. Финансово-аналитическое программное обеспечение Project  Expert 7.21 Tutorial,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27. Язык программирования Delphi 2007 (RAD Studio),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28. 3D моделирование 3DS Max 2008, лицензионное соглашение;</w:t>
      </w:r>
    </w:p>
    <w:p>
      <w:pPr>
        <w:pStyle w:val="Normal"/>
        <w:rPr>
          <w:sz w:val="28"/>
        </w:rPr>
      </w:pPr>
      <w:r>
        <w:rPr>
          <w:sz w:val="28"/>
        </w:rPr>
        <w:t>29. Web-сервер apache 2 2.4.7 свободное ПО, ежегодно обновляемое ПО.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11. Материально-техническое обеспечение дисциплины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занятий лекционного типа, занятий семинарского типа, оснащены мультимедийным комплексом (ноутбук, проектор, демонстрационный экран), учебно-наглядными пособиями,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Учебные аудитории для проведения групповых и индивидуальных консультаций, текущего контроля и промежуточной аттестации оснащены ноутбуком, проектором, переносным демонстрационным экраном,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самостоятельной работы, оснащенные компьютерной техникой, подключенной к сети «Интернет» и обеспечивающей доступ в электронную информационно-образовательную среду университета, специализированной мебелью.</w:t>
      </w:r>
    </w:p>
    <w:p>
      <w:pPr>
        <w:pStyle w:val="Normal"/>
        <w:rPr>
          <w:sz w:val="28"/>
        </w:rPr>
      </w:pPr>
      <w:r>
        <w:rPr>
          <w:sz w:val="28"/>
        </w:rPr>
        <w:t>Помещения для хранения и профилактического обслуживания учебного оборудования, оснащенные специализированной мебелью.</w:t>
      </w:r>
      <w:r>
        <w:br w:type="page"/>
      </w:r>
    </w:p>
    <w:p>
      <w:pPr>
        <w:pStyle w:val="HeadWP"/>
        <w:numPr>
          <w:ilvl w:val="0"/>
          <w:numId w:val="0"/>
        </w:numPr>
        <w:ind w:left="0" w:firstLine="720"/>
        <w:jc w:val="left"/>
        <w:outlineLvl w:val="0"/>
        <w:rPr>
          <w:b w:val="false"/>
          <w:b w:val="false"/>
        </w:rPr>
      </w:pPr>
      <w:bookmarkStart w:id="47" w:name="_Toc496696226"/>
      <w:r>
        <w:rPr>
          <w:b w:val="false"/>
        </w:rPr>
        <w:t>ПРИЛОЖЕНИЕ</w:t>
      </w:r>
      <w:bookmarkEnd w:id="47"/>
      <w:r>
        <w:rPr>
          <w:b w:val="false"/>
        </w:rPr>
        <w:t xml:space="preserve">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К РАБОЧЕЙ ПРОГРАММЕ ДИСЦИПЛИНЫ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ФОНД ОЦЕНОЧНЫХ СРЕДСТВ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«Алгебра»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09.03.03 Прикладная информатика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Направленность (профиль) Прикладная информатика в экономике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Орел 2016</w:t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Перечень оценочных средств и их соответствие планируемым результатам обучения по дисциплине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74"/>
        <w:gridCol w:w="1978"/>
        <w:gridCol w:w="5492"/>
      </w:tblGrid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Форма аттестации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Оценочные средства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Планируемые результаты обучения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(индикаторы достижения компетенций)</w:t>
            </w:r>
          </w:p>
        </w:tc>
      </w:tr>
      <w:tr>
        <w:trPr/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билетов для экзамена</w:t>
            </w:r>
          </w:p>
        </w:tc>
        <w:tc>
          <w:tcPr>
            <w:tcW w:w="5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 xml:space="preserve">Знать: 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основные определения и формулировки наиболее важных результатов в фундаментальных разделах математики (З (ОПК-3)-I);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доказательства наиболее важных результатов в фундаментальных разделах математики (З (ОПК-3)-I);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color w:val="000000"/>
                <w:spacing w:val="-2"/>
              </w:rPr>
              <w:t xml:space="preserve">- </w:t>
            </w:r>
            <w:r>
              <w:rPr/>
              <w:t>базовый математический аппарат, используемый для формализации прикладных задач (З (ПК-23)-</w:t>
            </w:r>
            <w:r>
              <w:rPr>
                <w:lang w:val="en-US"/>
              </w:rPr>
              <w:t>I</w:t>
            </w:r>
            <w:r>
              <w:rPr/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Уметь: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  <w:kern w:val="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формулировать и доказывать наиболее важные результаты в фундаментальных разделах математики (У (ОПК-3)-I);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ind w:left="205" w:hanging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обосновать выбор средств решения типовых и нестандартных задач естественнонаучных дисциплин (У (ОПК-3)-I);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находить, обрабатывать и анализировать информацию из разных источников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05" w:leader="none"/>
              </w:tabs>
              <w:suppressAutoHyphens w:val="true"/>
              <w:spacing w:lineRule="atLeast" w:line="100" w:before="0" w:after="0"/>
              <w:ind w:left="205" w:hanging="14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применять математические методы в формализации решения прикладных задач (У (ПК-23)-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);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Владеть:</w:t>
            </w:r>
          </w:p>
          <w:p>
            <w:pPr>
              <w:pStyle w:val="Normal"/>
              <w:numPr>
                <w:ilvl w:val="0"/>
                <w:numId w:val="9"/>
              </w:numPr>
              <w:ind w:left="427" w:hanging="360"/>
              <w:jc w:val="both"/>
              <w:rPr>
                <w:sz w:val="28"/>
                <w:szCs w:val="28"/>
              </w:rPr>
            </w:pPr>
            <w:r>
              <w:rPr/>
              <w:t>навыками применения современного математического инструментария и информационно-коммуникационных технологий для решения типовых профессиональных задач (В (ОПК-3)-I)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выделения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постановки прикладной задачи (В (ПК-23)-I);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ind w:left="427" w:hanging="360"/>
              <w:contextualSpacing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навыками формализации прикладной задачи (В (ПК-23)-I)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contextualSpacing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Критерии и шкалы оценивания </w:t>
      </w:r>
    </w:p>
    <w:tbl>
      <w:tblPr>
        <w:tblW w:w="101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64"/>
        <w:gridCol w:w="1710"/>
        <w:gridCol w:w="1839"/>
        <w:gridCol w:w="3155"/>
        <w:gridCol w:w="1572"/>
      </w:tblGrid>
      <w:tr>
        <w:trPr/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Вид контроля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Форма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аттестации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Оценочные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средства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bCs/>
              </w:rPr>
              <w:t>Критерии оценивания для промежуточной аттестации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Шкала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оценивания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Промежуточная аттестация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Экзамен</w:t>
            </w:r>
          </w:p>
        </w:tc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Комплект экзаменационных билетов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практические умения и навыки сформированы: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Знает: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основные определения и формулировки наиболее важных результатов в области алгебры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полные доказательства самых важных утверждений и теорем 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Умеет: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>
              <w:rPr/>
              <w:t>обосновать выбор средств решения типовых задач 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формулировать и доказывать наиболее важные результаты.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Владеет: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- навыками решения типовых задач.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34-40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«5» отлично 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полностью, но отдельные практические умения и навыки сформированы недостаточно: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26-33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«4» хорошо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освоено с незначительными   пробелами, необходимые практические умения и навыки в основном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21-25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«3» удовлетворительно</w:t>
            </w:r>
          </w:p>
        </w:tc>
      </w:tr>
      <w:tr>
        <w:trPr>
          <w:trHeight w:val="275" w:hRule="atLeast"/>
        </w:trPr>
        <w:tc>
          <w:tcPr>
            <w:tcW w:w="18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7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Теоретическое содержание курса студентом не освоено, необходимые  практические умения и навыки не сформированы: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 xml:space="preserve">0-20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«2» неудовлетворительно</w:t>
            </w:r>
          </w:p>
        </w:tc>
      </w:tr>
    </w:tbl>
    <w:p>
      <w:pPr>
        <w:pStyle w:val="Normal"/>
        <w:numPr>
          <w:ilvl w:val="0"/>
          <w:numId w:val="7"/>
        </w:numPr>
        <w:jc w:val="center"/>
        <w:rPr>
          <w:b/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Типовые оценочные средства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Промежуточная аттестация по дисциплине –экзамен в письменной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сессии. Продолжительность работы – 1 час 30 минут.</w:t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3.1 Структура и содержание экзаменационного билета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Экзаменационный билет состоит двух частей, предполагающих устное собеседование по одному вопросу и решение четырех практических заданий.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Максимальное количество баллов за экзамен равно 40. </w:t>
      </w:r>
    </w:p>
    <w:tbl>
      <w:tblPr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68"/>
        <w:gridCol w:w="2180"/>
        <w:gridCol w:w="1965"/>
        <w:gridCol w:w="1610"/>
        <w:gridCol w:w="2721"/>
      </w:tblGrid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Структура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Раздел дисциплины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Проверяемые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результаты </w:t>
            </w:r>
          </w:p>
          <w:p>
            <w:pPr>
              <w:pStyle w:val="Style16"/>
              <w:ind w:hanging="0"/>
              <w:rPr>
                <w:sz w:val="24"/>
              </w:rPr>
            </w:pPr>
            <w:r>
              <w:rPr>
                <w:sz w:val="24"/>
              </w:rPr>
              <w:t>обучения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  <w:t>Критерии оценивания</w:t>
            </w:r>
          </w:p>
        </w:tc>
      </w:tr>
      <w:tr>
        <w:trPr>
          <w:trHeight w:val="1068" w:hRule="atLeast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Теоретический 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rPr>
                <w:lang w:val="en-US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 xml:space="preserve">8 баллов </w:t>
              <w:softHyphen/>
              <w:t>– полное раскрытие теоретического вопроса, материал изложен в определенной логической последовательности</w:t>
            </w:r>
            <w:r>
              <w:rPr>
                <w:color w:val="004000"/>
                <w:sz w:val="24"/>
              </w:rPr>
              <w:t>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6 баллов – полное раскрытие теоретического вопроса с незначительными неточностями формулировок;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4 балла – поставленный вопрос раскрыт недостаточно полно, отсутствуют отдельные выводы или формулировки;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2 балла – изложен краткий план ответа на вопрос в  определенной логической последовательности</w:t>
            </w:r>
            <w:r>
              <w:rPr>
                <w:color w:val="004000"/>
                <w:sz w:val="24"/>
              </w:rPr>
              <w:t xml:space="preserve"> </w:t>
            </w:r>
            <w:r>
              <w:rPr>
                <w:sz w:val="24"/>
              </w:rPr>
              <w:t>(даны основные определения, приведены формулы);</w:t>
            </w:r>
          </w:p>
          <w:p>
            <w:pPr>
              <w:pStyle w:val="Style16"/>
              <w:rPr>
                <w:sz w:val="24"/>
              </w:rPr>
            </w:pPr>
            <w:r>
              <w:rPr>
                <w:sz w:val="24"/>
              </w:rPr>
              <w:t>0 баллов – в противном случае.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 xml:space="preserve">Практическое </w:t>
            </w:r>
          </w:p>
          <w:p>
            <w:pPr>
              <w:pStyle w:val="Style16"/>
              <w:spacing w:lineRule="auto" w:line="288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 xml:space="preserve">Элементы теории множеств и математической логики; 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матрицы, определители, системы линейных уравнений;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основные алгебраические системы;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пространства;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линейные операторы;</w:t>
            </w:r>
          </w:p>
          <w:p>
            <w:pPr>
              <w:pStyle w:val="221"/>
              <w:spacing w:before="0" w:after="0"/>
              <w:jc w:val="both"/>
              <w:rPr>
                <w:rFonts w:ascii="Times New Roman" w:hAnsi="Times New Roman"/>
                <w:b w:val="false"/>
                <w:b w:val="false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false"/>
                <w:sz w:val="24"/>
                <w:szCs w:val="24"/>
                <w:lang w:val="ru-RU"/>
              </w:rPr>
              <w:t>евклидовы пространства.</w:t>
            </w:r>
          </w:p>
          <w:p>
            <w:pPr>
              <w:pStyle w:val="Style16"/>
              <w:spacing w:lineRule="auto" w:line="288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У(ОПК-3)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 xml:space="preserve">В(ОПК-3)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З(ПК-23) - </w:t>
            </w:r>
            <w:r>
              <w:rPr>
                <w:lang w:val="en-US"/>
              </w:rPr>
              <w:t>I</w:t>
            </w:r>
          </w:p>
          <w:p>
            <w:pPr>
              <w:pStyle w:val="Normal"/>
              <w:rPr>
                <w:b/>
                <w:b/>
              </w:rPr>
            </w:pPr>
            <w:r>
              <w:rPr/>
              <w:t>У(ПК-23)</w:t>
            </w:r>
            <w:r>
              <w:rPr>
                <w:lang w:val="en-US"/>
              </w:rPr>
              <w:t xml:space="preserve"> - I</w:t>
            </w:r>
          </w:p>
          <w:p>
            <w:pPr>
              <w:pStyle w:val="Normal"/>
              <w:spacing w:lineRule="auto" w:line="288"/>
              <w:rPr>
                <w:sz w:val="28"/>
                <w:szCs w:val="28"/>
              </w:rPr>
            </w:pPr>
            <w:r>
              <w:rPr/>
              <w:t>В(ПК-23)</w:t>
            </w:r>
            <w:r>
              <w:rPr>
                <w:lang w:val="en-US"/>
              </w:rPr>
              <w:t xml:space="preserve"> - I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8 баллов – практическое задание выполнено верно, сделаны верные обоснованные выводы;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6 баллов – в решении допущена одна вычислительная ошибка, в связи с этим, возможно, получены неверные выводы / задание выполнено верно, отсутствуют обоснованные выводы.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4 балла – задание выполнено правильно не менее, чем на 50%, приведены все необходимые для его решения формулы.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2 балла – задание верно выполнено на 1/3, приведены необходимые для решения задачи формулы, возможно, с негрубыми ошибками.  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0 баллов – в противном случае.</w:t>
            </w:r>
          </w:p>
        </w:tc>
      </w:tr>
    </w:tbl>
    <w:p>
      <w:pPr>
        <w:pStyle w:val="Normal"/>
        <w:ind w:firstLine="709"/>
        <w:jc w:val="center"/>
        <w:rPr>
          <w:b/>
          <w:b/>
          <w:bCs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t>3.2 Перечень т</w:t>
      </w:r>
      <w:r>
        <w:rPr>
          <w:b/>
          <w:bCs/>
          <w:sz w:val="28"/>
          <w:szCs w:val="28"/>
        </w:rPr>
        <w:t>еоретических вопросов для промежуточной аттестации по дисциплине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множества. Конечные и бесконечные множества. Подмножества.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Операции над множествами и их свойства.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высказывания. Простые и сложные высказывания. Логические операции над высказываниями.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алгебры высказывания.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Равносильные преобразования формул. Свойства отношения равносильности на множестве логических формул. Теорема.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Виды теорем.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Необходимые и достаточные условия.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Прямое произведение двух множеств и способы его задания.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Предикаты. Область определения и область истинности.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Примеры.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Операции над предикатами. Кванторы общности и существования.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Формулы с предикатами и их равносильность.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Бинарные отношения. График бинарного отношения. Отношения эквивалентности. Примеры. Теорема о разбиении множества на классы эквивалентности. Фактор-множество.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Отношение порядка. 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Понятие бинарной операции. Коммутативная, ассоциативная и дистрибутивная бинарные операции. Примеры. Обратная операция. Теорема о единственности нейтрального элемента. Теорема о симметричном элементе. Понятие алгебры.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Определение группы. Примеры.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Некоторые свойства групп. Признак подгруппы.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Гомоморфизм и изоморфизм групп. Теоремы о нейтральном элементе и симметричном элементе при гомоморфном отображении группы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 xml:space="preserve"> в группу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Теорема о гомоморфном образе группы.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групп.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Понятие кольца, примеры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Некоторые свойства колец.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Определение  поля. Примеры полей. Некоторые свойства полей.</w:t>
      </w:r>
      <w:r>
        <w:rPr>
          <w:sz w:val="28"/>
          <w:szCs w:val="28"/>
        </w:rPr>
        <w:t xml:space="preserve"> Подполе и характеристика поля.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Аксиоматическое определение поля действительных чисел. 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Некоторые свойства поля действительных чисел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. Принцип Архимеда.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Cs/>
          <w:sz w:val="28"/>
          <w:szCs w:val="28"/>
        </w:rPr>
        <w:t xml:space="preserve">Поле комплексных чисел. Теорема о поле комплексных чисел. Поле комплексных чисел как надполе поля 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Поле комплексных чисел. Действия над комплексными  числами.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арифметического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мерного векторного 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Определение векторного пространства. Примеры.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>Простейшие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свойства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Линейная зависимость векторов.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Размерность векторного пространства. Базис векторного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Базис векторного пространства. Теорема о размерности векторного пространства, базис которого состоит из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векторов. Следствие. Теорема о дополнении линейно независимой системы векторов пространства </w:t>
      </w:r>
      <w:r>
        <w:rPr>
          <w:bCs/>
          <w:sz w:val="28"/>
          <w:szCs w:val="28"/>
          <w:lang w:val="en-US"/>
        </w:rPr>
        <w:t>L</w:t>
      </w:r>
      <w:r>
        <w:rPr>
          <w:bCs/>
          <w:sz w:val="28"/>
          <w:szCs w:val="28"/>
          <w:vertAlign w:val="subscript"/>
          <w:lang w:val="en-US"/>
        </w:rPr>
        <w:t>n</w:t>
      </w:r>
      <w:r>
        <w:rPr>
          <w:bCs/>
          <w:sz w:val="28"/>
          <w:szCs w:val="28"/>
        </w:rPr>
        <w:t xml:space="preserve"> до базиса этого 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Координаты вектора. Координатная строка. Координатные строки суммы векторов и произведения вектора на число.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Cs/>
          <w:sz w:val="28"/>
          <w:szCs w:val="28"/>
        </w:rPr>
        <w:t>Связь между базисами пространства. Теорема о матрице перехода от одного базиса пространства к другому его базису.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Преобразование координат вектора. Теорема.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Изоморфизм векторных пространств. Свойства изоморфизма, вытекающие из определения.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Изоморфизм векторных пространств. Необходимое и достаточное условие изоморфизма двух векторных пространств.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Понятие подпространства. Примеры. Признак подпространства.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>Понятие подпространства. Примеры. Теорема о размерности подпространства.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Линейная оболочка векторов. Пересечение подпространств.  Сумма подпространств..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Теорема о размерности суммы двух подпространств.  Прямая сумма подпространств. Признак прямой суммы. </w:t>
      </w:r>
    </w:p>
    <w:p>
      <w:pPr>
        <w:pStyle w:val="Normal"/>
        <w:numPr>
          <w:ilvl w:val="0"/>
          <w:numId w:val="1"/>
        </w:numPr>
        <w:ind w:left="357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Прямая сумма подпространств. Теорема о размерности прямой суммы подпространств.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3.3 Примеры практических заданий </w:t>
      </w:r>
    </w:p>
    <w:p>
      <w:pPr>
        <w:pStyle w:val="Normal"/>
        <w:ind w:left="426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для промежуточной аттестации по дисциплине</w:t>
      </w:r>
    </w:p>
    <w:p>
      <w:pPr>
        <w:pStyle w:val="Normal"/>
        <w:ind w:left="4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Вычислить определитель: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Выполнить действия, используя тригонометрическую форму комплексного числа: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/>
        </m:f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Найдите обратную матрицу для матрицы и сделать проверку 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mr>
            </m:m>
          </m:e>
        </m:d>
      </m:oMath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0" w:leader="none"/>
        </w:tabs>
        <w:ind w:left="426" w:hanging="0"/>
        <w:rPr>
          <w:sz w:val="28"/>
          <w:szCs w:val="28"/>
        </w:rPr>
      </w:pPr>
      <w:r>
        <w:rPr>
          <w:sz w:val="28"/>
          <w:szCs w:val="28"/>
        </w:rPr>
        <w:t xml:space="preserve">Найти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AΔB</m:t>
        </m:r>
      </m:oMath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\ 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; если </w:t>
      </w:r>
      <w:r>
        <w:rPr>
          <w:i/>
          <w:iCs/>
          <w:sz w:val="28"/>
          <w:szCs w:val="28"/>
        </w:rPr>
        <w:t>А</w:t>
      </w:r>
      <w:r>
        <w:rPr>
          <w:sz w:val="28"/>
          <w:szCs w:val="28"/>
        </w:rPr>
        <w:t>={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 xml:space="preserve">2}, </w:t>
      </w:r>
      <w:r>
        <w:rPr>
          <w:i/>
          <w:iCs/>
          <w:sz w:val="28"/>
          <w:szCs w:val="28"/>
          <w:lang w:val="en-US"/>
        </w:rPr>
        <w:t>B</w:t>
      </w:r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{</w:t>
      </w:r>
      <w:r>
        <w:rPr>
          <w:i/>
          <w:iCs/>
          <w:sz w:val="28"/>
          <w:szCs w:val="28"/>
          <w:lang w:val="en-US"/>
        </w:rPr>
        <w:t>x</w:t>
      </w:r>
      <w:r>
        <w:rPr>
          <w:rFonts w:eastAsia="Symbol" w:cs="Symbol" w:ascii="Symbol" w:hAnsi="Symbol"/>
          <w:i/>
          <w:iCs/>
          <w:sz w:val="28"/>
          <w:szCs w:val="28"/>
          <w:lang w:val="en-US"/>
        </w:rPr>
        <w:t>Î</w:t>
      </w:r>
      <w:r>
        <w:rPr>
          <w:b/>
          <w:bCs/>
          <w:i/>
          <w:iCs/>
          <w:sz w:val="28"/>
          <w:szCs w:val="28"/>
          <w:lang w:val="en-US"/>
        </w:rPr>
        <w:t>R</w:t>
      </w:r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|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+</w:t>
      </w:r>
      <w:r>
        <w:rPr>
          <w:sz w:val="28"/>
          <w:szCs w:val="28"/>
        </w:rPr>
        <w:t>1</w:t>
      </w:r>
      <w:r>
        <w:rPr>
          <w:i/>
          <w:iCs/>
          <w:sz w:val="28"/>
          <w:szCs w:val="28"/>
        </w:rPr>
        <w:t>|&lt;</w:t>
      </w:r>
      <w:r>
        <w:rPr>
          <w:sz w:val="28"/>
          <w:szCs w:val="28"/>
        </w:rPr>
        <w:t>3}.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tbl>
      <w:tblPr>
        <w:tblW w:w="93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106"/>
        <w:gridCol w:w="2520"/>
        <w:gridCol w:w="3728"/>
      </w:tblGrid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pageBreakBefore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3.4 Пример экзаменационного билета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/>
              <w:t>Утверждаю: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Зав. кафедрой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д.п.н., профессор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softHyphen/>
              <w:softHyphen/>
            </w:r>
            <w:r>
              <w:rPr>
                <w:u w:val="single"/>
              </w:rPr>
              <w:softHyphen/>
              <w:t xml:space="preserve">                                 </w:t>
            </w:r>
            <w:r>
              <w:rPr/>
              <w:t xml:space="preserve">В.Д. Селютин     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  2016 г.</w:t>
            </w:r>
            <w:r>
              <w:rPr/>
              <w:t xml:space="preserve"> </w:t>
            </w:r>
          </w:p>
        </w:tc>
      </w:tr>
      <w:tr>
        <w:trPr/>
        <w:tc>
          <w:tcPr>
            <w:tcW w:w="3106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0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28" w:type="dxa"/>
            <w:tcBorders/>
            <w:vAlign w:val="bottom"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09.03.03</w:t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/>
              <w:t>1 курс о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ФГБОУ ВО «Орловский государственный университет имени И.С. Тургенева»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Физико-математический факультет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Кафедра алгебры и математических методов в экономике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Дисциплина «Алгебра»</w:t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Билет №1</w:t>
            </w:r>
          </w:p>
          <w:p>
            <w:pPr>
              <w:pStyle w:val="Normal"/>
              <w:ind w:left="284" w:hanging="0"/>
              <w:rPr>
                <w:sz w:val="28"/>
                <w:szCs w:val="28"/>
              </w:rPr>
            </w:pPr>
            <w:r>
              <w:rPr/>
              <w:t xml:space="preserve">1.Элементарные преобразования матрицы. Метод Гаусса. Равносильные системы. 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Вычислить определитель: </w:t>
            </w:r>
            <w:r>
              <w:rPr/>
            </w:r>
            <m:oMath xmlns:m="http://schemas.openxmlformats.org/officeDocument/2006/math">
              <m:d>
                <m:dPr>
                  <m:begChr m:val="|"/>
                  <m:endChr m:val="|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Выполнить действия, используя тригонометрическую форму комплексного числа: </w:t>
            </w:r>
            <w:r>
              <w:rPr/>
            </w:r>
            <m:oMath xmlns:m="http://schemas.openxmlformats.org/officeDocument/2006/math"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/>
              </m:f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Найдите обратную матрицу для матрицы и сделать проверку  </w:t>
            </w:r>
            <w:r>
              <w:rPr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r>
              <w:rPr/>
              <w:t xml:space="preserve">=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e>
                    </m:mr>
                  </m:m>
                </m:e>
              </m:d>
            </m:oMath>
            <w:r>
              <w:rPr/>
              <w:t>.</w:t>
            </w:r>
          </w:p>
          <w:p>
            <w:pPr>
              <w:pStyle w:val="Normal"/>
              <w:numPr>
                <w:ilvl w:val="0"/>
                <w:numId w:val="6"/>
              </w:numPr>
              <w:ind w:left="567" w:hanging="360"/>
              <w:rPr>
                <w:sz w:val="28"/>
                <w:szCs w:val="28"/>
              </w:rPr>
            </w:pPr>
            <w:r>
              <w:rPr/>
              <w:t xml:space="preserve">Найти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AΔB</m:t>
              </m:r>
            </m:oMath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A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B</w:t>
            </w:r>
            <w:r>
              <w:rPr/>
              <w:t xml:space="preserve">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 xml:space="preserve"> </w:t>
            </w:r>
            <w:r>
              <w:rPr/>
              <w:t xml:space="preserve">\ </w:t>
            </w:r>
            <w:r>
              <w:rPr>
                <w:i/>
                <w:iCs/>
                <w:lang w:val="en-US"/>
              </w:rPr>
              <w:t>A</w:t>
            </w:r>
            <w:r>
              <w:rPr/>
              <w:t xml:space="preserve">; если </w:t>
            </w:r>
            <w:r>
              <w:rPr>
                <w:i/>
                <w:iCs/>
              </w:rPr>
              <w:t>А</w:t>
            </w:r>
            <w:r>
              <w:rPr/>
              <w:t>={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/>
              <w:t xml:space="preserve">: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-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 xml:space="preserve">2},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/>
                <w:iCs/>
              </w:rPr>
              <w:t>=</w:t>
            </w:r>
            <w:r>
              <w:rPr/>
              <w:t>{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rFonts w:eastAsia="Symbol" w:cs="Symbol" w:ascii="Symbol" w:hAnsi="Symbol"/>
                <w:i/>
                <w:iCs/>
                <w:lang w:val="en-US"/>
              </w:rPr>
              <w:t>Î</w:t>
            </w:r>
            <w:r>
              <w:rPr>
                <w:b/>
                <w:bCs/>
                <w:i/>
                <w:iCs/>
                <w:lang w:val="en-US"/>
              </w:rPr>
              <w:t>R</w:t>
            </w:r>
            <w:r>
              <w:rPr>
                <w:i/>
                <w:iCs/>
              </w:rPr>
              <w:t>:</w:t>
            </w:r>
            <w:r>
              <w:rPr/>
              <w:t xml:space="preserve"> </w:t>
            </w:r>
            <w:r>
              <w:rPr>
                <w:i/>
                <w:iCs/>
              </w:rPr>
              <w:t>|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/>
                <w:iCs/>
              </w:rPr>
              <w:t>+</w:t>
            </w:r>
            <w:r>
              <w:rPr/>
              <w:t>1</w:t>
            </w:r>
            <w:r>
              <w:rPr>
                <w:i/>
                <w:iCs/>
              </w:rPr>
              <w:t>|&lt;</w:t>
            </w:r>
            <w:r>
              <w:rPr/>
              <w:t>3}.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3"/>
            <w:tcBorders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Разработал: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 xml:space="preserve">к.ф.-м.н., доцент </w:t>
            </w:r>
            <w:r>
              <w:rPr>
                <w:u w:val="single"/>
              </w:rPr>
              <w:t xml:space="preserve">                       </w:t>
            </w:r>
            <w:r>
              <w:rPr/>
              <w:t xml:space="preserve">  Д.Е. Ломакин</w:t>
            </w:r>
          </w:p>
          <w:p>
            <w:pPr>
              <w:pStyle w:val="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Рассмотрены и одобрены на заседании кафедры</w:t>
            </w:r>
          </w:p>
          <w:p>
            <w:pPr>
              <w:pStyle w:val="Normal"/>
              <w:rPr>
                <w:u w:val="single"/>
              </w:rPr>
            </w:pPr>
            <w:r>
              <w:rPr/>
              <w:t>«</w:t>
            </w:r>
            <w:r>
              <w:rPr>
                <w:u w:val="single"/>
              </w:rPr>
              <w:t xml:space="preserve">     </w:t>
            </w:r>
            <w:r>
              <w:rPr/>
              <w:t>»</w:t>
            </w:r>
            <w:r>
              <w:rPr>
                <w:u w:val="single"/>
              </w:rPr>
              <w:t xml:space="preserve">                                   </w:t>
            </w:r>
            <w:r>
              <w:rPr/>
              <w:t xml:space="preserve">  2016 г.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/>
              <w:t>Протокол №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Opera,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№8 от «19» апреля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8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«16» мая 2017 г.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Председатель НМС к.пед.н., доц. Л.Н. Зубкова  </w:t>
      </w:r>
      <w:r>
        <w:rPr/>
        <w:drawing>
          <wp:inline distT="0" distB="0" distL="0" distR="0">
            <wp:extent cx="1325880" cy="509270"/>
            <wp:effectExtent l="0" t="0" r="0" b="0"/>
            <wp:docPr id="9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Chrome,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 xml:space="preserve">Протокол №8 от «11» мая 2018 г. </w:t>
      </w:r>
    </w:p>
    <w:p>
      <w:pPr>
        <w:pStyle w:val="Normal"/>
        <w:rPr>
          <w:sz w:val="28"/>
        </w:rPr>
      </w:pPr>
      <w:r>
        <w:rPr>
          <w:sz w:val="28"/>
          <w:szCs w:val="28"/>
        </w:rPr>
        <w:t xml:space="preserve">Зав. кафедрой  д.пед.н., проф. В.Д. Селютин  </w:t>
      </w:r>
      <w:r>
        <w:rPr/>
        <w:drawing>
          <wp:inline distT="0" distB="0" distL="0" distR="0">
            <wp:extent cx="1115695" cy="463550"/>
            <wp:effectExtent l="0" t="0" r="0" b="0"/>
            <wp:docPr id="10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«15» мая 2018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1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ЛИСТ ИЗМЕНЕНИЙ В РАБОЧУЮ ПРОГРАММУ ДИСЦИПЛИНЫ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«Алгебра»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Изложить пункт 8 раздела 10 в следующей редакции в связи с обновлением рабочей программы дисциплины в части перечня лицензионного программного обеспечения:</w:t>
      </w:r>
    </w:p>
    <w:p>
      <w:pPr>
        <w:pStyle w:val="Normal"/>
        <w:rPr>
          <w:sz w:val="28"/>
        </w:rPr>
      </w:pPr>
      <w:r>
        <w:rPr>
          <w:sz w:val="28"/>
        </w:rPr>
        <w:t>«8. Веб-браузер, Mozilla Firefox, свободное ПО, ежегодно обновляемое ПО».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обсуждена на заседании кафедры алгебры и математических методов в экономике.</w:t>
      </w:r>
    </w:p>
    <w:p>
      <w:pPr>
        <w:pStyle w:val="Normal"/>
        <w:rPr>
          <w:sz w:val="28"/>
        </w:rPr>
      </w:pPr>
      <w:r>
        <w:rPr>
          <w:sz w:val="28"/>
        </w:rPr>
        <w:t>Протокол №6 от «21» февраля 2019 г.</w:t>
      </w:r>
    </w:p>
    <w:p>
      <w:pPr>
        <w:pStyle w:val="Normal"/>
        <w:rPr>
          <w:sz w:val="28"/>
          <w:lang w:val="en-US"/>
        </w:rPr>
      </w:pPr>
      <w:r>
        <w:rPr>
          <w:sz w:val="28"/>
          <w:szCs w:val="28"/>
        </w:rPr>
        <w:t>Зав. кафедрой  д.пед.н., проф. В.Д. Селютин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115695" cy="463550"/>
            <wp:effectExtent l="0" t="0" r="0" b="0"/>
            <wp:docPr id="12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</w:rPr>
      </w:pPr>
      <w:r>
        <w:rPr>
          <w:sz w:val="28"/>
        </w:rPr>
        <w:t xml:space="preserve">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  <w:t>Рабочая программа утверждена на заседании НМС физико-математического факультета.</w:t>
      </w:r>
    </w:p>
    <w:p>
      <w:pPr>
        <w:pStyle w:val="Normal"/>
        <w:rPr>
          <w:sz w:val="28"/>
        </w:rPr>
      </w:pPr>
      <w:r>
        <w:rPr>
          <w:sz w:val="28"/>
        </w:rPr>
        <w:t>Протокол №5 от «17» мая 2019 г.</w:t>
      </w:r>
    </w:p>
    <w:p>
      <w:pPr>
        <w:pStyle w:val="Normal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Председатель НМС  к.пед.н., доц. Л.Н. Зубкова</w:t>
      </w:r>
      <w:r>
        <w:rPr>
          <w:sz w:val="28"/>
          <w:szCs w:val="28"/>
          <w:lang w:val="en-US"/>
        </w:rPr>
        <w:t xml:space="preserve"> </w:t>
      </w:r>
      <w:r>
        <w:rPr/>
        <w:drawing>
          <wp:inline distT="0" distB="0" distL="0" distR="0">
            <wp:extent cx="1325880" cy="509270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7"/>
      <w:footerReference w:type="default" r:id="rId18"/>
      <w:type w:val="nextPage"/>
      <w:pgSz w:w="11906" w:h="16838"/>
      <w:pgMar w:left="1701" w:right="851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fficinaSans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6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16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stroked="f" style="position:absolute;margin-left:227.6pt;margin-top:0.05pt;width:12.45pt;height:13.65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16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3185" cy="174625"/>
              <wp:effectExtent l="0" t="0" r="0" b="0"/>
              <wp:wrapSquare wrapText="largest"/>
              <wp:docPr id="2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4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61.2pt;margin-top:0.05pt;width:6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4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14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stroked="f" style="position:absolute;margin-left:715.9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14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6" name="Изображение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15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1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15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9385" cy="174625"/>
              <wp:effectExtent l="0" t="0" r="0" b="0"/>
              <wp:wrapSquare wrapText="largest"/>
              <wp:docPr id="14" name="Изображение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8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17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Изображение2" stroked="f" style="position:absolute;margin-left:455.15pt;margin-top:0.05pt;width:12.45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8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17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6c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f94b5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f94b5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f94b5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rsid w:val="00f76ced"/>
    <w:pPr>
      <w:keepNext w:val="true"/>
      <w:ind w:firstLine="709"/>
      <w:jc w:val="both"/>
      <w:outlineLvl w:val="3"/>
    </w:pPr>
    <w:rPr>
      <w:b/>
      <w:bCs/>
      <w:sz w:val="28"/>
    </w:rPr>
  </w:style>
  <w:style w:type="paragraph" w:styleId="5">
    <w:name w:val="Heading 5"/>
    <w:basedOn w:val="Normal"/>
    <w:next w:val="Normal"/>
    <w:qFormat/>
    <w:rsid w:val="00163e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Normal"/>
    <w:next w:val="Normal"/>
    <w:qFormat/>
    <w:rsid w:val="00163eef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qFormat/>
    <w:rsid w:val="00163ee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Интернет-ссылка"/>
    <w:uiPriority w:val="99"/>
    <w:rsid w:val="00f94b56"/>
    <w:rPr>
      <w:color w:val="0000FF"/>
      <w:u w:val="single"/>
    </w:rPr>
  </w:style>
  <w:style w:type="character" w:styleId="Pagenumber">
    <w:name w:val="page number"/>
    <w:basedOn w:val="DefaultParagraphFont"/>
    <w:qFormat/>
    <w:rsid w:val="00dc7fc1"/>
    <w:rPr/>
  </w:style>
  <w:style w:type="character" w:styleId="Style8" w:customStyle="1">
    <w:name w:val="Основной текст Знак"/>
    <w:basedOn w:val="DefaultParagraphFont"/>
    <w:link w:val="ab"/>
    <w:qFormat/>
    <w:rsid w:val="00d82466"/>
    <w:rPr>
      <w:sz w:val="24"/>
      <w:szCs w:val="24"/>
    </w:rPr>
  </w:style>
  <w:style w:type="character" w:styleId="11" w:customStyle="1">
    <w:name w:val="Заголовок 1 Знак"/>
    <w:basedOn w:val="DefaultParagraphFont"/>
    <w:link w:val="1"/>
    <w:qFormat/>
    <w:locked/>
    <w:rsid w:val="00e80f92"/>
    <w:rPr>
      <w:rFonts w:ascii="Arial" w:hAnsi="Arial" w:cs="Arial"/>
      <w:b/>
      <w:bCs/>
      <w:kern w:val="2"/>
      <w:sz w:val="32"/>
      <w:szCs w:val="32"/>
    </w:rPr>
  </w:style>
  <w:style w:type="character" w:styleId="Style9" w:customStyle="1">
    <w:name w:val="Нижний колонтитул Знак"/>
    <w:basedOn w:val="DefaultParagraphFont"/>
    <w:link w:val="a7"/>
    <w:qFormat/>
    <w:locked/>
    <w:rsid w:val="00e80f92"/>
    <w:rPr>
      <w:sz w:val="24"/>
      <w:szCs w:val="24"/>
    </w:rPr>
  </w:style>
  <w:style w:type="character" w:styleId="22" w:customStyle="1">
    <w:name w:val="_ЗАГ_2_2 Знак"/>
    <w:link w:val="22"/>
    <w:qFormat/>
    <w:locked/>
    <w:rsid w:val="00e80f92"/>
    <w:rPr>
      <w:rFonts w:ascii="OfficinaSansC" w:hAnsi="OfficinaSansC" w:eastAsia="MS Mincho"/>
      <w:b/>
      <w:bCs/>
      <w:sz w:val="28"/>
      <w:szCs w:val="28"/>
      <w:lang w:eastAsia="ja-JP"/>
    </w:rPr>
  </w:style>
  <w:style w:type="character" w:styleId="Style10">
    <w:name w:val="Посещённая гиперссылка"/>
    <w:basedOn w:val="DefaultParagraphFont"/>
    <w:rsid w:val="002e7a9a"/>
    <w:rPr>
      <w:color w:val="800080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link w:val="ac"/>
    <w:rsid w:val="00d82466"/>
    <w:pPr>
      <w:spacing w:before="0" w:after="12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Body Text Indent"/>
    <w:basedOn w:val="Normal"/>
    <w:rsid w:val="00f76ced"/>
    <w:pPr>
      <w:widowControl w:val="false"/>
      <w:tabs>
        <w:tab w:val="clear" w:pos="708"/>
        <w:tab w:val="left" w:pos="1080" w:leader="none"/>
      </w:tabs>
      <w:spacing w:lineRule="auto" w:line="360"/>
      <w:ind w:firstLine="426"/>
      <w:jc w:val="both"/>
    </w:pPr>
    <w:rPr>
      <w:color w:val="000000"/>
      <w:sz w:val="26"/>
    </w:rPr>
  </w:style>
  <w:style w:type="paragraph" w:styleId="BodyTextIndent2">
    <w:name w:val="Body Text Indent 2"/>
    <w:basedOn w:val="Normal"/>
    <w:qFormat/>
    <w:rsid w:val="00f76ced"/>
    <w:pPr>
      <w:widowControl w:val="false"/>
      <w:spacing w:lineRule="auto" w:line="360"/>
      <w:ind w:firstLine="709"/>
      <w:jc w:val="both"/>
    </w:pPr>
    <w:rPr/>
  </w:style>
  <w:style w:type="paragraph" w:styleId="HeadWP" w:customStyle="1">
    <w:name w:val="HeadWP"/>
    <w:basedOn w:val="Normal"/>
    <w:qFormat/>
    <w:rsid w:val="001c53ac"/>
    <w:pPr>
      <w:jc w:val="center"/>
    </w:pPr>
    <w:rPr>
      <w:b/>
      <w:sz w:val="28"/>
      <w:szCs w:val="28"/>
    </w:rPr>
  </w:style>
  <w:style w:type="paragraph" w:styleId="12">
    <w:name w:val="TOC 1"/>
    <w:basedOn w:val="Normal"/>
    <w:next w:val="Normal"/>
    <w:autoRedefine/>
    <w:uiPriority w:val="39"/>
    <w:rsid w:val="00a4251c"/>
    <w:pPr>
      <w:tabs>
        <w:tab w:val="clear" w:pos="708"/>
        <w:tab w:val="right" w:pos="9360" w:leader="none"/>
      </w:tabs>
      <w:ind w:right="535" w:hanging="0"/>
    </w:pPr>
    <w:rPr>
      <w:sz w:val="28"/>
    </w:rPr>
  </w:style>
  <w:style w:type="paragraph" w:styleId="Style17">
    <w:name w:val="Верхний и нижний колонтитулы"/>
    <w:basedOn w:val="Normal"/>
    <w:qFormat/>
    <w:pPr/>
    <w:rPr/>
  </w:style>
  <w:style w:type="paragraph" w:styleId="Style18">
    <w:name w:val="Header"/>
    <w:basedOn w:val="Normal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9">
    <w:name w:val="Footer"/>
    <w:basedOn w:val="Normal"/>
    <w:link w:val="a8"/>
    <w:rsid w:val="00dc7fc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semiHidden/>
    <w:qFormat/>
    <w:rsid w:val="00843f3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ableoffigures">
    <w:name w:val="table of figures"/>
    <w:basedOn w:val="Normal"/>
    <w:next w:val="Normal"/>
    <w:semiHidden/>
    <w:qFormat/>
    <w:rsid w:val="00cb6bb3"/>
    <w:pPr/>
    <w:rPr>
      <w:sz w:val="28"/>
    </w:rPr>
  </w:style>
  <w:style w:type="paragraph" w:styleId="221" w:customStyle="1">
    <w:name w:val="_ЗАГ_2_2"/>
    <w:basedOn w:val="Normal"/>
    <w:link w:val="220"/>
    <w:qFormat/>
    <w:rsid w:val="00e80f92"/>
    <w:pPr>
      <w:tabs>
        <w:tab w:val="clear" w:pos="708"/>
        <w:tab w:val="left" w:pos="1418" w:leader="none"/>
      </w:tabs>
      <w:spacing w:before="200" w:after="120"/>
      <w:jc w:val="center"/>
    </w:pPr>
    <w:rPr>
      <w:rFonts w:ascii="OfficinaSansC" w:hAnsi="OfficinaSansC" w:eastAsia="MS Mincho"/>
      <w:b/>
      <w:bCs/>
      <w:sz w:val="28"/>
      <w:szCs w:val="28"/>
      <w:lang w:val="x-none" w:eastAsia="ja-JP"/>
    </w:rPr>
  </w:style>
  <w:style w:type="paragraph" w:styleId="ListParagraph">
    <w:name w:val="List Paragraph"/>
    <w:basedOn w:val="Normal"/>
    <w:uiPriority w:val="34"/>
    <w:qFormat/>
    <w:rsid w:val="0094691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rsid w:val="00b56b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5.xml"/><Relationship Id="rId18" Type="http://schemas.openxmlformats.org/officeDocument/2006/relationships/footer" Target="footer5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65779-BA6B-485B-B383-378E276E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WorkProgDoc.dat</Template>
  <TotalTime>5</TotalTime>
  <Application>LibreOffice/6.4.7.2$Linux_X86_64 LibreOffice_project/40$Build-2</Application>
  <Pages>31</Pages>
  <Words>3641</Words>
  <Characters>25176</Characters>
  <CharactersWithSpaces>28178</CharactersWithSpaces>
  <Paragraphs>969</Paragraphs>
  <Company>Temp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2021-06-03T13:54:00Z</dcterms:created>
  <dc:creator>Денис</dc:creator>
  <dc:description/>
  <dc:language>ru-RU</dc:language>
  <cp:lastModifiedBy/>
  <cp:lastPrinted>2011-05-10T17:38:00Z</cp:lastPrinted>
  <dcterms:modified xsi:type="dcterms:W3CDTF">2021-06-08T23:47:10Z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Temp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