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4E79"/>
          <w:sz w:val="34"/>
        </w:rPr>
        <w:t>DeviceCluster — Quick Reference</w:t>
      </w:r>
    </w:p>
    <w:p>
      <w:pPr>
        <w:spacing w:after="160"/>
      </w:pPr>
      <w:r>
        <w:rPr>
          <w:color w:val="595959"/>
          <w:sz w:val="18"/>
        </w:rPr>
        <w:t>Model.dll + Logic.dll  ·  .NET 10  ·  Windows x64</w:t>
      </w:r>
    </w:p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Setup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1584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Need</w:t>
            </w:r>
          </w:p>
        </w:tc>
        <w:tc>
          <w:tcPr>
            <w:tcW w:type="dxa" w:w="9072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What</w:t>
            </w:r>
          </w:p>
        </w:tc>
      </w:tr>
      <w:tr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Runtime</w:t>
            </w:r>
          </w:p>
        </w:tc>
        <w:tc>
          <w:tcPr>
            <w:tcW w:type="dxa" w:w="907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.NET 10, Windows x64 (not self-contained)</w:t>
            </w:r>
          </w:p>
        </w:tc>
      </w:tr>
      <w:tr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Python</w:t>
            </w:r>
          </w:p>
        </w:tc>
        <w:tc>
          <w:tcPr>
            <w:tcW w:type="dxa" w:w="907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3.13  +  pip install -r requirements.txt</w:t>
            </w:r>
          </w:p>
        </w:tc>
      </w:tr>
      <w:tr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Database</w:t>
            </w:r>
          </w:p>
        </w:tc>
        <w:tc>
          <w:tcPr>
            <w:tcW w:type="dxa" w:w="907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SQL Server — run all 3 scripts in sql/</w:t>
            </w:r>
          </w:p>
        </w:tc>
      </w:tr>
      <w:tr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Reference</w:t>
            </w:r>
          </w:p>
        </w:tc>
        <w:tc>
          <w:tcPr>
            <w:tcW w:type="dxa" w:w="907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Logic.dll only (Model.dll comes automatically)</w:t>
            </w:r>
          </w:p>
        </w:tc>
      </w:tr>
      <w:tr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Keep intact</w:t>
            </w:r>
          </w:p>
        </w:tc>
        <w:tc>
          <w:tcPr>
            <w:tcW w:type="dxa" w:w="907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python/ folder structure — scripts find models by relative path</w:t>
            </w:r>
          </w:p>
        </w:tc>
      </w:tr>
    </w:tbl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Run the whole pipeline — one call</w:t>
      </w:r>
    </w:p>
    <w:p>
      <w:pPr>
        <w:spacing w:after="0" w:before="6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>var sqlReader = new PythonSQL(connectionString);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>IPredictionClient client = new HttpPredictionClient(mlServiceUrl);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>var logic     = new LogicAssignment(connectionString);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>var result = await DevicePipeline.RunAsync(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   sqlReader, client, logic,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   "dbo.DummyTestingData",   // source table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   "dbo.PatternCluster",     // quota table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   @"...\data",             // scratch folder</w:t>
      </w:r>
    </w:p>
    <w:p>
      <w:pPr>
        <w:spacing w:after="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   "A9998",                  // project code</w:t>
      </w:r>
    </w:p>
    <w:p>
      <w:pPr>
        <w:spacing w:after="120" w:before="0" w:line="240" w:lineRule="auto"/>
        <w:ind w:left="144"/>
        <w:shd w:val="clear" w:color="auto" w:fill="F2F2F2"/>
      </w:pPr>
      <w:r>
        <w:rPr>
          <w:rFonts w:ascii="Consolas" w:hAnsi="Consolas"/>
          <w:sz w:val="16"/>
        </w:rPr>
        <w:t xml:space="preserve">    callbacks: null);         // optional progress hooks</w:t>
      </w:r>
    </w:p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What you get back  (DevicePipelineResult)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Property</w:t>
            </w:r>
          </w:p>
        </w:tc>
        <w:tc>
          <w:tcPr>
            <w:tcW w:type="dxa" w:w="8064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Contents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ClusterGroups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Assigned devices grouped by section + cluster  ←  main result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AssignedDevices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Flat list of placed devices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UnknownPredictionDevices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Floating — model could not classify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UnallocatedDevices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Floating — classified, but no quota room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AllocationResult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VacancyReport + InitialDeficits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PipelineResults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Raw predictions + ranked TOP_CLUSTERS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TypeResults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Raw device-type predictions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DeviceTypeLookup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DeviceId → device type</w:t>
            </w:r>
          </w:p>
        </w:tc>
      </w:tr>
      <w:tr>
        <w:tc>
          <w:tcPr>
            <w:tcW w:type="dxa" w:w="259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Request</w:t>
            </w:r>
          </w:p>
        </w:tc>
        <w:tc>
          <w:tcPr>
            <w:tcW w:type="dxa" w:w="806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Project + customer code processed</w:t>
            </w:r>
          </w:p>
        </w:tc>
      </w:tr>
    </w:tbl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Where results go  (written automatically)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736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type="dxa" w:w="1584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Gets</w:t>
            </w:r>
          </w:p>
        </w:tc>
        <w:tc>
          <w:tcPr>
            <w:tcW w:type="dxa" w:w="6336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Key columns</w:t>
            </w:r>
          </w:p>
        </w:tc>
      </w:tr>
      <w:tr>
        <w:tc>
          <w:tcPr>
            <w:tcW w:type="dxa" w:w="2736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dbo.OutputDeviceAssignment</w:t>
            </w:r>
          </w:p>
        </w:tc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Assigned devices</w:t>
            </w:r>
          </w:p>
        </w:tc>
        <w:tc>
          <w:tcPr>
            <w:tcW w:type="dxa" w:w="63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Section, Cluster, Confidence, IsBackfill, OriginalCluster</w:t>
            </w:r>
          </w:p>
        </w:tc>
      </w:tr>
      <w:tr>
        <w:tc>
          <w:tcPr>
            <w:tcW w:type="dxa" w:w="2736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dbo.DeviceReviewQueue</w:t>
            </w:r>
          </w:p>
        </w:tc>
        <w:tc>
          <w:tcPr>
            <w:tcW w:type="dxa" w:w="15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Floating devices</w:t>
            </w:r>
          </w:p>
        </w:tc>
        <w:tc>
          <w:tcPr>
            <w:tcW w:type="dxa" w:w="63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Category (UnknownPrediction | Unallocated), Status (pending | assigned)</w:t>
            </w:r>
          </w:p>
        </w:tc>
      </w:tr>
    </w:tbl>
    <w:p>
      <w:pPr>
        <w:spacing w:before="60"/>
      </w:pPr>
      <w:r>
        <w:rPr>
          <w:i/>
          <w:sz w:val="16"/>
        </w:rPr>
        <w:t>Both upsert by MERGE on DeviceId + ProjectCode — re-running the same project is safe. A device that flips outcome is removed from the other table automatically.</w:t>
      </w:r>
    </w:p>
    <w:p>
      <w:r>
        <w:br w:type="page"/>
      </w:r>
    </w:p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Classes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Class</w:t>
            </w:r>
          </w:p>
        </w:tc>
        <w:tc>
          <w:tcPr>
            <w:tcW w:type="dxa" w:w="792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DLL</w:t>
            </w:r>
          </w:p>
        </w:tc>
        <w:tc>
          <w:tcPr>
            <w:tcW w:type="dxa" w:w="6984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Use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DevicePipeline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RunAsync(...) — the entry point. Static.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DevicePipelineResult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Everything the run produced.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DevicePipelineCallbacks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Optional progress hooks. All fields nullable.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LogicAssignment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Floating split, SQL writes, manual correction.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ClusterQuotaAllocator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Allocate(predictions, quotas). Static.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QuotaCatalog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LoadQuotasFromDbAsync(conn, table, customer). Static.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PythonSQL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Model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Reads devices from SQL. Construct and pass in.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IPredictionClient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Model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Runs the Python scripts. Construct and pass in.</w:t>
            </w:r>
          </w:p>
        </w:tc>
      </w:tr>
      <w:tr>
        <w:tc>
          <w:tcPr>
            <w:tcW w:type="dxa" w:w="288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ModelClusterSuggestionService</w:t>
            </w:r>
          </w:p>
        </w:tc>
        <w:tc>
          <w:tcPr>
            <w:tcW w:type="dxa" w:w="792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Model</w:t>
            </w:r>
          </w:p>
        </w:tc>
        <w:tc>
          <w:tcPr>
            <w:tcW w:type="dxa" w:w="6984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Model's own top-N cluster probabilities.</w:t>
            </w:r>
          </w:p>
        </w:tc>
      </w:tr>
    </w:tbl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LogicAssignment — methods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600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Method</w:t>
            </w:r>
          </w:p>
        </w:tc>
        <w:tc>
          <w:tcPr>
            <w:tcW w:type="dxa" w:w="61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Does</w:t>
            </w:r>
          </w:p>
        </w:tc>
        <w:tc>
          <w:tcPr>
            <w:tcW w:type="dxa" w:w="936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When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SplitFloatingPool(floating)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Splits floating into unknown / unallocated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auto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DumpFloating(devices)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Upserts Category = UnknownPrediction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auto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DumpUnallocated(devices)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Upserts Category = Unallocated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auto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DumpAssigned(devices, allocated)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Upserts assigned devices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auto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BuildClusterGroups(devices)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Groups by section + cluster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auto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SuggestTopClusters(id, known, topN)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Ranked suggestions by similarity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manual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AssignByNumericSimilarity(entry, known)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Resolves UNKNOWN → DeviceResult (null if none)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manual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PlaceDevice(device, groups)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Places device, displaces weakest if higher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manual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MarkAsAssigned(id, project, sec, clu)</w:t>
            </w:r>
          </w:p>
        </w:tc>
        <w:tc>
          <w:tcPr>
            <w:tcW w:type="dxa" w:w="6120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Sets Status = assigned</w:t>
            </w:r>
          </w:p>
        </w:tc>
        <w:tc>
          <w:tcPr>
            <w:tcW w:type="dxa" w:w="93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manual</w:t>
            </w:r>
          </w:p>
        </w:tc>
      </w:tr>
    </w:tbl>
    <w:p>
      <w:pPr>
        <w:spacing w:before="60"/>
      </w:pPr>
      <w:r>
        <w:rPr>
          <w:i/>
          <w:sz w:val="16"/>
        </w:rPr>
        <w:t>auto = called by RunAsync, do not call yourself.    manual = call when a user places a device by hand.</w:t>
      </w:r>
    </w:p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Progress hooks  (DevicePipelineCallbacks)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600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Hook</w:t>
            </w:r>
          </w:p>
        </w:tc>
        <w:tc>
          <w:tcPr>
            <w:tcW w:type="dxa" w:w="7056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Fires after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OnProjectLoaded</w:t>
            </w:r>
          </w:p>
        </w:tc>
        <w:tc>
          <w:tcPr>
            <w:tcW w:type="dxa" w:w="705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Devices read from SQL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OnDeviceTypesPredicted</w:t>
            </w:r>
          </w:p>
        </w:tc>
        <w:tc>
          <w:tcPr>
            <w:tcW w:type="dxa" w:w="705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Device type predicted  (+ elapsed secs)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OnSectionsPredicted  /  OnClustersPredicted</w:t>
            </w:r>
          </w:p>
        </w:tc>
        <w:tc>
          <w:tcPr>
            <w:tcW w:type="dxa" w:w="705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Section / cluster predicted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OnQuotaAllocated</w:t>
            </w:r>
          </w:p>
        </w:tc>
        <w:tc>
          <w:tcPr>
            <w:tcW w:type="dxa" w:w="705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Quota allocation done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OnFloatingSplit</w:t>
            </w:r>
          </w:p>
        </w:tc>
        <w:tc>
          <w:tcPr>
            <w:tcW w:type="dxa" w:w="705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Floating split by cause</w:t>
            </w:r>
          </w:p>
        </w:tc>
      </w:tr>
      <w:tr>
        <w:tc>
          <w:tcPr>
            <w:tcW w:type="dxa" w:w="3600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OnClusterGroupsBuilt</w:t>
            </w:r>
          </w:p>
        </w:tc>
        <w:tc>
          <w:tcPr>
            <w:tcW w:type="dxa" w:w="7056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Cluster groups ready  ←  final</w:t>
            </w:r>
          </w:p>
        </w:tc>
      </w:tr>
    </w:tbl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Config  (defaults — override as parameters)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304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2376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Default</w:t>
            </w:r>
          </w:p>
        </w:tc>
        <w:tc>
          <w:tcPr>
            <w:tcW w:type="dxa" w:w="2664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3312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Default</w:t>
            </w:r>
          </w:p>
        </w:tc>
      </w:tr>
      <w:tr>
        <w:tc>
          <w:tcPr>
            <w:tcW w:type="dxa" w:w="2304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SQL_SOURCE_TABLE</w:t>
            </w:r>
          </w:p>
        </w:tc>
        <w:tc>
          <w:tcPr>
            <w:tcW w:type="dxa" w:w="2376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DummyTestingData</w:t>
            </w:r>
          </w:p>
        </w:tc>
        <w:tc>
          <w:tcPr>
            <w:tcW w:type="dxa" w:w="2664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SQL_REVIEW_QUEUE_TABLE</w:t>
            </w:r>
          </w:p>
        </w:tc>
        <w:tc>
          <w:tcPr>
            <w:tcW w:type="dxa" w:w="331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dbo.DeviceReviewQueue</w:t>
            </w:r>
          </w:p>
        </w:tc>
      </w:tr>
      <w:tr>
        <w:tc>
          <w:tcPr>
            <w:tcW w:type="dxa" w:w="2304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SQL_QUOTA_TABLE</w:t>
            </w:r>
          </w:p>
        </w:tc>
        <w:tc>
          <w:tcPr>
            <w:tcW w:type="dxa" w:w="2376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dbo.PatternCluster</w:t>
            </w:r>
          </w:p>
        </w:tc>
        <w:tc>
          <w:tcPr>
            <w:tcW w:type="dxa" w:w="2664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SQL_ASSIGNMENT_TABLE</w:t>
            </w:r>
          </w:p>
        </w:tc>
        <w:tc>
          <w:tcPr>
            <w:tcW w:type="dxa" w:w="331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dbo.OutputDeviceAssignment</w:t>
            </w:r>
          </w:p>
        </w:tc>
      </w:tr>
      <w:tr>
        <w:tc>
          <w:tcPr>
            <w:tcW w:type="dxa" w:w="2304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PYTHON_EXE</w:t>
            </w:r>
          </w:p>
        </w:tc>
        <w:tc>
          <w:tcPr>
            <w:tcW w:type="dxa" w:w="2376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  <w:t>python</w:t>
            </w:r>
          </w:p>
        </w:tc>
        <w:tc>
          <w:tcPr>
            <w:tcW w:type="dxa" w:w="2664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</w:r>
          </w:p>
        </w:tc>
        <w:tc>
          <w:tcPr>
            <w:tcW w:type="dxa" w:w="3312"/>
          </w:tcPr>
          <w:p>
            <w:pPr>
              <w:spacing w:after="20" w:before="20" w:line="240" w:lineRule="auto"/>
            </w:pPr>
            <w:r>
              <w:rPr>
                <w:rFonts w:ascii="Consolas" w:hAnsi="Consolas"/>
                <w:color w:val="9C2D2D"/>
                <w:sz w:val="15"/>
              </w:rPr>
            </w:r>
          </w:p>
        </w:tc>
      </w:tr>
    </w:tbl>
    <w:p>
      <w:pPr>
        <w:spacing w:before="60"/>
      </w:pPr>
      <w:r>
        <w:rPr>
          <w:i/>
          <w:sz w:val="16"/>
        </w:rPr>
        <w:t>Connection string is always passed by the caller — never read from registry or config by the library.</w:t>
      </w:r>
    </w:p>
    <w:p>
      <w:pPr>
        <w:keepNext/>
        <w:spacing w:before="180" w:after="60"/>
        <w:pBdr>
          <w:bottom w:val="single" w:sz="6" w:space="2" w:color="1F4E79"/>
        </w:pBdr>
      </w:pPr>
      <w:r>
        <w:rPr>
          <w:b/>
          <w:color w:val="1F4E79"/>
          <w:sz w:val="21"/>
        </w:rPr>
        <w:t>Watch out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Topic</w:t>
            </w:r>
          </w:p>
        </w:tc>
        <w:tc>
          <w:tcPr>
            <w:tcW w:type="dxa" w:w="89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  <w:sz w:val="16"/>
              </w:rPr>
              <w:t>Detail</w:t>
            </w:r>
          </w:p>
        </w:tc>
      </w:tr>
      <w:tr>
        <w:tc>
          <w:tcPr>
            <w:tcW w:type="dxa" w:w="17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Ship both DLLs</w:t>
            </w:r>
          </w:p>
        </w:tc>
        <w:tc>
          <w:tcPr>
            <w:tcW w:type="dxa" w:w="89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Logic.dll alone fails at load time.</w:t>
            </w:r>
          </w:p>
        </w:tc>
      </w:tr>
      <w:tr>
        <w:tc>
          <w:tcPr>
            <w:tcW w:type="dxa" w:w="17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Quota data</w:t>
            </w:r>
          </w:p>
        </w:tc>
        <w:tc>
          <w:tcPr>
            <w:tcW w:type="dxa" w:w="89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SECTION 2 is real; sections 1, 3–8 are placeholder values.</w:t>
            </w:r>
          </w:p>
        </w:tc>
      </w:tr>
      <w:tr>
        <w:tc>
          <w:tcPr>
            <w:tcW w:type="dxa" w:w="17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Console methods</w:t>
            </w:r>
          </w:p>
        </w:tc>
        <w:tc>
          <w:tcPr>
            <w:tcW w:type="dxa" w:w="89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ShowClusterSuggestion / PrintClusterTable print to console — use returned objects in a UI.</w:t>
            </w:r>
          </w:p>
        </w:tc>
      </w:tr>
      <w:tr>
        <w:tc>
          <w:tcPr>
            <w:tcW w:type="dxa" w:w="17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Case sensitivity</w:t>
            </w:r>
          </w:p>
        </w:tc>
        <w:tc>
          <w:tcPr>
            <w:tcW w:type="dxa" w:w="89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DeviceId / ProjectCode comparisons are case-sensitive in some paths.</w:t>
            </w:r>
          </w:p>
        </w:tc>
      </w:tr>
      <w:tr>
        <w:tc>
          <w:tcPr>
            <w:tcW w:type="dxa" w:w="17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Throws</w:t>
            </w:r>
          </w:p>
        </w:tc>
        <w:tc>
          <w:tcPr>
            <w:tcW w:type="dxa" w:w="8928"/>
          </w:tcPr>
          <w:p>
            <w:pPr>
              <w:spacing w:after="20" w:before="20" w:line="240" w:lineRule="auto"/>
            </w:pPr>
            <w:r>
              <w:rPr>
                <w:sz w:val="16"/>
              </w:rPr>
              <w:t>InvalidOperationException if no rows for the project, or no quota for the customer.</w:t>
            </w:r>
          </w:p>
        </w:tc>
      </w:tr>
    </w:tbl>
    <w:sectPr w:rsidR="00FC693F" w:rsidRPr="0006063C" w:rsidSect="00034616">
      <w:pgSz w:w="12240" w:h="15840"/>
      <w:pgMar w:top="720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DeviceCluster Quick Reference</dc:title>
  <dc:subject/>
  <dc:creator>Xenxible Intelligent Analytic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