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sz w:val="40"/>
        </w:rPr>
        <w:t>Gen AI Integration — Master Plan</w:t>
      </w:r>
    </w:p>
    <w:p>
      <w:pPr>
        <w:spacing w:after="320"/>
      </w:pPr>
      <w:r>
        <w:rPr>
          <w:b w:val="0"/>
          <w:i/>
          <w:color w:val="666666"/>
          <w:sz w:val="20"/>
        </w:rPr>
        <w:t>24 September 2026  ·  Siti Syaziyah  ·  Project XenAnalyticTransl</w:t>
      </w:r>
    </w:p>
    <w:p>
      <w:pPr>
        <w:pStyle w:val="Heading1"/>
      </w:pPr>
      <w:r>
        <w:t>What we are building</w:t>
      </w:r>
    </w:p>
    <w:p>
      <w:pPr>
        <w:spacing w:after="120"/>
      </w:pPr>
      <w:r>
        <w:rPr>
          <w:b w:val="0"/>
          <w:i w:val="0"/>
          <w:sz w:val="22"/>
        </w:rPr>
        <w:t>PLC Logic Builder is an existing Windows desktop application. An engineer writes a control scenario in natural language, defines terms and properties, and the app maps those terms to real PLC variables.</w:t>
      </w:r>
    </w:p>
    <w:p>
      <w:pPr>
        <w:spacing w:after="120"/>
      </w:pPr>
      <w:r>
        <w:rPr>
          <w:b w:val="0"/>
          <w:i w:val="0"/>
          <w:sz w:val="22"/>
        </w:rPr>
        <w:t>We are adding a Request AI Translator button that reads the scenario plus its properties and generates SCL (Siemens Structured Text), with an explanation, ready for the engineer to review and save into the project.</w:t>
      </w:r>
    </w:p>
    <w:tbl>
      <w:tblPr>
        <w:tblStyle w:val="TableGrid"/>
        <w:tblW w:type="auto" w:w="0"/>
        <w:tblLayout w:type="fixed"/>
        <w:tblLook w:firstColumn="1" w:firstRow="1" w:lastColumn="0" w:lastRow="0" w:noHBand="0" w:noVBand="1" w:val="04A0"/>
      </w:tblPr>
      <w:tblGrid>
        <w:gridCol w:w="4513"/>
        <w:gridCol w:w="4513"/>
      </w:tblGrid>
      <w:tr>
        <w:tc>
          <w:tcPr>
            <w:tcW w:type="dxa" w:w="2381"/>
            <w:shd w:val="clear" w:fill="DCE6F1"/>
          </w:tcPr>
          <w:p>
            <w:pPr>
              <w:spacing w:after="40"/>
            </w:pPr>
            <w:r/>
            <w:r>
              <w:rPr>
                <w:b/>
                <w:sz w:val="20"/>
              </w:rPr>
              <w:t>Item</w:t>
            </w:r>
          </w:p>
        </w:tc>
        <w:tc>
          <w:tcPr>
            <w:tcW w:type="dxa" w:w="6644"/>
            <w:shd w:val="clear" w:fill="DCE6F1"/>
          </w:tcPr>
          <w:p>
            <w:pPr>
              <w:spacing w:after="40"/>
            </w:pPr>
            <w:r/>
            <w:r>
              <w:rPr>
                <w:b/>
                <w:sz w:val="20"/>
              </w:rPr>
              <w:t>Value</w:t>
            </w:r>
          </w:p>
        </w:tc>
      </w:tr>
      <w:tr>
        <w:tc>
          <w:tcPr>
            <w:tcW w:type="dxa" w:w="2381"/>
          </w:tcPr>
          <w:p>
            <w:pPr>
              <w:spacing w:after="40"/>
            </w:pPr>
            <w:r/>
            <w:r>
              <w:rPr>
                <w:sz w:val="20"/>
              </w:rPr>
              <w:t>Host application</w:t>
            </w:r>
          </w:p>
        </w:tc>
        <w:tc>
          <w:tcPr>
            <w:tcW w:type="dxa" w:w="6644"/>
          </w:tcPr>
          <w:p>
            <w:pPr>
              <w:spacing w:after="40"/>
            </w:pPr>
            <w:r/>
            <w:r>
              <w:rPr>
                <w:sz w:val="20"/>
              </w:rPr>
              <w:t>PLC Logic Builder, Windows desktop, .NET</w:t>
            </w:r>
          </w:p>
        </w:tc>
      </w:tr>
      <w:tr>
        <w:tc>
          <w:tcPr>
            <w:tcW w:type="dxa" w:w="2381"/>
          </w:tcPr>
          <w:p>
            <w:pPr>
              <w:spacing w:after="40"/>
            </w:pPr>
            <w:r/>
            <w:r>
              <w:rPr>
                <w:sz w:val="20"/>
              </w:rPr>
              <w:t>Target output</w:t>
            </w:r>
          </w:p>
        </w:tc>
        <w:tc>
          <w:tcPr>
            <w:tcW w:type="dxa" w:w="6644"/>
          </w:tcPr>
          <w:p>
            <w:pPr>
              <w:spacing w:after="40"/>
            </w:pPr>
            <w:r/>
            <w:r>
              <w:rPr>
                <w:sz w:val="20"/>
              </w:rPr>
              <w:t>SCL — Siemens Structured Text</w:t>
            </w:r>
          </w:p>
        </w:tc>
      </w:tr>
      <w:tr>
        <w:tc>
          <w:tcPr>
            <w:tcW w:type="dxa" w:w="2381"/>
          </w:tcPr>
          <w:p>
            <w:pPr>
              <w:spacing w:after="40"/>
            </w:pPr>
            <w:r/>
            <w:r>
              <w:rPr>
                <w:sz w:val="20"/>
              </w:rPr>
              <w:t>Trigger</w:t>
            </w:r>
          </w:p>
        </w:tc>
        <w:tc>
          <w:tcPr>
            <w:tcW w:type="dxa" w:w="6644"/>
          </w:tcPr>
          <w:p>
            <w:pPr>
              <w:spacing w:after="40"/>
            </w:pPr>
            <w:r/>
            <w:r>
              <w:rPr>
                <w:sz w:val="20"/>
              </w:rPr>
              <w:t>Request AI Translator button</w:t>
            </w:r>
          </w:p>
        </w:tc>
      </w:tr>
      <w:tr>
        <w:tc>
          <w:tcPr>
            <w:tcW w:type="dxa" w:w="2381"/>
          </w:tcPr>
          <w:p>
            <w:pPr>
              <w:spacing w:after="40"/>
            </w:pPr>
            <w:r/>
            <w:r>
              <w:rPr>
                <w:sz w:val="20"/>
              </w:rPr>
              <w:t>Input</w:t>
            </w:r>
          </w:p>
        </w:tc>
        <w:tc>
          <w:tcPr>
            <w:tcW w:type="dxa" w:w="6644"/>
          </w:tcPr>
          <w:p>
            <w:pPr>
              <w:spacing w:after="40"/>
            </w:pPr>
            <w:r/>
            <w:r>
              <w:rPr>
                <w:sz w:val="20"/>
              </w:rPr>
              <w:t>Scenario text, terms, properties, PLC variable associations</w:t>
            </w:r>
          </w:p>
        </w:tc>
      </w:tr>
      <w:tr>
        <w:tc>
          <w:tcPr>
            <w:tcW w:type="dxa" w:w="2381"/>
          </w:tcPr>
          <w:p>
            <w:pPr>
              <w:spacing w:after="40"/>
            </w:pPr>
            <w:r/>
            <w:r>
              <w:rPr>
                <w:sz w:val="20"/>
              </w:rPr>
              <w:t>Output</w:t>
            </w:r>
          </w:p>
        </w:tc>
        <w:tc>
          <w:tcPr>
            <w:tcW w:type="dxa" w:w="6644"/>
          </w:tcPr>
          <w:p>
            <w:pPr>
              <w:spacing w:after="40"/>
            </w:pPr>
            <w:r/>
            <w:r>
              <w:rPr>
                <w:sz w:val="20"/>
              </w:rPr>
              <w:t>Generated logic and explanation, then Copy or Save to Project</w:t>
            </w:r>
          </w:p>
        </w:tc>
      </w:tr>
      <w:tr>
        <w:tc>
          <w:tcPr>
            <w:tcW w:type="dxa" w:w="2381"/>
          </w:tcPr>
          <w:p>
            <w:pPr>
              <w:spacing w:after="40"/>
            </w:pPr>
            <w:r/>
            <w:r>
              <w:rPr>
                <w:sz w:val="20"/>
              </w:rPr>
              <w:t>Repository</w:t>
            </w:r>
          </w:p>
        </w:tc>
        <w:tc>
          <w:tcPr>
            <w:tcW w:type="dxa" w:w="6644"/>
          </w:tcPr>
          <w:p>
            <w:pPr>
              <w:spacing w:after="40"/>
            </w:pPr>
            <w:r/>
            <w:r>
              <w:rPr>
                <w:sz w:val="20"/>
              </w:rPr>
              <w:t>D:\XenAnalyticTransl — Azure DevOps (authoritative), GitHub (mirror)</w:t>
            </w:r>
          </w:p>
        </w:tc>
      </w:tr>
      <w:tr>
        <w:tc>
          <w:tcPr>
            <w:tcW w:type="dxa" w:w="2381"/>
          </w:tcPr>
          <w:p>
            <w:pPr>
              <w:spacing w:after="40"/>
            </w:pPr>
            <w:r/>
            <w:r>
              <w:rPr>
                <w:sz w:val="20"/>
              </w:rPr>
              <w:t>Stack</w:t>
            </w:r>
          </w:p>
        </w:tc>
        <w:tc>
          <w:tcPr>
            <w:tcW w:type="dxa" w:w="6644"/>
          </w:tcPr>
          <w:p>
            <w:pPr>
              <w:spacing w:after="40"/>
            </w:pPr>
            <w:r/>
            <w:r>
              <w:rPr>
                <w:sz w:val="20"/>
              </w:rPr>
              <w:t>C# / .NET, Visual Studio</w:t>
            </w:r>
          </w:p>
        </w:tc>
      </w:tr>
    </w:tbl>
    <w:p>
      <w:pPr>
        <w:spacing w:after="80"/>
      </w:pPr>
    </w:p>
    <w:p>
      <w:pPr>
        <w:spacing w:after="120"/>
      </w:pPr>
      <w:r>
        <w:rPr>
          <w:b w:val="0"/>
          <w:i w:val="0"/>
          <w:sz w:val="22"/>
        </w:rPr>
        <w:t>Task numbers throughout refer to planner rows 21–32.</w:t>
      </w:r>
    </w:p>
    <w:p>
      <w:pPr>
        <w:pStyle w:val="Heading1"/>
      </w:pPr>
      <w:r>
        <w:t>Open decisions</w:t>
      </w:r>
    </w:p>
    <w:p>
      <w:pPr>
        <w:spacing w:after="120"/>
      </w:pPr>
      <w:r>
        <w:rPr>
          <w:b w:val="0"/>
          <w:i w:val="0"/>
          <w:sz w:val="22"/>
        </w:rPr>
        <w:t>Three questions are unresolved. The first is the one that matters: it decides the provider and therefore the architecture.</w:t>
      </w:r>
    </w:p>
    <w:tbl>
      <w:tblPr>
        <w:tblStyle w:val="TableGrid"/>
        <w:tblW w:type="auto" w:w="0"/>
        <w:tblLayout w:type="fixed"/>
        <w:tblLook w:firstColumn="1" w:firstRow="1" w:lastColumn="0" w:lastRow="0" w:noHBand="0" w:noVBand="1" w:val="04A0"/>
      </w:tblPr>
      <w:tblGrid>
        <w:gridCol w:w="2256"/>
        <w:gridCol w:w="2256"/>
        <w:gridCol w:w="2256"/>
        <w:gridCol w:w="2256"/>
      </w:tblGrid>
      <w:tr>
        <w:tc>
          <w:tcPr>
            <w:tcW w:type="dxa" w:w="454"/>
            <w:shd w:val="clear" w:fill="DCE6F1"/>
          </w:tcPr>
          <w:p>
            <w:pPr>
              <w:spacing w:after="40"/>
            </w:pPr>
            <w:r/>
            <w:r>
              <w:rPr>
                <w:b/>
                <w:sz w:val="20"/>
              </w:rPr>
              <w:t>#</w:t>
            </w:r>
          </w:p>
        </w:tc>
        <w:tc>
          <w:tcPr>
            <w:tcW w:type="dxa" w:w="3515"/>
            <w:shd w:val="clear" w:fill="DCE6F1"/>
          </w:tcPr>
          <w:p>
            <w:pPr>
              <w:spacing w:after="40"/>
            </w:pPr>
            <w:r/>
            <w:r>
              <w:rPr>
                <w:b/>
                <w:sz w:val="20"/>
              </w:rPr>
              <w:t>Question</w:t>
            </w:r>
          </w:p>
        </w:tc>
        <w:tc>
          <w:tcPr>
            <w:tcW w:type="dxa" w:w="3402"/>
            <w:shd w:val="clear" w:fill="DCE6F1"/>
          </w:tcPr>
          <w:p>
            <w:pPr>
              <w:spacing w:after="40"/>
            </w:pPr>
            <w:r/>
            <w:r>
              <w:rPr>
                <w:b/>
                <w:sz w:val="20"/>
              </w:rPr>
              <w:t>Blocks</w:t>
            </w:r>
          </w:p>
        </w:tc>
        <w:tc>
          <w:tcPr>
            <w:tcW w:type="dxa" w:w="1655"/>
            <w:shd w:val="clear" w:fill="DCE6F1"/>
          </w:tcPr>
          <w:p>
            <w:pPr>
              <w:spacing w:after="40"/>
            </w:pPr>
            <w:r/>
            <w:r>
              <w:rPr>
                <w:b/>
                <w:sz w:val="20"/>
              </w:rPr>
              <w:t>Status</w:t>
            </w:r>
          </w:p>
        </w:tc>
      </w:tr>
      <w:tr>
        <w:tc>
          <w:tcPr>
            <w:tcW w:type="dxa" w:w="454"/>
          </w:tcPr>
          <w:p>
            <w:pPr>
              <w:spacing w:after="40"/>
            </w:pPr>
            <w:r/>
            <w:r>
              <w:rPr>
                <w:sz w:val="20"/>
              </w:rPr>
              <w:t>1</w:t>
            </w:r>
          </w:p>
        </w:tc>
        <w:tc>
          <w:tcPr>
            <w:tcW w:type="dxa" w:w="3515"/>
          </w:tcPr>
          <w:p>
            <w:pPr>
              <w:spacing w:after="40"/>
            </w:pPr>
            <w:r/>
            <w:r>
              <w:rPr>
                <w:sz w:val="20"/>
              </w:rPr>
              <w:t>May scenario text and PLC tag names leave the network?</w:t>
            </w:r>
          </w:p>
        </w:tc>
        <w:tc>
          <w:tcPr>
            <w:tcW w:type="dxa" w:w="3402"/>
          </w:tcPr>
          <w:p>
            <w:pPr>
              <w:spacing w:after="40"/>
            </w:pPr>
            <w:r/>
            <w:r>
              <w:rPr>
                <w:sz w:val="20"/>
              </w:rPr>
              <w:t>Provider choice, whole architecture</w:t>
            </w:r>
          </w:p>
        </w:tc>
        <w:tc>
          <w:tcPr>
            <w:tcW w:type="dxa" w:w="1655"/>
          </w:tcPr>
          <w:p>
            <w:pPr>
              <w:spacing w:after="40"/>
            </w:pPr>
            <w:r/>
            <w:r>
              <w:rPr>
                <w:sz w:val="20"/>
              </w:rPr>
              <w:t>Open</w:t>
            </w:r>
          </w:p>
        </w:tc>
      </w:tr>
      <w:tr>
        <w:tc>
          <w:tcPr>
            <w:tcW w:type="dxa" w:w="454"/>
          </w:tcPr>
          <w:p>
            <w:pPr>
              <w:spacing w:after="40"/>
            </w:pPr>
            <w:r/>
            <w:r>
              <w:rPr>
                <w:sz w:val="20"/>
              </w:rPr>
              <w:t>2</w:t>
            </w:r>
          </w:p>
        </w:tc>
        <w:tc>
          <w:tcPr>
            <w:tcW w:type="dxa" w:w="3515"/>
          </w:tcPr>
          <w:p>
            <w:pPr>
              <w:spacing w:after="40"/>
            </w:pPr>
            <w:r/>
            <w:r>
              <w:rPr>
                <w:sz w:val="20"/>
              </w:rPr>
              <w:t>Must an engineer approve generated code before use?</w:t>
            </w:r>
          </w:p>
        </w:tc>
        <w:tc>
          <w:tcPr>
            <w:tcW w:type="dxa" w:w="3402"/>
          </w:tcPr>
          <w:p>
            <w:pPr>
              <w:spacing w:after="40"/>
            </w:pPr>
            <w:r/>
            <w:r>
              <w:rPr>
                <w:sz w:val="20"/>
              </w:rPr>
              <w:t>Depth of validation, UI gating</w:t>
            </w:r>
          </w:p>
        </w:tc>
        <w:tc>
          <w:tcPr>
            <w:tcW w:type="dxa" w:w="1655"/>
          </w:tcPr>
          <w:p>
            <w:pPr>
              <w:spacing w:after="40"/>
            </w:pPr>
            <w:r/>
            <w:r>
              <w:rPr>
                <w:sz w:val="20"/>
              </w:rPr>
              <w:t>Open</w:t>
            </w:r>
          </w:p>
        </w:tc>
      </w:tr>
      <w:tr>
        <w:tc>
          <w:tcPr>
            <w:tcW w:type="dxa" w:w="454"/>
          </w:tcPr>
          <w:p>
            <w:pPr>
              <w:spacing w:after="40"/>
            </w:pPr>
            <w:r/>
            <w:r>
              <w:rPr>
                <w:sz w:val="20"/>
              </w:rPr>
              <w:t>3</w:t>
            </w:r>
          </w:p>
        </w:tc>
        <w:tc>
          <w:tcPr>
            <w:tcW w:type="dxa" w:w="3515"/>
          </w:tcPr>
          <w:p>
            <w:pPr>
              <w:spacing w:after="40"/>
            </w:pPr>
            <w:r/>
            <w:r>
              <w:rPr>
                <w:sz w:val="20"/>
              </w:rPr>
              <w:t>Does the app already translate deterministically?</w:t>
            </w:r>
          </w:p>
        </w:tc>
        <w:tc>
          <w:tcPr>
            <w:tcW w:type="dxa" w:w="3402"/>
          </w:tcPr>
          <w:p>
            <w:pPr>
              <w:spacing w:after="40"/>
            </w:pPr>
            <w:r/>
            <w:r>
              <w:rPr>
                <w:sz w:val="20"/>
              </w:rPr>
              <w:t>Whether AI replaces or supplements</w:t>
            </w:r>
          </w:p>
        </w:tc>
        <w:tc>
          <w:tcPr>
            <w:tcW w:type="dxa" w:w="1655"/>
          </w:tcPr>
          <w:p>
            <w:pPr>
              <w:spacing w:after="40"/>
            </w:pPr>
            <w:r/>
            <w:r>
              <w:rPr>
                <w:sz w:val="20"/>
              </w:rPr>
              <w:t>Open</w:t>
            </w:r>
          </w:p>
        </w:tc>
      </w:tr>
    </w:tbl>
    <w:p>
      <w:pPr>
        <w:spacing w:after="80"/>
      </w:pPr>
    </w:p>
    <w:p>
      <w:pPr>
        <w:spacing w:after="120"/>
      </w:pPr>
      <w:r>
        <w:rPr>
          <w:b w:val="0"/>
          <w:i w:val="0"/>
          <w:sz w:val="22"/>
        </w:rPr>
        <w:t>Phase A below can proceed with invented scenarios while question 1 is open. Nothing reaches production until it is answered.</w:t>
      </w:r>
    </w:p>
    <w:tbl>
      <w:tblPr>
        <w:tblStyle w:val="TableGrid"/>
        <w:tblW w:type="auto" w:w="0"/>
        <w:tblLayout w:type="fixed"/>
        <w:tblLook w:firstColumn="1" w:firstRow="1" w:lastColumn="0" w:lastRow="0" w:noHBand="0" w:noVBand="1" w:val="04A0"/>
      </w:tblPr>
      <w:tblGrid>
        <w:gridCol w:w="3009"/>
        <w:gridCol w:w="3009"/>
        <w:gridCol w:w="3009"/>
      </w:tblGrid>
      <w:tr>
        <w:tc>
          <w:tcPr>
            <w:tcW w:type="dxa" w:w="2154"/>
            <w:shd w:val="clear" w:fill="DCE6F1"/>
          </w:tcPr>
          <w:p>
            <w:pPr>
              <w:spacing w:after="40"/>
            </w:pPr>
            <w:r/>
            <w:r>
              <w:rPr>
                <w:b/>
                <w:sz w:val="20"/>
              </w:rPr>
              <w:t>Answer to question 1</w:t>
            </w:r>
          </w:p>
        </w:tc>
        <w:tc>
          <w:tcPr>
            <w:tcW w:type="dxa" w:w="3515"/>
            <w:shd w:val="clear" w:fill="DCE6F1"/>
          </w:tcPr>
          <w:p>
            <w:pPr>
              <w:spacing w:after="40"/>
            </w:pPr>
            <w:r/>
            <w:r>
              <w:rPr>
                <w:b/>
                <w:sz w:val="20"/>
              </w:rPr>
              <w:t>Provider</w:t>
            </w:r>
          </w:p>
        </w:tc>
        <w:tc>
          <w:tcPr>
            <w:tcW w:type="dxa" w:w="3356"/>
            <w:shd w:val="clear" w:fill="DCE6F1"/>
          </w:tcPr>
          <w:p>
            <w:pPr>
              <w:spacing w:after="40"/>
            </w:pPr>
            <w:r/>
            <w:r>
              <w:rPr>
                <w:b/>
                <w:sz w:val="20"/>
              </w:rPr>
              <w:t>Consequence</w:t>
            </w:r>
          </w:p>
        </w:tc>
      </w:tr>
      <w:tr>
        <w:tc>
          <w:tcPr>
            <w:tcW w:type="dxa" w:w="2154"/>
          </w:tcPr>
          <w:p>
            <w:pPr>
              <w:spacing w:after="40"/>
            </w:pPr>
            <w:r/>
            <w:r>
              <w:rPr>
                <w:sz w:val="20"/>
              </w:rPr>
              <w:t>Data may leave</w:t>
            </w:r>
          </w:p>
        </w:tc>
        <w:tc>
          <w:tcPr>
            <w:tcW w:type="dxa" w:w="3515"/>
          </w:tcPr>
          <w:p>
            <w:pPr>
              <w:spacing w:after="40"/>
            </w:pPr>
            <w:r/>
            <w:r>
              <w:rPr>
                <w:sz w:val="20"/>
              </w:rPr>
              <w:t>Gemini, Azure AI Foundry, or Qwen via Alibaba Cloud</w:t>
            </w:r>
          </w:p>
        </w:tc>
        <w:tc>
          <w:tcPr>
            <w:tcW w:type="dxa" w:w="3356"/>
          </w:tcPr>
          <w:p>
            <w:pPr>
              <w:spacing w:after="40"/>
            </w:pPr>
            <w:r/>
            <w:r>
              <w:rPr>
                <w:sz w:val="20"/>
              </w:rPr>
              <w:t>Low effort, best quality</w:t>
            </w:r>
          </w:p>
        </w:tc>
      </w:tr>
      <w:tr>
        <w:tc>
          <w:tcPr>
            <w:tcW w:type="dxa" w:w="2154"/>
          </w:tcPr>
          <w:p>
            <w:pPr>
              <w:spacing w:after="40"/>
            </w:pPr>
            <w:r/>
            <w:r>
              <w:rPr>
                <w:sz w:val="20"/>
              </w:rPr>
              <w:t>Data may not leave</w:t>
            </w:r>
          </w:p>
        </w:tc>
        <w:tc>
          <w:tcPr>
            <w:tcW w:type="dxa" w:w="3515"/>
          </w:tcPr>
          <w:p>
            <w:pPr>
              <w:spacing w:after="40"/>
            </w:pPr>
            <w:r/>
            <w:r>
              <w:rPr>
                <w:sz w:val="20"/>
              </w:rPr>
              <w:t>Self-hosted Qwen3.8-27B or similar</w:t>
            </w:r>
          </w:p>
        </w:tc>
        <w:tc>
          <w:tcPr>
            <w:tcW w:type="dxa" w:w="3356"/>
          </w:tcPr>
          <w:p>
            <w:pPr>
              <w:spacing w:after="40"/>
            </w:pPr>
            <w:r/>
            <w:r>
              <w:rPr>
                <w:sz w:val="20"/>
              </w:rPr>
              <w:t>GPU server, ongoing ops, weaker output</w:t>
            </w:r>
          </w:p>
        </w:tc>
      </w:tr>
    </w:tbl>
    <w:p>
      <w:pPr>
        <w:spacing w:after="80"/>
      </w:pPr>
    </w:p>
    <w:p>
      <w:pPr>
        <w:spacing w:after="120"/>
      </w:pPr>
      <w:r>
        <w:rPr>
          <w:b/>
          <w:i w:val="0"/>
          <w:sz w:val="22"/>
        </w:rPr>
        <w:t>One question to whoever owns the IP or source-control policy: can plant scenario text and PLC tag names be sent to an external AI service?</w:t>
      </w:r>
    </w:p>
    <w:p>
      <w:pPr>
        <w:pStyle w:val="Heading1"/>
      </w:pPr>
      <w:r>
        <w:t>Architecture</w:t>
      </w:r>
    </w:p>
    <w:p>
      <w:pPr>
        <w:spacing w:after="120"/>
      </w:pPr>
      <w:r>
        <w:rPr>
          <w:b w:val="0"/>
          <w:i w:val="0"/>
          <w:sz w:val="22"/>
        </w:rPr>
        <w:t>Four layers, each talking only to its neighbour.</w:t>
      </w:r>
    </w:p>
    <w:p>
      <w:pPr>
        <w:spacing w:after="0"/>
        <w:ind w:left="227"/>
        <w:shd w:val="clear" w:fill="F2F2F2"/>
      </w:pPr>
      <w:r>
        <w:rPr>
          <w:rFonts w:ascii="Consolas" w:hAnsi="Consolas"/>
          <w:sz w:val="18"/>
        </w:rPr>
        <w:t xml:space="preserve">  PLC Logic Builder UI        reads panels, shows results</w:t>
      </w:r>
    </w:p>
    <w:p>
      <w:pPr>
        <w:spacing w:after="0"/>
        <w:ind w:left="227"/>
        <w:shd w:val="clear" w:fill="F2F2F2"/>
      </w:pPr>
      <w:r>
        <w:rPr>
          <w:rFonts w:ascii="Consolas" w:hAnsi="Consolas"/>
          <w:sz w:val="18"/>
        </w:rPr>
        <w:t xml:space="preserve">            |</w:t>
      </w:r>
    </w:p>
    <w:p>
      <w:pPr>
        <w:spacing w:after="0"/>
        <w:ind w:left="227"/>
        <w:shd w:val="clear" w:fill="F2F2F2"/>
      </w:pPr>
      <w:r>
        <w:rPr>
          <w:rFonts w:ascii="Consolas" w:hAnsi="Consolas"/>
          <w:sz w:val="18"/>
        </w:rPr>
        <w:t xml:space="preserve">            v</w:t>
      </w:r>
    </w:p>
    <w:p>
      <w:pPr>
        <w:spacing w:after="0"/>
        <w:ind w:left="227"/>
        <w:shd w:val="clear" w:fill="F2F2F2"/>
      </w:pPr>
      <w:r>
        <w:rPr>
          <w:rFonts w:ascii="Consolas" w:hAnsi="Consolas"/>
          <w:sz w:val="18"/>
        </w:rPr>
        <w:t xml:space="preserve">  XenAnalyticTransl.AI        context pack, prompt, validate</w:t>
      </w:r>
    </w:p>
    <w:p>
      <w:pPr>
        <w:spacing w:after="0"/>
        <w:ind w:left="227"/>
        <w:shd w:val="clear" w:fill="F2F2F2"/>
      </w:pPr>
      <w:r>
        <w:rPr>
          <w:rFonts w:ascii="Consolas" w:hAnsi="Consolas"/>
          <w:sz w:val="18"/>
        </w:rPr>
        <w:t xml:space="preserve">            |</w:t>
      </w:r>
    </w:p>
    <w:p>
      <w:pPr>
        <w:spacing w:after="0"/>
        <w:ind w:left="227"/>
        <w:shd w:val="clear" w:fill="F2F2F2"/>
      </w:pPr>
      <w:r>
        <w:rPr>
          <w:rFonts w:ascii="Consolas" w:hAnsi="Consolas"/>
          <w:sz w:val="18"/>
        </w:rPr>
        <w:t xml:space="preserve">            v</w:t>
      </w:r>
    </w:p>
    <w:p>
      <w:pPr>
        <w:spacing w:after="0"/>
        <w:ind w:left="227"/>
        <w:shd w:val="clear" w:fill="F2F2F2"/>
      </w:pPr>
      <w:r>
        <w:rPr>
          <w:rFonts w:ascii="Consolas" w:hAnsi="Consolas"/>
          <w:sz w:val="18"/>
        </w:rPr>
        <w:t xml:space="preserve">  Internal AI service         holds the API key, logs usage</w:t>
      </w:r>
    </w:p>
    <w:p>
      <w:pPr>
        <w:spacing w:after="0"/>
        <w:ind w:left="227"/>
        <w:shd w:val="clear" w:fill="F2F2F2"/>
      </w:pPr>
      <w:r>
        <w:rPr>
          <w:rFonts w:ascii="Consolas" w:hAnsi="Consolas"/>
          <w:sz w:val="18"/>
        </w:rPr>
        <w:t xml:space="preserve">            |</w:t>
      </w:r>
    </w:p>
    <w:p>
      <w:pPr>
        <w:spacing w:after="0"/>
        <w:ind w:left="227"/>
        <w:shd w:val="clear" w:fill="F2F2F2"/>
      </w:pPr>
      <w:r>
        <w:rPr>
          <w:rFonts w:ascii="Consolas" w:hAnsi="Consolas"/>
          <w:sz w:val="18"/>
        </w:rPr>
        <w:t xml:space="preserve">            v</w:t>
      </w:r>
    </w:p>
    <w:p>
      <w:pPr>
        <w:spacing w:after="0"/>
        <w:ind w:left="227"/>
        <w:shd w:val="clear" w:fill="F2F2F2"/>
      </w:pPr>
      <w:r>
        <w:rPr>
          <w:rFonts w:ascii="Consolas" w:hAnsi="Consolas"/>
          <w:sz w:val="18"/>
        </w:rPr>
        <w:t xml:space="preserve">  Model provider</w:t>
      </w:r>
    </w:p>
    <w:p>
      <w:pPr>
        <w:spacing w:after="80"/>
      </w:pPr>
    </w:p>
    <w:p>
      <w:pPr>
        <w:spacing w:after="120"/>
      </w:pPr>
      <w:r>
        <w:rPr>
          <w:b w:val="0"/>
          <w:i w:val="0"/>
          <w:sz w:val="22"/>
        </w:rPr>
        <w:t>Three rules hold this together.</w:t>
      </w:r>
    </w:p>
    <w:p>
      <w:pPr>
        <w:pStyle w:val="ListNumber"/>
        <w:spacing w:after="80"/>
      </w:pPr>
      <w:r>
        <w:t>The UI never calls the model directly. It builds a context pack, hands it to the class library, and displays what comes back.</w:t>
      </w:r>
    </w:p>
    <w:p>
      <w:pPr>
        <w:pStyle w:val="ListNumber"/>
        <w:spacing w:after="80"/>
      </w:pPr>
      <w:r>
        <w:t>The API key never ships inside the desktop app. A key in a distributed binary can be extracted in minutes.</w:t>
      </w:r>
    </w:p>
    <w:p>
      <w:pPr>
        <w:pStyle w:val="ListNumber"/>
        <w:spacing w:after="80"/>
      </w:pPr>
      <w:r>
        <w:t>Build against the OpenAI-compatible interface. Qwen, Azure AI Foundry, OpenRouter and self-hosted vLLM all speak it, so switching provider is a base URL and a model name rather than a rewrite. This is what stops decision 1 blocking the build.</w:t>
      </w:r>
    </w:p>
    <w:p>
      <w:pPr>
        <w:pStyle w:val="Heading2"/>
      </w:pPr>
      <w:r>
        <w:t>The context pack</w:t>
      </w:r>
    </w:p>
    <w:p>
      <w:pPr>
        <w:spacing w:after="120"/>
      </w:pPr>
      <w:r>
        <w:rPr>
          <w:b w:val="0"/>
          <w:i w:val="0"/>
          <w:sz w:val="22"/>
        </w:rPr>
        <w:t>The single biggest quality lever. The app already holds everything needed.</w:t>
      </w:r>
    </w:p>
    <w:p>
      <w:pPr>
        <w:spacing w:after="0"/>
        <w:ind w:left="227"/>
        <w:shd w:val="clear" w:fill="F2F2F2"/>
      </w:pPr>
      <w:r>
        <w:rPr>
          <w:rFonts w:ascii="Consolas" w:hAnsi="Consolas"/>
          <w:sz w:val="18"/>
        </w:rPr>
        <w:t>{</w:t>
      </w:r>
    </w:p>
    <w:p>
      <w:pPr>
        <w:spacing w:after="0"/>
        <w:ind w:left="227"/>
        <w:shd w:val="clear" w:fill="F2F2F2"/>
      </w:pPr>
      <w:r>
        <w:rPr>
          <w:rFonts w:ascii="Consolas" w:hAnsi="Consolas"/>
          <w:sz w:val="18"/>
        </w:rPr>
        <w:t xml:space="preserve">  "equipment": "Mtr01",</w:t>
      </w:r>
    </w:p>
    <w:p>
      <w:pPr>
        <w:spacing w:after="0"/>
        <w:ind w:left="227"/>
        <w:shd w:val="clear" w:fill="F2F2F2"/>
      </w:pPr>
      <w:r>
        <w:rPr>
          <w:rFonts w:ascii="Consolas" w:hAnsi="Consolas"/>
          <w:sz w:val="18"/>
        </w:rPr>
        <w:t xml:space="preserve">  "target_language": "SCL",</w:t>
      </w:r>
    </w:p>
    <w:p>
      <w:pPr>
        <w:spacing w:after="0"/>
        <w:ind w:left="227"/>
        <w:shd w:val="clear" w:fill="F2F2F2"/>
      </w:pPr>
      <w:r>
        <w:rPr>
          <w:rFonts w:ascii="Consolas" w:hAnsi="Consolas"/>
          <w:sz w:val="18"/>
        </w:rPr>
        <w:t xml:space="preserve">  "scenario": "When in Auto Mode, Manual Operation position...",</w:t>
      </w:r>
    </w:p>
    <w:p>
      <w:pPr>
        <w:spacing w:after="0"/>
        <w:ind w:left="227"/>
        <w:shd w:val="clear" w:fill="F2F2F2"/>
      </w:pPr>
      <w:r>
        <w:rPr>
          <w:rFonts w:ascii="Consolas" w:hAnsi="Consolas"/>
          <w:sz w:val="18"/>
        </w:rPr>
        <w:t xml:space="preserve">  "terms": [</w:t>
      </w:r>
    </w:p>
    <w:p>
      <w:pPr>
        <w:spacing w:after="0"/>
        <w:ind w:left="227"/>
        <w:shd w:val="clear" w:fill="F2F2F2"/>
      </w:pPr>
      <w:r>
        <w:rPr>
          <w:rFonts w:ascii="Consolas" w:hAnsi="Consolas"/>
          <w:sz w:val="18"/>
        </w:rPr>
        <w:t xml:space="preserve">    { "name": "PLC Initializing", "variable": "Sys_plsInit", "value": 1 }</w:t>
      </w:r>
    </w:p>
    <w:p>
      <w:pPr>
        <w:spacing w:after="0"/>
        <w:ind w:left="227"/>
        <w:shd w:val="clear" w:fill="F2F2F2"/>
      </w:pPr>
      <w:r>
        <w:rPr>
          <w:rFonts w:ascii="Consolas" w:hAnsi="Consolas"/>
          <w:sz w:val="18"/>
        </w:rPr>
        <w:t xml:space="preserve">  ],</w:t>
      </w:r>
    </w:p>
    <w:p>
      <w:pPr>
        <w:spacing w:after="0"/>
        <w:ind w:left="227"/>
        <w:shd w:val="clear" w:fill="F2F2F2"/>
      </w:pPr>
      <w:r>
        <w:rPr>
          <w:rFonts w:ascii="Consolas" w:hAnsi="Consolas"/>
          <w:sz w:val="18"/>
        </w:rPr>
        <w:t xml:space="preserve">  "timers": ["RunFailAlarmTimer", "TripAlarmTimer"]</w:t>
      </w:r>
    </w:p>
    <w:p>
      <w:pPr>
        <w:spacing w:after="0"/>
        <w:ind w:left="227"/>
        <w:shd w:val="clear" w:fill="F2F2F2"/>
      </w:pPr>
      <w:r>
        <w:rPr>
          <w:rFonts w:ascii="Consolas" w:hAnsi="Consolas"/>
          <w:sz w:val="18"/>
        </w:rPr>
        <w:t>}</w:t>
      </w:r>
    </w:p>
    <w:p>
      <w:pPr>
        <w:spacing w:after="80"/>
      </w:pPr>
    </w:p>
    <w:p>
      <w:pPr>
        <w:spacing w:after="120"/>
      </w:pPr>
      <w:r>
        <w:rPr>
          <w:b w:val="0"/>
          <w:i w:val="0"/>
          <w:sz w:val="22"/>
        </w:rPr>
        <w:t>Every highlighted phrase in the scenario becomes a glossary entry. Supply this and the model uses your real variable names. Omit it and the model invents plausible ones, which is worse than an outright failure.</w:t>
      </w:r>
    </w:p>
    <w:p>
      <w:pPr>
        <w:pStyle w:val="Heading2"/>
      </w:pPr>
      <w:r>
        <w:t>The response contract</w:t>
      </w:r>
    </w:p>
    <w:p>
      <w:pPr>
        <w:spacing w:after="0"/>
        <w:ind w:left="227"/>
        <w:shd w:val="clear" w:fill="F2F2F2"/>
      </w:pPr>
      <w:r>
        <w:rPr>
          <w:rFonts w:ascii="Consolas" w:hAnsi="Consolas"/>
          <w:sz w:val="18"/>
        </w:rPr>
        <w:t>{</w:t>
      </w:r>
    </w:p>
    <w:p>
      <w:pPr>
        <w:spacing w:after="0"/>
        <w:ind w:left="227"/>
        <w:shd w:val="clear" w:fill="F2F2F2"/>
      </w:pPr>
      <w:r>
        <w:rPr>
          <w:rFonts w:ascii="Consolas" w:hAnsi="Consolas"/>
          <w:sz w:val="18"/>
        </w:rPr>
        <w:t xml:space="preserve">  "code": "IF AutoMode THEN ...",</w:t>
      </w:r>
    </w:p>
    <w:p>
      <w:pPr>
        <w:spacing w:after="0"/>
        <w:ind w:left="227"/>
        <w:shd w:val="clear" w:fill="F2F2F2"/>
      </w:pPr>
      <w:r>
        <w:rPr>
          <w:rFonts w:ascii="Consolas" w:hAnsi="Consolas"/>
          <w:sz w:val="18"/>
        </w:rPr>
        <w:t xml:space="preserve">  "explanation": "Lines 2-6 map the Auto Mode condition...",</w:t>
      </w:r>
    </w:p>
    <w:p>
      <w:pPr>
        <w:spacing w:after="0"/>
        <w:ind w:left="227"/>
        <w:shd w:val="clear" w:fill="F2F2F2"/>
      </w:pPr>
      <w:r>
        <w:rPr>
          <w:rFonts w:ascii="Consolas" w:hAnsi="Consolas"/>
          <w:sz w:val="18"/>
        </w:rPr>
        <w:t xml:space="preserve">  "variables_used": ["AutoMode", "ManualOperation", "Sys_plsInit"],</w:t>
      </w:r>
    </w:p>
    <w:p>
      <w:pPr>
        <w:spacing w:after="0"/>
        <w:ind w:left="227"/>
        <w:shd w:val="clear" w:fill="F2F2F2"/>
      </w:pPr>
      <w:r>
        <w:rPr>
          <w:rFonts w:ascii="Consolas" w:hAnsi="Consolas"/>
          <w:sz w:val="18"/>
        </w:rPr>
        <w:t xml:space="preserve">  "warnings": ["Scenario does not state behaviour when both..."]</w:t>
      </w:r>
    </w:p>
    <w:p>
      <w:pPr>
        <w:spacing w:after="0"/>
        <w:ind w:left="227"/>
        <w:shd w:val="clear" w:fill="F2F2F2"/>
      </w:pPr>
      <w:r>
        <w:rPr>
          <w:rFonts w:ascii="Consolas" w:hAnsi="Consolas"/>
          <w:sz w:val="18"/>
        </w:rPr>
        <w:t>}</w:t>
      </w:r>
    </w:p>
    <w:p>
      <w:pPr>
        <w:spacing w:after="80"/>
      </w:pPr>
    </w:p>
    <w:p>
      <w:pPr>
        <w:spacing w:after="120"/>
      </w:pPr>
      <w:r>
        <w:rPr>
          <w:b w:val="0"/>
          <w:i w:val="0"/>
          <w:sz w:val="22"/>
        </w:rPr>
        <w:t>The variables_used array feeds the validator. The warnings array surfaces ambiguity in the scenario instead of letting the model guess silently.</w:t>
      </w:r>
    </w:p>
    <w:p>
      <w:pPr>
        <w:pStyle w:val="Heading1"/>
      </w:pPr>
      <w:r>
        <w:t>Two safety gates</w:t>
      </w:r>
    </w:p>
    <w:p>
      <w:pPr>
        <w:spacing w:after="120"/>
      </w:pPr>
      <w:r>
        <w:rPr>
          <w:b w:val="0"/>
          <w:i w:val="0"/>
          <w:sz w:val="22"/>
        </w:rPr>
        <w:t>Neither is optional, because PLC code drives physical equipment.</w:t>
      </w:r>
    </w:p>
    <w:p>
      <w:pPr>
        <w:pStyle w:val="ListNumber"/>
        <w:spacing w:after="80"/>
      </w:pPr>
      <w:r>
        <w:t>Identifier validation. Every entry in variables_used must exist in the tag table. No AI involved, just a set lookup. This catches hallucinated variable names, the most dangerous failure mode, because the generated code still compiles and still looks right.</w:t>
      </w:r>
    </w:p>
    <w:p>
      <w:pPr>
        <w:pStyle w:val="ListNumber"/>
        <w:spacing w:after="80"/>
      </w:pPr>
      <w:r>
        <w:t>Engineer review. Generated code reaches the project only through an explicit user action. Never auto-save.</w:t>
      </w:r>
    </w:p>
    <w:p>
      <w:pPr>
        <w:spacing w:after="120"/>
      </w:pPr>
      <w:r>
        <w:rPr>
          <w:b w:val="0"/>
          <w:i w:val="0"/>
          <w:sz w:val="22"/>
        </w:rPr>
        <w:t>Gate 1 is cheap to build and worth building first. Gate 2 depends on the answer to open decision 2.</w:t>
      </w:r>
    </w:p>
    <w:p>
      <w:pPr>
        <w:pStyle w:val="Heading1"/>
      </w:pPr>
      <w:r>
        <w:t>Execution</w:t>
      </w:r>
    </w:p>
    <w:p>
      <w:pPr>
        <w:spacing w:after="120"/>
      </w:pPr>
      <w:r>
        <w:rPr>
          <w:b w:val="0"/>
          <w:i w:val="0"/>
          <w:sz w:val="22"/>
        </w:rPr>
        <w:t>Five phases. Phase A uses invented scenarios on a free API key, so it can start before open decision 1 is settled.</w:t>
      </w:r>
    </w:p>
    <w:p>
      <w:pPr>
        <w:pStyle w:val="Heading2"/>
      </w:pPr>
      <w:r>
        <w:t>Phase A — Prove it works (tasks 21, 23, 24)</w:t>
      </w:r>
    </w:p>
    <w:tbl>
      <w:tblPr>
        <w:tblStyle w:val="TableGrid"/>
        <w:tblW w:type="auto" w:w="0"/>
        <w:tblLayout w:type="fixed"/>
        <w:tblLook w:firstColumn="1" w:firstRow="1" w:lastColumn="0" w:lastRow="0" w:noHBand="0" w:noVBand="1" w:val="04A0"/>
      </w:tblPr>
      <w:tblGrid>
        <w:gridCol w:w="4513"/>
        <w:gridCol w:w="4513"/>
      </w:tblGrid>
      <w:tr>
        <w:tc>
          <w:tcPr>
            <w:tcW w:type="dxa" w:w="907"/>
            <w:shd w:val="clear" w:fill="DCE6F1"/>
          </w:tcPr>
          <w:p>
            <w:pPr>
              <w:spacing w:after="40"/>
            </w:pPr>
            <w:r/>
            <w:r>
              <w:rPr>
                <w:b/>
                <w:sz w:val="20"/>
              </w:rPr>
              <w:t>Step</w:t>
            </w:r>
          </w:p>
        </w:tc>
        <w:tc>
          <w:tcPr>
            <w:tcW w:type="dxa" w:w="8118"/>
            <w:shd w:val="clear" w:fill="DCE6F1"/>
          </w:tcPr>
          <w:p>
            <w:pPr>
              <w:spacing w:after="40"/>
            </w:pPr>
            <w:r/>
            <w:r>
              <w:rPr>
                <w:b/>
                <w:sz w:val="20"/>
              </w:rPr>
              <w:t>Work</w:t>
            </w:r>
          </w:p>
        </w:tc>
      </w:tr>
      <w:tr>
        <w:tc>
          <w:tcPr>
            <w:tcW w:type="dxa" w:w="907"/>
          </w:tcPr>
          <w:p>
            <w:pPr>
              <w:spacing w:after="40"/>
            </w:pPr>
            <w:r/>
            <w:r>
              <w:rPr>
                <w:sz w:val="20"/>
              </w:rPr>
              <w:t>A1</w:t>
            </w:r>
          </w:p>
        </w:tc>
        <w:tc>
          <w:tcPr>
            <w:tcW w:type="dxa" w:w="8118"/>
          </w:tcPr>
          <w:p>
            <w:pPr>
              <w:spacing w:after="40"/>
            </w:pPr>
            <w:r/>
            <w:r>
              <w:rPr>
                <w:sz w:val="20"/>
              </w:rPr>
              <w:t>Write a dummy motor scenario with fake tags, modelled on Mtr01</w:t>
            </w:r>
          </w:p>
        </w:tc>
      </w:tr>
      <w:tr>
        <w:tc>
          <w:tcPr>
            <w:tcW w:type="dxa" w:w="907"/>
          </w:tcPr>
          <w:p>
            <w:pPr>
              <w:spacing w:after="40"/>
            </w:pPr>
            <w:r/>
            <w:r>
              <w:rPr>
                <w:sz w:val="20"/>
              </w:rPr>
              <w:t>A2</w:t>
            </w:r>
          </w:p>
        </w:tc>
        <w:tc>
          <w:tcPr>
            <w:tcW w:type="dxa" w:w="8118"/>
          </w:tcPr>
          <w:p>
            <w:pPr>
              <w:spacing w:after="40"/>
            </w:pPr>
            <w:r/>
            <w:r>
              <w:rPr>
                <w:sz w:val="20"/>
              </w:rPr>
              <w:t>Hand-build its context pack as JSON</w:t>
            </w:r>
          </w:p>
        </w:tc>
      </w:tr>
      <w:tr>
        <w:tc>
          <w:tcPr>
            <w:tcW w:type="dxa" w:w="907"/>
          </w:tcPr>
          <w:p>
            <w:pPr>
              <w:spacing w:after="40"/>
            </w:pPr>
            <w:r/>
            <w:r>
              <w:rPr>
                <w:sz w:val="20"/>
              </w:rPr>
              <w:t>A3</w:t>
            </w:r>
          </w:p>
        </w:tc>
        <w:tc>
          <w:tcPr>
            <w:tcW w:type="dxa" w:w="8118"/>
          </w:tcPr>
          <w:p>
            <w:pPr>
              <w:spacing w:after="40"/>
            </w:pPr>
            <w:r/>
            <w:r>
              <w:rPr>
                <w:sz w:val="20"/>
              </w:rPr>
              <w:t>Write the prompt: system role, SCL dialect, conventions, few-shot examples</w:t>
            </w:r>
          </w:p>
        </w:tc>
      </w:tr>
      <w:tr>
        <w:tc>
          <w:tcPr>
            <w:tcW w:type="dxa" w:w="907"/>
          </w:tcPr>
          <w:p>
            <w:pPr>
              <w:spacing w:after="40"/>
            </w:pPr>
            <w:r/>
            <w:r>
              <w:rPr>
                <w:sz w:val="20"/>
              </w:rPr>
              <w:t>A4</w:t>
            </w:r>
          </w:p>
        </w:tc>
        <w:tc>
          <w:tcPr>
            <w:tcW w:type="dxa" w:w="8118"/>
          </w:tcPr>
          <w:p>
            <w:pPr>
              <w:spacing w:after="40"/>
            </w:pPr>
            <w:r/>
            <w:r>
              <w:rPr>
                <w:sz w:val="20"/>
              </w:rPr>
              <w:t>Call the model from the console app, print the SCL</w:t>
            </w:r>
          </w:p>
        </w:tc>
      </w:tr>
      <w:tr>
        <w:tc>
          <w:tcPr>
            <w:tcW w:type="dxa" w:w="907"/>
          </w:tcPr>
          <w:p>
            <w:pPr>
              <w:spacing w:after="40"/>
            </w:pPr>
            <w:r/>
            <w:r>
              <w:rPr>
                <w:sz w:val="20"/>
              </w:rPr>
              <w:t>A5</w:t>
            </w:r>
          </w:p>
        </w:tc>
        <w:tc>
          <w:tcPr>
            <w:tcW w:type="dxa" w:w="8118"/>
          </w:tcPr>
          <w:p>
            <w:pPr>
              <w:spacing w:after="40"/>
            </w:pPr>
            <w:r/>
            <w:r>
              <w:rPr>
                <w:sz w:val="20"/>
              </w:rPr>
              <w:t>Paste the output into TIA Portal. Does it compile? Is the logic right?</w:t>
            </w:r>
          </w:p>
        </w:tc>
      </w:tr>
      <w:tr>
        <w:tc>
          <w:tcPr>
            <w:tcW w:type="dxa" w:w="907"/>
          </w:tcPr>
          <w:p>
            <w:pPr>
              <w:spacing w:after="40"/>
            </w:pPr>
            <w:r/>
            <w:r>
              <w:rPr>
                <w:sz w:val="20"/>
              </w:rPr>
              <w:t>A6</w:t>
            </w:r>
          </w:p>
        </w:tc>
        <w:tc>
          <w:tcPr>
            <w:tcW w:type="dxa" w:w="8118"/>
          </w:tcPr>
          <w:p>
            <w:pPr>
              <w:spacing w:after="40"/>
            </w:pPr>
            <w:r/>
            <w:r>
              <w:rPr>
                <w:sz w:val="20"/>
              </w:rPr>
              <w:t>Iterate the prompt until output is consistently usable</w:t>
            </w:r>
          </w:p>
        </w:tc>
      </w:tr>
    </w:tbl>
    <w:p>
      <w:pPr>
        <w:spacing w:after="80"/>
      </w:pPr>
    </w:p>
    <w:p>
      <w:pPr>
        <w:spacing w:after="120"/>
      </w:pPr>
      <w:r>
        <w:rPr>
          <w:b/>
          <w:i w:val="0"/>
          <w:sz w:val="22"/>
        </w:rPr>
        <w:t>Gate: if A5 never produces usable SCL after serious prompt work, stop and report that. Better to find out in week one than in month four.</w:t>
      </w:r>
    </w:p>
    <w:p>
      <w:pPr>
        <w:pStyle w:val="Heading2"/>
      </w:pPr>
      <w:r>
        <w:t>Phase B — Make it a component (task 25)</w:t>
      </w:r>
    </w:p>
    <w:tbl>
      <w:tblPr>
        <w:tblStyle w:val="TableGrid"/>
        <w:tblW w:type="auto" w:w="0"/>
        <w:tblLayout w:type="fixed"/>
        <w:tblLook w:firstColumn="1" w:firstRow="1" w:lastColumn="0" w:lastRow="0" w:noHBand="0" w:noVBand="1" w:val="04A0"/>
      </w:tblPr>
      <w:tblGrid>
        <w:gridCol w:w="4513"/>
        <w:gridCol w:w="4513"/>
      </w:tblGrid>
      <w:tr>
        <w:tc>
          <w:tcPr>
            <w:tcW w:type="dxa" w:w="907"/>
            <w:shd w:val="clear" w:fill="DCE6F1"/>
          </w:tcPr>
          <w:p>
            <w:pPr>
              <w:spacing w:after="40"/>
            </w:pPr>
            <w:r/>
            <w:r>
              <w:rPr>
                <w:b/>
                <w:sz w:val="20"/>
              </w:rPr>
              <w:t>Step</w:t>
            </w:r>
          </w:p>
        </w:tc>
        <w:tc>
          <w:tcPr>
            <w:tcW w:type="dxa" w:w="8118"/>
            <w:shd w:val="clear" w:fill="DCE6F1"/>
          </w:tcPr>
          <w:p>
            <w:pPr>
              <w:spacing w:after="40"/>
            </w:pPr>
            <w:r/>
            <w:r>
              <w:rPr>
                <w:b/>
                <w:sz w:val="20"/>
              </w:rPr>
              <w:t>Work</w:t>
            </w:r>
          </w:p>
        </w:tc>
      </w:tr>
      <w:tr>
        <w:tc>
          <w:tcPr>
            <w:tcW w:type="dxa" w:w="907"/>
          </w:tcPr>
          <w:p>
            <w:pPr>
              <w:spacing w:after="40"/>
            </w:pPr>
            <w:r/>
            <w:r>
              <w:rPr>
                <w:sz w:val="20"/>
              </w:rPr>
              <w:t>B1</w:t>
            </w:r>
          </w:p>
        </w:tc>
        <w:tc>
          <w:tcPr>
            <w:tcW w:type="dxa" w:w="8118"/>
          </w:tcPr>
          <w:p>
            <w:pPr>
              <w:spacing w:after="40"/>
            </w:pPr>
            <w:r/>
            <w:r>
              <w:rPr>
                <w:sz w:val="20"/>
              </w:rPr>
              <w:t>Create the XenAnalyticTransl.AI class library</w:t>
            </w:r>
          </w:p>
        </w:tc>
      </w:tr>
      <w:tr>
        <w:tc>
          <w:tcPr>
            <w:tcW w:type="dxa" w:w="907"/>
          </w:tcPr>
          <w:p>
            <w:pPr>
              <w:spacing w:after="40"/>
            </w:pPr>
            <w:r/>
            <w:r>
              <w:rPr>
                <w:sz w:val="20"/>
              </w:rPr>
              <w:t>B2</w:t>
            </w:r>
          </w:p>
        </w:tc>
        <w:tc>
          <w:tcPr>
            <w:tcW w:type="dxa" w:w="8118"/>
          </w:tcPr>
          <w:p>
            <w:pPr>
              <w:spacing w:after="40"/>
            </w:pPr>
            <w:r/>
            <w:r>
              <w:rPr>
                <w:sz w:val="20"/>
              </w:rPr>
              <w:t>Move models, prompt builder and client into it</w:t>
            </w:r>
          </w:p>
        </w:tc>
      </w:tr>
      <w:tr>
        <w:tc>
          <w:tcPr>
            <w:tcW w:type="dxa" w:w="907"/>
          </w:tcPr>
          <w:p>
            <w:pPr>
              <w:spacing w:after="40"/>
            </w:pPr>
            <w:r/>
            <w:r>
              <w:rPr>
                <w:sz w:val="20"/>
              </w:rPr>
              <w:t>B3</w:t>
            </w:r>
          </w:p>
        </w:tc>
        <w:tc>
          <w:tcPr>
            <w:tcW w:type="dxa" w:w="8118"/>
          </w:tcPr>
          <w:p>
            <w:pPr>
              <w:spacing w:after="40"/>
            </w:pPr>
            <w:r/>
            <w:r>
              <w:rPr>
                <w:sz w:val="20"/>
              </w:rPr>
              <w:t>Add schema validation on the response</w:t>
            </w:r>
          </w:p>
        </w:tc>
      </w:tr>
      <w:tr>
        <w:tc>
          <w:tcPr>
            <w:tcW w:type="dxa" w:w="907"/>
          </w:tcPr>
          <w:p>
            <w:pPr>
              <w:spacing w:after="40"/>
            </w:pPr>
            <w:r/>
            <w:r>
              <w:rPr>
                <w:sz w:val="20"/>
              </w:rPr>
              <w:t>B4</w:t>
            </w:r>
          </w:p>
        </w:tc>
        <w:tc>
          <w:tcPr>
            <w:tcW w:type="dxa" w:w="8118"/>
          </w:tcPr>
          <w:p>
            <w:pPr>
              <w:spacing w:after="40"/>
            </w:pPr>
            <w:r/>
            <w:r>
              <w:rPr>
                <w:sz w:val="20"/>
              </w:rPr>
              <w:t>Add identifier validation against the tag table</w:t>
            </w:r>
          </w:p>
        </w:tc>
      </w:tr>
      <w:tr>
        <w:tc>
          <w:tcPr>
            <w:tcW w:type="dxa" w:w="907"/>
          </w:tcPr>
          <w:p>
            <w:pPr>
              <w:spacing w:after="40"/>
            </w:pPr>
            <w:r/>
            <w:r>
              <w:rPr>
                <w:sz w:val="20"/>
              </w:rPr>
              <w:t>B5</w:t>
            </w:r>
          </w:p>
        </w:tc>
        <w:tc>
          <w:tcPr>
            <w:tcW w:type="dxa" w:w="8118"/>
          </w:tcPr>
          <w:p>
            <w:pPr>
              <w:spacing w:after="40"/>
            </w:pPr>
            <w:r/>
            <w:r>
              <w:rPr>
                <w:sz w:val="20"/>
              </w:rPr>
              <w:t>Unit tests using recorded responses, so tests need no network and cost nothing</w:t>
            </w:r>
          </w:p>
        </w:tc>
      </w:tr>
    </w:tbl>
    <w:p>
      <w:pPr>
        <w:spacing w:after="80"/>
      </w:pPr>
    </w:p>
    <w:p>
      <w:pPr>
        <w:pStyle w:val="Heading2"/>
      </w:pPr>
      <w:r>
        <w:t>Phase C — Measure (task 27)</w:t>
      </w:r>
    </w:p>
    <w:tbl>
      <w:tblPr>
        <w:tblStyle w:val="TableGrid"/>
        <w:tblW w:type="auto" w:w="0"/>
        <w:tblLayout w:type="fixed"/>
        <w:tblLook w:firstColumn="1" w:firstRow="1" w:lastColumn="0" w:lastRow="0" w:noHBand="0" w:noVBand="1" w:val="04A0"/>
      </w:tblPr>
      <w:tblGrid>
        <w:gridCol w:w="4513"/>
        <w:gridCol w:w="4513"/>
      </w:tblGrid>
      <w:tr>
        <w:tc>
          <w:tcPr>
            <w:tcW w:type="dxa" w:w="907"/>
            <w:shd w:val="clear" w:fill="DCE6F1"/>
          </w:tcPr>
          <w:p>
            <w:pPr>
              <w:spacing w:after="40"/>
            </w:pPr>
            <w:r/>
            <w:r>
              <w:rPr>
                <w:b/>
                <w:sz w:val="20"/>
              </w:rPr>
              <w:t>Step</w:t>
            </w:r>
          </w:p>
        </w:tc>
        <w:tc>
          <w:tcPr>
            <w:tcW w:type="dxa" w:w="8118"/>
            <w:shd w:val="clear" w:fill="DCE6F1"/>
          </w:tcPr>
          <w:p>
            <w:pPr>
              <w:spacing w:after="40"/>
            </w:pPr>
            <w:r/>
            <w:r>
              <w:rPr>
                <w:b/>
                <w:sz w:val="20"/>
              </w:rPr>
              <w:t>Work</w:t>
            </w:r>
          </w:p>
        </w:tc>
      </w:tr>
      <w:tr>
        <w:tc>
          <w:tcPr>
            <w:tcW w:type="dxa" w:w="907"/>
          </w:tcPr>
          <w:p>
            <w:pPr>
              <w:spacing w:after="40"/>
            </w:pPr>
            <w:r/>
            <w:r>
              <w:rPr>
                <w:sz w:val="20"/>
              </w:rPr>
              <w:t>C1</w:t>
            </w:r>
          </w:p>
        </w:tc>
        <w:tc>
          <w:tcPr>
            <w:tcW w:type="dxa" w:w="8118"/>
          </w:tcPr>
          <w:p>
            <w:pPr>
              <w:spacing w:after="40"/>
            </w:pPr>
            <w:r/>
            <w:r>
              <w:rPr>
                <w:sz w:val="20"/>
              </w:rPr>
              <w:t>Build an evaluation set of 30–50 scenarios with known-good output</w:t>
            </w:r>
          </w:p>
        </w:tc>
      </w:tr>
      <w:tr>
        <w:tc>
          <w:tcPr>
            <w:tcW w:type="dxa" w:w="907"/>
          </w:tcPr>
          <w:p>
            <w:pPr>
              <w:spacing w:after="40"/>
            </w:pPr>
            <w:r/>
            <w:r>
              <w:rPr>
                <w:sz w:val="20"/>
              </w:rPr>
              <w:t>C2</w:t>
            </w:r>
          </w:p>
        </w:tc>
        <w:tc>
          <w:tcPr>
            <w:tcW w:type="dxa" w:w="8118"/>
          </w:tcPr>
          <w:p>
            <w:pPr>
              <w:spacing w:after="40"/>
            </w:pPr>
            <w:r/>
            <w:r>
              <w:rPr>
                <w:sz w:val="20"/>
              </w:rPr>
              <w:t>Score: compiles, logic correct, consistent across repeat runs</w:t>
            </w:r>
          </w:p>
        </w:tc>
      </w:tr>
      <w:tr>
        <w:tc>
          <w:tcPr>
            <w:tcW w:type="dxa" w:w="907"/>
          </w:tcPr>
          <w:p>
            <w:pPr>
              <w:spacing w:after="40"/>
            </w:pPr>
            <w:r/>
            <w:r>
              <w:rPr>
                <w:sz w:val="20"/>
              </w:rPr>
              <w:t>C3</w:t>
            </w:r>
          </w:p>
        </w:tc>
        <w:tc>
          <w:tcPr>
            <w:tcW w:type="dxa" w:w="8118"/>
          </w:tcPr>
          <w:p>
            <w:pPr>
              <w:spacing w:after="40"/>
            </w:pPr>
            <w:r/>
            <w:r>
              <w:rPr>
                <w:sz w:val="20"/>
              </w:rPr>
              <w:t>Measure latency and cost per call, project monthly cost</w:t>
            </w:r>
          </w:p>
        </w:tc>
      </w:tr>
      <w:tr>
        <w:tc>
          <w:tcPr>
            <w:tcW w:type="dxa" w:w="907"/>
          </w:tcPr>
          <w:p>
            <w:pPr>
              <w:spacing w:after="40"/>
            </w:pPr>
            <w:r/>
            <w:r>
              <w:rPr>
                <w:sz w:val="20"/>
              </w:rPr>
              <w:t>C4</w:t>
            </w:r>
          </w:p>
        </w:tc>
        <w:tc>
          <w:tcPr>
            <w:tcW w:type="dxa" w:w="8118"/>
          </w:tcPr>
          <w:p>
            <w:pPr>
              <w:spacing w:after="40"/>
            </w:pPr>
            <w:r/>
            <w:r>
              <w:rPr>
                <w:sz w:val="20"/>
              </w:rPr>
              <w:t>Tune, re-run, record the deltas</w:t>
            </w:r>
          </w:p>
        </w:tc>
      </w:tr>
    </w:tbl>
    <w:p>
      <w:pPr>
        <w:spacing w:after="80"/>
      </w:pPr>
    </w:p>
    <w:p>
      <w:pPr>
        <w:pStyle w:val="Heading2"/>
      </w:pPr>
      <w:r>
        <w:t>Phase D — Wire the UI (task 26)</w:t>
      </w:r>
    </w:p>
    <w:tbl>
      <w:tblPr>
        <w:tblStyle w:val="TableGrid"/>
        <w:tblW w:type="auto" w:w="0"/>
        <w:tblLayout w:type="fixed"/>
        <w:tblLook w:firstColumn="1" w:firstRow="1" w:lastColumn="0" w:lastRow="0" w:noHBand="0" w:noVBand="1" w:val="04A0"/>
      </w:tblPr>
      <w:tblGrid>
        <w:gridCol w:w="4513"/>
        <w:gridCol w:w="4513"/>
      </w:tblGrid>
      <w:tr>
        <w:tc>
          <w:tcPr>
            <w:tcW w:type="dxa" w:w="907"/>
            <w:shd w:val="clear" w:fill="DCE6F1"/>
          </w:tcPr>
          <w:p>
            <w:pPr>
              <w:spacing w:after="40"/>
            </w:pPr>
            <w:r/>
            <w:r>
              <w:rPr>
                <w:b/>
                <w:sz w:val="20"/>
              </w:rPr>
              <w:t>Step</w:t>
            </w:r>
          </w:p>
        </w:tc>
        <w:tc>
          <w:tcPr>
            <w:tcW w:type="dxa" w:w="8118"/>
            <w:shd w:val="clear" w:fill="DCE6F1"/>
          </w:tcPr>
          <w:p>
            <w:pPr>
              <w:spacing w:after="40"/>
            </w:pPr>
            <w:r/>
            <w:r>
              <w:rPr>
                <w:b/>
                <w:sz w:val="20"/>
              </w:rPr>
              <w:t>Work</w:t>
            </w:r>
          </w:p>
        </w:tc>
      </w:tr>
      <w:tr>
        <w:tc>
          <w:tcPr>
            <w:tcW w:type="dxa" w:w="907"/>
          </w:tcPr>
          <w:p>
            <w:pPr>
              <w:spacing w:after="40"/>
            </w:pPr>
            <w:r/>
            <w:r>
              <w:rPr>
                <w:sz w:val="20"/>
              </w:rPr>
              <w:t>D1</w:t>
            </w:r>
          </w:p>
        </w:tc>
        <w:tc>
          <w:tcPr>
            <w:tcW w:type="dxa" w:w="8118"/>
          </w:tcPr>
          <w:p>
            <w:pPr>
              <w:spacing w:after="40"/>
            </w:pPr>
            <w:r/>
            <w:r>
              <w:rPr>
                <w:sz w:val="20"/>
              </w:rPr>
              <w:t>Build the context pack from the live panels</w:t>
            </w:r>
          </w:p>
        </w:tc>
      </w:tr>
      <w:tr>
        <w:tc>
          <w:tcPr>
            <w:tcW w:type="dxa" w:w="907"/>
          </w:tcPr>
          <w:p>
            <w:pPr>
              <w:spacing w:after="40"/>
            </w:pPr>
            <w:r/>
            <w:r>
              <w:rPr>
                <w:sz w:val="20"/>
              </w:rPr>
              <w:t>D2</w:t>
            </w:r>
          </w:p>
        </w:tc>
        <w:tc>
          <w:tcPr>
            <w:tcW w:type="dxa" w:w="8118"/>
          </w:tcPr>
          <w:p>
            <w:pPr>
              <w:spacing w:after="40"/>
            </w:pPr>
            <w:r/>
            <w:r>
              <w:rPr>
                <w:sz w:val="20"/>
              </w:rPr>
              <w:t>Async button handler with progress and cancel</w:t>
            </w:r>
          </w:p>
        </w:tc>
      </w:tr>
      <w:tr>
        <w:tc>
          <w:tcPr>
            <w:tcW w:type="dxa" w:w="907"/>
          </w:tcPr>
          <w:p>
            <w:pPr>
              <w:spacing w:after="40"/>
            </w:pPr>
            <w:r/>
            <w:r>
              <w:rPr>
                <w:sz w:val="20"/>
              </w:rPr>
              <w:t>D3</w:t>
            </w:r>
          </w:p>
        </w:tc>
        <w:tc>
          <w:tcPr>
            <w:tcW w:type="dxa" w:w="8118"/>
          </w:tcPr>
          <w:p>
            <w:pPr>
              <w:spacing w:after="40"/>
            </w:pPr>
            <w:r/>
            <w:r>
              <w:rPr>
                <w:sz w:val="20"/>
              </w:rPr>
              <w:t>Result panel: generated logic, explanation tab, copy, save</w:t>
            </w:r>
          </w:p>
        </w:tc>
      </w:tr>
      <w:tr>
        <w:tc>
          <w:tcPr>
            <w:tcW w:type="dxa" w:w="907"/>
          </w:tcPr>
          <w:p>
            <w:pPr>
              <w:spacing w:after="40"/>
            </w:pPr>
            <w:r/>
            <w:r>
              <w:rPr>
                <w:sz w:val="20"/>
              </w:rPr>
              <w:t>D4</w:t>
            </w:r>
          </w:p>
        </w:tc>
        <w:tc>
          <w:tcPr>
            <w:tcW w:type="dxa" w:w="8118"/>
          </w:tcPr>
          <w:p>
            <w:pPr>
              <w:spacing w:after="40"/>
            </w:pPr>
            <w:r/>
            <w:r>
              <w:rPr>
                <w:sz w:val="20"/>
              </w:rPr>
              <w:t>Error and fallback states, never fail silently</w:t>
            </w:r>
          </w:p>
        </w:tc>
      </w:tr>
      <w:tr>
        <w:tc>
          <w:tcPr>
            <w:tcW w:type="dxa" w:w="907"/>
          </w:tcPr>
          <w:p>
            <w:pPr>
              <w:spacing w:after="40"/>
            </w:pPr>
            <w:r/>
            <w:r>
              <w:rPr>
                <w:sz w:val="20"/>
              </w:rPr>
              <w:t>D5</w:t>
            </w:r>
          </w:p>
        </w:tc>
        <w:tc>
          <w:tcPr>
            <w:tcW w:type="dxa" w:w="8118"/>
          </w:tcPr>
          <w:p>
            <w:pPr>
              <w:spacing w:after="40"/>
            </w:pPr>
            <w:r/>
            <w:r>
              <w:rPr>
                <w:sz w:val="20"/>
              </w:rPr>
              <w:t>Surface unknown identifiers as warnings on the result</w:t>
            </w:r>
          </w:p>
        </w:tc>
      </w:tr>
    </w:tbl>
    <w:p>
      <w:pPr>
        <w:spacing w:after="80"/>
      </w:pPr>
    </w:p>
    <w:p>
      <w:pPr>
        <w:pStyle w:val="Heading2"/>
      </w:pPr>
      <w:r>
        <w:t>Phase E — Production (tasks 28–32)</w:t>
      </w:r>
    </w:p>
    <w:tbl>
      <w:tblPr>
        <w:tblStyle w:val="TableGrid"/>
        <w:tblW w:type="auto" w:w="0"/>
        <w:tblLayout w:type="fixed"/>
        <w:tblLook w:firstColumn="1" w:firstRow="1" w:lastColumn="0" w:lastRow="0" w:noHBand="0" w:noVBand="1" w:val="04A0"/>
      </w:tblPr>
      <w:tblGrid>
        <w:gridCol w:w="4513"/>
        <w:gridCol w:w="4513"/>
      </w:tblGrid>
      <w:tr>
        <w:tc>
          <w:tcPr>
            <w:tcW w:type="dxa" w:w="907"/>
            <w:shd w:val="clear" w:fill="DCE6F1"/>
          </w:tcPr>
          <w:p>
            <w:pPr>
              <w:spacing w:after="40"/>
            </w:pPr>
            <w:r/>
            <w:r>
              <w:rPr>
                <w:b/>
                <w:sz w:val="20"/>
              </w:rPr>
              <w:t>Step</w:t>
            </w:r>
          </w:p>
        </w:tc>
        <w:tc>
          <w:tcPr>
            <w:tcW w:type="dxa" w:w="8118"/>
            <w:shd w:val="clear" w:fill="DCE6F1"/>
          </w:tcPr>
          <w:p>
            <w:pPr>
              <w:spacing w:after="40"/>
            </w:pPr>
            <w:r/>
            <w:r>
              <w:rPr>
                <w:b/>
                <w:sz w:val="20"/>
              </w:rPr>
              <w:t>Work</w:t>
            </w:r>
          </w:p>
        </w:tc>
      </w:tr>
      <w:tr>
        <w:tc>
          <w:tcPr>
            <w:tcW w:type="dxa" w:w="907"/>
          </w:tcPr>
          <w:p>
            <w:pPr>
              <w:spacing w:after="40"/>
            </w:pPr>
            <w:r/>
            <w:r>
              <w:rPr>
                <w:sz w:val="20"/>
              </w:rPr>
              <w:t>E1</w:t>
            </w:r>
          </w:p>
        </w:tc>
        <w:tc>
          <w:tcPr>
            <w:tcW w:type="dxa" w:w="8118"/>
          </w:tcPr>
          <w:p>
            <w:pPr>
              <w:spacing w:after="40"/>
            </w:pPr>
            <w:r/>
            <w:r>
              <w:rPr>
                <w:sz w:val="20"/>
              </w:rPr>
              <w:t>Stand up the internal AI service holding the key</w:t>
            </w:r>
          </w:p>
        </w:tc>
      </w:tr>
      <w:tr>
        <w:tc>
          <w:tcPr>
            <w:tcW w:type="dxa" w:w="907"/>
          </w:tcPr>
          <w:p>
            <w:pPr>
              <w:spacing w:after="40"/>
            </w:pPr>
            <w:r/>
            <w:r>
              <w:rPr>
                <w:sz w:val="20"/>
              </w:rPr>
              <w:t>E2</w:t>
            </w:r>
          </w:p>
        </w:tc>
        <w:tc>
          <w:tcPr>
            <w:tcW w:type="dxa" w:w="8118"/>
          </w:tcPr>
          <w:p>
            <w:pPr>
              <w:spacing w:after="40"/>
            </w:pPr>
            <w:r/>
            <w:r>
              <w:rPr>
                <w:sz w:val="20"/>
              </w:rPr>
              <w:t>Deployment and environment configuration</w:t>
            </w:r>
          </w:p>
        </w:tc>
      </w:tr>
      <w:tr>
        <w:tc>
          <w:tcPr>
            <w:tcW w:type="dxa" w:w="907"/>
          </w:tcPr>
          <w:p>
            <w:pPr>
              <w:spacing w:after="40"/>
            </w:pPr>
            <w:r/>
            <w:r>
              <w:rPr>
                <w:sz w:val="20"/>
              </w:rPr>
              <w:t>E3</w:t>
            </w:r>
          </w:p>
        </w:tc>
        <w:tc>
          <w:tcPr>
            <w:tcW w:type="dxa" w:w="8118"/>
          </w:tcPr>
          <w:p>
            <w:pPr>
              <w:spacing w:after="40"/>
            </w:pPr>
            <w:r/>
            <w:r>
              <w:rPr>
                <w:sz w:val="20"/>
              </w:rPr>
              <w:t>Server-side integration and load testing</w:t>
            </w:r>
          </w:p>
        </w:tc>
      </w:tr>
      <w:tr>
        <w:tc>
          <w:tcPr>
            <w:tcW w:type="dxa" w:w="907"/>
          </w:tcPr>
          <w:p>
            <w:pPr>
              <w:spacing w:after="40"/>
            </w:pPr>
            <w:r/>
            <w:r>
              <w:rPr>
                <w:sz w:val="20"/>
              </w:rPr>
              <w:t>E4</w:t>
            </w:r>
          </w:p>
        </w:tc>
        <w:tc>
          <w:tcPr>
            <w:tcW w:type="dxa" w:w="8118"/>
          </w:tcPr>
          <w:p>
            <w:pPr>
              <w:spacing w:after="40"/>
            </w:pPr>
            <w:r/>
            <w:r>
              <w:rPr>
                <w:sz w:val="20"/>
              </w:rPr>
              <w:t>User acceptance testing with 3–5 engineers</w:t>
            </w:r>
          </w:p>
        </w:tc>
      </w:tr>
      <w:tr>
        <w:tc>
          <w:tcPr>
            <w:tcW w:type="dxa" w:w="907"/>
          </w:tcPr>
          <w:p>
            <w:pPr>
              <w:spacing w:after="40"/>
            </w:pPr>
            <w:r/>
            <w:r>
              <w:rPr>
                <w:sz w:val="20"/>
              </w:rPr>
              <w:t>E5</w:t>
            </w:r>
          </w:p>
        </w:tc>
        <w:tc>
          <w:tcPr>
            <w:tcW w:type="dxa" w:w="8118"/>
          </w:tcPr>
          <w:p>
            <w:pPr>
              <w:spacing w:after="40"/>
            </w:pPr>
            <w:r/>
            <w:r>
              <w:rPr>
                <w:sz w:val="20"/>
              </w:rPr>
              <w:t>Documentation: user guide, ops runbook, prompt rationale</w:t>
            </w:r>
          </w:p>
        </w:tc>
      </w:tr>
    </w:tbl>
    <w:p>
      <w:pPr>
        <w:spacing w:after="80"/>
      </w:pPr>
    </w:p>
    <w:p>
      <w:pPr>
        <w:pStyle w:val="Heading1"/>
      </w:pPr>
      <w:r>
        <w:t>Where to start</w:t>
      </w:r>
    </w:p>
    <w:p>
      <w:pPr>
        <w:spacing w:after="120"/>
      </w:pPr>
      <w:r>
        <w:rPr>
          <w:b w:val="0"/>
          <w:i w:val="0"/>
          <w:sz w:val="22"/>
        </w:rPr>
        <w:t>Roughly one day of work, and it tells you more than a month of design.</w:t>
      </w:r>
    </w:p>
    <w:p>
      <w:pPr>
        <w:spacing w:after="80"/>
        <w:ind w:left="227"/>
      </w:pPr>
      <w:r>
        <w:t>☐  Get a free Gemini key at aistudio.google.com, about two minutes</w:t>
      </w:r>
    </w:p>
    <w:p>
      <w:pPr>
        <w:spacing w:after="80"/>
        <w:ind w:left="227"/>
      </w:pPr>
      <w:r>
        <w:t>☐  Write one dummy motor scenario with invented tags</w:t>
      </w:r>
    </w:p>
    <w:p>
      <w:pPr>
        <w:spacing w:after="80"/>
        <w:ind w:left="227"/>
      </w:pPr>
      <w:r>
        <w:t>☐  Build its context pack by hand</w:t>
      </w:r>
    </w:p>
    <w:p>
      <w:pPr>
        <w:spacing w:after="80"/>
        <w:ind w:left="227"/>
      </w:pPr>
      <w:r>
        <w:t>☐  Write the prompt and call the model from the console app</w:t>
      </w:r>
    </w:p>
    <w:p>
      <w:pPr>
        <w:spacing w:after="80"/>
        <w:ind w:left="227"/>
      </w:pPr>
      <w:r>
        <w:t>☐  Paste the SCL into TIA Portal and see whether it compiles</w:t>
      </w:r>
    </w:p>
    <w:p>
      <w:pPr>
        <w:spacing w:after="120"/>
      </w:pPr>
      <w:r>
        <w:rPr>
          <w:b w:val="0"/>
          <w:i w:val="0"/>
          <w:sz w:val="22"/>
        </w:rPr>
      </w:r>
    </w:p>
    <w:p>
      <w:pPr>
        <w:spacing w:after="120"/>
      </w:pPr>
      <w:r>
        <w:rPr>
          <w:b w:val="0"/>
          <w:i w:val="0"/>
          <w:sz w:val="22"/>
        </w:rPr>
        <w:t>The last step is the real gate. If carefully-prompted SCL never compiles, that is worth knowing in week one.</w:t>
      </w:r>
    </w:p>
    <w:p>
      <w:pPr>
        <w:spacing w:after="120"/>
      </w:pPr>
      <w:r>
        <w:rPr>
          <w:b w:val="0"/>
          <w:i w:val="0"/>
          <w:sz w:val="22"/>
        </w:rPr>
        <w:t>Use invented scenarios, not real plant data. Free API tiers generally allow the provider to use submitted content for product improvement, so the free tier is for learning the API, not for plant intellectual property.</w:t>
      </w:r>
    </w:p>
    <w:p>
      <w:pPr>
        <w:pStyle w:val="Heading1"/>
      </w:pPr>
      <w:r>
        <w:t>Decision log</w:t>
      </w:r>
    </w:p>
    <w:p>
      <w:pPr>
        <w:spacing w:after="120"/>
      </w:pPr>
      <w:r>
        <w:rPr>
          <w:b w:val="0"/>
          <w:i w:val="0"/>
          <w:sz w:val="22"/>
        </w:rPr>
        <w:t>Record choices here as they are made, with the date and the reason.</w:t>
      </w:r>
    </w:p>
    <w:tbl>
      <w:tblPr>
        <w:tblStyle w:val="TableGrid"/>
        <w:tblW w:type="auto" w:w="0"/>
        <w:tblLayout w:type="fixed"/>
        <w:tblLook w:firstColumn="1" w:firstRow="1" w:lastColumn="0" w:lastRow="0" w:noHBand="0" w:noVBand="1" w:val="04A0"/>
      </w:tblPr>
      <w:tblGrid>
        <w:gridCol w:w="3009"/>
        <w:gridCol w:w="3009"/>
        <w:gridCol w:w="3009"/>
      </w:tblGrid>
      <w:tr>
        <w:tc>
          <w:tcPr>
            <w:tcW w:type="dxa" w:w="1474"/>
            <w:shd w:val="clear" w:fill="DCE6F1"/>
          </w:tcPr>
          <w:p>
            <w:pPr>
              <w:spacing w:after="40"/>
            </w:pPr>
            <w:r/>
            <w:r>
              <w:rPr>
                <w:b/>
                <w:sz w:val="20"/>
              </w:rPr>
              <w:t>Date</w:t>
            </w:r>
          </w:p>
        </w:tc>
        <w:tc>
          <w:tcPr>
            <w:tcW w:type="dxa" w:w="4139"/>
            <w:shd w:val="clear" w:fill="DCE6F1"/>
          </w:tcPr>
          <w:p>
            <w:pPr>
              <w:spacing w:after="40"/>
            </w:pPr>
            <w:r/>
            <w:r>
              <w:rPr>
                <w:b/>
                <w:sz w:val="20"/>
              </w:rPr>
              <w:t>Decision</w:t>
            </w:r>
          </w:p>
        </w:tc>
        <w:tc>
          <w:tcPr>
            <w:tcW w:type="dxa" w:w="3413"/>
            <w:shd w:val="clear" w:fill="DCE6F1"/>
          </w:tcPr>
          <w:p>
            <w:pPr>
              <w:spacing w:after="40"/>
            </w:pPr>
            <w:r/>
            <w:r>
              <w:rPr>
                <w:b/>
                <w:sz w:val="20"/>
              </w:rPr>
              <w:t>Reason</w:t>
            </w:r>
          </w:p>
        </w:tc>
      </w:tr>
      <w:tr>
        <w:tc>
          <w:tcPr>
            <w:tcW w:type="dxa" w:w="1474"/>
          </w:tcPr>
          <w:p>
            <w:pPr>
              <w:spacing w:after="40"/>
            </w:pPr>
            <w:r/>
            <w:r>
              <w:rPr>
                <w:sz w:val="20"/>
              </w:rPr>
              <w:t>2026-09-22</w:t>
            </w:r>
          </w:p>
        </w:tc>
        <w:tc>
          <w:tcPr>
            <w:tcW w:type="dxa" w:w="4139"/>
          </w:tcPr>
          <w:p>
            <w:pPr>
              <w:spacing w:after="40"/>
            </w:pPr>
            <w:r/>
            <w:r>
              <w:rPr>
                <w:sz w:val="20"/>
              </w:rPr>
              <w:t>Repo named XenAnalyticTransl, DevOps authoritative, GitHub mirror</w:t>
            </w:r>
          </w:p>
        </w:tc>
        <w:tc>
          <w:tcPr>
            <w:tcW w:type="dxa" w:w="3413"/>
          </w:tcPr>
          <w:p>
            <w:pPr>
              <w:spacing w:after="40"/>
            </w:pPr>
            <w:r/>
            <w:r>
              <w:rPr>
                <w:sz w:val="20"/>
              </w:rPr>
              <w:t>Team server is DevOps</w:t>
            </w:r>
          </w:p>
        </w:tc>
      </w:tr>
      <w:tr>
        <w:tc>
          <w:tcPr>
            <w:tcW w:type="dxa" w:w="1474"/>
          </w:tcPr>
          <w:p>
            <w:pPr>
              <w:spacing w:after="40"/>
            </w:pPr>
            <w:r/>
            <w:r>
              <w:rPr>
                <w:sz w:val="20"/>
              </w:rPr>
              <w:t>2026-09-22</w:t>
            </w:r>
          </w:p>
        </w:tc>
        <w:tc>
          <w:tcPr>
            <w:tcW w:type="dxa" w:w="4139"/>
          </w:tcPr>
          <w:p>
            <w:pPr>
              <w:spacing w:after="40"/>
            </w:pPr>
            <w:r/>
            <w:r>
              <w:rPr>
                <w:sz w:val="20"/>
              </w:rPr>
              <w:t>Branch main</w:t>
            </w:r>
          </w:p>
        </w:tc>
        <w:tc>
          <w:tcPr>
            <w:tcW w:type="dxa" w:w="3413"/>
          </w:tcPr>
          <w:p>
            <w:pPr>
              <w:spacing w:after="40"/>
            </w:pPr>
            <w:r/>
            <w:r>
              <w:rPr>
                <w:sz w:val="20"/>
              </w:rPr>
              <w:t>Matches GitHub default and DevOps convention</w:t>
            </w:r>
          </w:p>
        </w:tc>
      </w:tr>
      <w:tr>
        <w:tc>
          <w:tcPr>
            <w:tcW w:type="dxa" w:w="1474"/>
          </w:tcPr>
          <w:p>
            <w:pPr>
              <w:spacing w:after="40"/>
            </w:pPr>
            <w:r/>
            <w:r>
              <w:rPr>
                <w:sz w:val="20"/>
              </w:rPr>
              <w:t>2026-09-24</w:t>
            </w:r>
          </w:p>
        </w:tc>
        <w:tc>
          <w:tcPr>
            <w:tcW w:type="dxa" w:w="4139"/>
          </w:tcPr>
          <w:p>
            <w:pPr>
              <w:spacing w:after="40"/>
            </w:pPr>
            <w:r/>
            <w:r>
              <w:rPr>
                <w:sz w:val="20"/>
              </w:rPr>
              <w:t>Build against the OpenAI-compatible interface</w:t>
            </w:r>
          </w:p>
        </w:tc>
        <w:tc>
          <w:tcPr>
            <w:tcW w:type="dxa" w:w="3413"/>
          </w:tcPr>
          <w:p>
            <w:pPr>
              <w:spacing w:after="40"/>
            </w:pPr>
            <w:r/>
            <w:r>
              <w:rPr>
                <w:sz w:val="20"/>
              </w:rPr>
              <w:t>Keeps the provider choice open and reversible</w:t>
            </w:r>
          </w:p>
        </w:tc>
      </w:tr>
      <w:tr>
        <w:tc>
          <w:tcPr>
            <w:tcW w:type="dxa" w:w="1474"/>
          </w:tcPr>
          <w:p>
            <w:pPr>
              <w:spacing w:after="40"/>
            </w:pPr>
            <w:r/>
            <w:r>
              <w:rPr>
                <w:sz w:val="20"/>
              </w:rPr>
              <w:t>pending</w:t>
            </w:r>
          </w:p>
        </w:tc>
        <w:tc>
          <w:tcPr>
            <w:tcW w:type="dxa" w:w="4139"/>
          </w:tcPr>
          <w:p>
            <w:pPr>
              <w:spacing w:after="40"/>
            </w:pPr>
            <w:r/>
            <w:r>
              <w:rPr>
                <w:sz w:val="20"/>
              </w:rPr>
              <w:t>May plant data leave the network?</w:t>
            </w:r>
          </w:p>
        </w:tc>
        <w:tc>
          <w:tcPr>
            <w:tcW w:type="dxa" w:w="3413"/>
          </w:tcPr>
          <w:p>
            <w:pPr>
              <w:spacing w:after="40"/>
            </w:pPr>
            <w:r/>
            <w:r>
              <w:rPr>
                <w:sz w:val="20"/>
              </w:rPr>
            </w:r>
          </w:p>
        </w:tc>
      </w:tr>
      <w:tr>
        <w:tc>
          <w:tcPr>
            <w:tcW w:type="dxa" w:w="1474"/>
          </w:tcPr>
          <w:p>
            <w:pPr>
              <w:spacing w:after="40"/>
            </w:pPr>
            <w:r/>
            <w:r>
              <w:rPr>
                <w:sz w:val="20"/>
              </w:rPr>
              <w:t>pending</w:t>
            </w:r>
          </w:p>
        </w:tc>
        <w:tc>
          <w:tcPr>
            <w:tcW w:type="dxa" w:w="4139"/>
          </w:tcPr>
          <w:p>
            <w:pPr>
              <w:spacing w:after="40"/>
            </w:pPr>
            <w:r/>
            <w:r>
              <w:rPr>
                <w:sz w:val="20"/>
              </w:rPr>
              <w:t>Model provider</w:t>
            </w:r>
          </w:p>
        </w:tc>
        <w:tc>
          <w:tcPr>
            <w:tcW w:type="dxa" w:w="3413"/>
          </w:tcPr>
          <w:p>
            <w:pPr>
              <w:spacing w:after="40"/>
            </w:pPr>
            <w:r/>
            <w:r>
              <w:rPr>
                <w:sz w:val="20"/>
              </w:rPr>
            </w:r>
          </w:p>
        </w:tc>
      </w:tr>
      <w:tr>
        <w:tc>
          <w:tcPr>
            <w:tcW w:type="dxa" w:w="1474"/>
          </w:tcPr>
          <w:p>
            <w:pPr>
              <w:spacing w:after="40"/>
            </w:pPr>
            <w:r/>
            <w:r>
              <w:rPr>
                <w:sz w:val="20"/>
              </w:rPr>
              <w:t>pending</w:t>
            </w:r>
          </w:p>
        </w:tc>
        <w:tc>
          <w:tcPr>
            <w:tcW w:type="dxa" w:w="4139"/>
          </w:tcPr>
          <w:p>
            <w:pPr>
              <w:spacing w:after="40"/>
            </w:pPr>
            <w:r/>
            <w:r>
              <w:rPr>
                <w:sz w:val="20"/>
              </w:rPr>
              <w:t>Is engineer review of generated code mandatory?</w:t>
            </w:r>
          </w:p>
        </w:tc>
        <w:tc>
          <w:tcPr>
            <w:tcW w:type="dxa" w:w="3413"/>
          </w:tcPr>
          <w:p>
            <w:pPr>
              <w:spacing w:after="40"/>
            </w:pPr>
            <w:r/>
            <w:r>
              <w:rPr>
                <w:sz w:val="20"/>
              </w:rPr>
            </w:r>
          </w:p>
        </w:tc>
      </w:tr>
    </w:tbl>
    <w:p>
      <w:pPr>
        <w:spacing w:after="80"/>
      </w:pP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