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829"/>
        <w:tblW w:w="0" w:type="auto"/>
        <w:tblLook w:val="04A0" w:firstRow="1" w:lastRow="0" w:firstColumn="1" w:lastColumn="0" w:noHBand="0" w:noVBand="1"/>
      </w:tblPr>
      <w:tblGrid>
        <w:gridCol w:w="9016"/>
      </w:tblGrid>
      <w:tr w:rsidR="00B8438A" w14:paraId="2CE2E296" w14:textId="77777777" w:rsidTr="00B8438A">
        <w:tc>
          <w:tcPr>
            <w:tcW w:w="9016" w:type="dxa"/>
            <w:tcBorders>
              <w:top w:val="single" w:sz="4" w:space="0" w:color="auto"/>
              <w:left w:val="single" w:sz="4" w:space="0" w:color="auto"/>
              <w:bottom w:val="nil"/>
              <w:right w:val="single" w:sz="4" w:space="0" w:color="auto"/>
            </w:tcBorders>
            <w:vAlign w:val="center"/>
          </w:tcPr>
          <w:p w14:paraId="33A06F84" w14:textId="21B67FCB" w:rsidR="00B8438A" w:rsidRDefault="00B8438A" w:rsidP="00B8438A">
            <w:pPr>
              <w:pStyle w:val="ListParagraph"/>
              <w:numPr>
                <w:ilvl w:val="0"/>
                <w:numId w:val="1"/>
              </w:numPr>
            </w:pPr>
            <w:r w:rsidRPr="00B8438A">
              <w:rPr>
                <w:b/>
                <w:bCs/>
              </w:rPr>
              <w:t>General</w:t>
            </w:r>
          </w:p>
        </w:tc>
      </w:tr>
      <w:tr w:rsidR="00B8438A" w14:paraId="105F1BD5" w14:textId="77777777" w:rsidTr="00B8438A">
        <w:tc>
          <w:tcPr>
            <w:tcW w:w="9016" w:type="dxa"/>
            <w:tcBorders>
              <w:top w:val="nil"/>
              <w:left w:val="single" w:sz="4" w:space="0" w:color="auto"/>
              <w:bottom w:val="single" w:sz="4" w:space="0" w:color="auto"/>
              <w:right w:val="single" w:sz="4" w:space="0" w:color="auto"/>
            </w:tcBorders>
            <w:vAlign w:val="center"/>
          </w:tcPr>
          <w:p w14:paraId="171B60D9" w14:textId="715150D5" w:rsidR="00B8438A" w:rsidRDefault="00B8438A" w:rsidP="00B8438A">
            <w:r w:rsidRPr="00E65292">
              <w:t xml:space="preserve">Use only supplied system context (scenarios, properties, terms, variables, operators, values, state, conditions, </w:t>
            </w:r>
            <w:proofErr w:type="gramStart"/>
            <w:r w:rsidRPr="00E65292">
              <w:t>actions..</w:t>
            </w:r>
            <w:proofErr w:type="gramEnd"/>
            <w:r w:rsidRPr="00E65292">
              <w:t>) and do not silently invent an interpretation when the intended control logic cannot be determined from the user's wording and supplied context.</w:t>
            </w:r>
          </w:p>
        </w:tc>
      </w:tr>
      <w:tr w:rsidR="00B8438A" w14:paraId="524F66C3" w14:textId="77777777" w:rsidTr="00B8438A">
        <w:tc>
          <w:tcPr>
            <w:tcW w:w="9016" w:type="dxa"/>
            <w:tcBorders>
              <w:top w:val="single" w:sz="4" w:space="0" w:color="auto"/>
              <w:left w:val="single" w:sz="4" w:space="0" w:color="auto"/>
              <w:bottom w:val="nil"/>
              <w:right w:val="single" w:sz="4" w:space="0" w:color="auto"/>
            </w:tcBorders>
            <w:vAlign w:val="center"/>
          </w:tcPr>
          <w:p w14:paraId="2BBB7A4B" w14:textId="3874DD84" w:rsidR="00B8438A" w:rsidRDefault="00B8438A" w:rsidP="00B8438A">
            <w:pPr>
              <w:pStyle w:val="ListParagraph"/>
              <w:numPr>
                <w:ilvl w:val="0"/>
                <w:numId w:val="1"/>
              </w:numPr>
              <w:tabs>
                <w:tab w:val="left" w:pos="1750"/>
              </w:tabs>
            </w:pPr>
            <w:r w:rsidRPr="00B8438A">
              <w:rPr>
                <w:b/>
                <w:bCs/>
              </w:rPr>
              <w:t xml:space="preserve">A) Scenario and </w:t>
            </w:r>
            <w:proofErr w:type="gramStart"/>
            <w:r w:rsidRPr="00B8438A">
              <w:rPr>
                <w:b/>
                <w:bCs/>
              </w:rPr>
              <w:t>Referencing</w:t>
            </w:r>
            <w:proofErr w:type="gramEnd"/>
          </w:p>
        </w:tc>
      </w:tr>
      <w:tr w:rsidR="00B8438A" w14:paraId="11A67A8A" w14:textId="77777777" w:rsidTr="00B8438A">
        <w:tc>
          <w:tcPr>
            <w:tcW w:w="9016" w:type="dxa"/>
            <w:tcBorders>
              <w:top w:val="nil"/>
              <w:left w:val="single" w:sz="4" w:space="0" w:color="auto"/>
              <w:bottom w:val="nil"/>
              <w:right w:val="single" w:sz="4" w:space="0" w:color="auto"/>
            </w:tcBorders>
            <w:vAlign w:val="center"/>
          </w:tcPr>
          <w:p w14:paraId="4B2626AC" w14:textId="7662E77E" w:rsidR="00B8438A" w:rsidRDefault="00B8438A" w:rsidP="00B8438A">
            <w:r w:rsidRPr="00E65292">
              <w:t>1) The system consists of modular Scenarios, each of which may contain conditions, actions, or both. Complex control logic is created by composing existing Scenarios through references to their names.</w:t>
            </w:r>
          </w:p>
        </w:tc>
      </w:tr>
      <w:tr w:rsidR="00B8438A" w14:paraId="36B6DF39" w14:textId="77777777" w:rsidTr="00B8438A">
        <w:tc>
          <w:tcPr>
            <w:tcW w:w="9016" w:type="dxa"/>
            <w:tcBorders>
              <w:top w:val="nil"/>
              <w:left w:val="single" w:sz="4" w:space="0" w:color="auto"/>
              <w:bottom w:val="nil"/>
              <w:right w:val="single" w:sz="4" w:space="0" w:color="auto"/>
            </w:tcBorders>
            <w:vAlign w:val="center"/>
          </w:tcPr>
          <w:p w14:paraId="3AB7C2BF" w14:textId="4B57C51C" w:rsidR="00B8438A" w:rsidRDefault="00B8438A" w:rsidP="00B8438A">
            <w:r w:rsidRPr="00E65292">
              <w:t>2) A referencing Scenario incorporates the conditions of the referenced Scenarios into its composite condition and incorporates their actions into its resulting action flow.</w:t>
            </w:r>
          </w:p>
        </w:tc>
      </w:tr>
      <w:tr w:rsidR="00B8438A" w14:paraId="73E0E69A" w14:textId="77777777" w:rsidTr="00B8438A">
        <w:tc>
          <w:tcPr>
            <w:tcW w:w="9016" w:type="dxa"/>
            <w:tcBorders>
              <w:top w:val="nil"/>
              <w:left w:val="single" w:sz="4" w:space="0" w:color="auto"/>
              <w:bottom w:val="nil"/>
              <w:right w:val="single" w:sz="4" w:space="0" w:color="auto"/>
            </w:tcBorders>
            <w:vAlign w:val="center"/>
          </w:tcPr>
          <w:p w14:paraId="209E4C46" w14:textId="0131923A" w:rsidR="00B8438A" w:rsidRDefault="00B8438A" w:rsidP="00B8438A">
            <w:r w:rsidRPr="00E65292">
              <w:t>3) Referenced Scenarios are treated as reusable logic components rather than independently executed workflows, allowing the composed logic to be evaluated and executed as a single unified Scenario.</w:t>
            </w:r>
          </w:p>
        </w:tc>
      </w:tr>
      <w:tr w:rsidR="00B8438A" w14:paraId="515B92EC" w14:textId="77777777" w:rsidTr="00B8438A">
        <w:tc>
          <w:tcPr>
            <w:tcW w:w="9016" w:type="dxa"/>
            <w:tcBorders>
              <w:top w:val="nil"/>
              <w:left w:val="single" w:sz="4" w:space="0" w:color="auto"/>
              <w:bottom w:val="single" w:sz="4" w:space="0" w:color="auto"/>
              <w:right w:val="single" w:sz="4" w:space="0" w:color="auto"/>
            </w:tcBorders>
            <w:vAlign w:val="center"/>
          </w:tcPr>
          <w:p w14:paraId="13557AFA" w14:textId="41205A3A" w:rsidR="00B8438A" w:rsidRPr="00E65292" w:rsidRDefault="00B8438A" w:rsidP="00B8438A">
            <w:r w:rsidRPr="00E65292">
              <w:t>4) If the wording not refer to other scenario, those wording also can be refer to the provided Properties and terms.</w:t>
            </w:r>
          </w:p>
        </w:tc>
      </w:tr>
      <w:tr w:rsidR="00B8438A" w14:paraId="3BCB87EB" w14:textId="77777777" w:rsidTr="00B8438A">
        <w:tc>
          <w:tcPr>
            <w:tcW w:w="9016" w:type="dxa"/>
            <w:tcBorders>
              <w:top w:val="single" w:sz="4" w:space="0" w:color="auto"/>
              <w:left w:val="single" w:sz="4" w:space="0" w:color="auto"/>
              <w:bottom w:val="nil"/>
              <w:right w:val="single" w:sz="4" w:space="0" w:color="auto"/>
            </w:tcBorders>
            <w:vAlign w:val="center"/>
          </w:tcPr>
          <w:p w14:paraId="3E401752" w14:textId="1E66F569" w:rsidR="00B8438A" w:rsidRPr="00E65292" w:rsidRDefault="00B8438A" w:rsidP="00B8438A">
            <w:pPr>
              <w:pStyle w:val="ListParagraph"/>
              <w:numPr>
                <w:ilvl w:val="0"/>
                <w:numId w:val="1"/>
              </w:numPr>
            </w:pPr>
            <w:r w:rsidRPr="00B8438A">
              <w:rPr>
                <w:b/>
                <w:bCs/>
              </w:rPr>
              <w:t>Scenario and Referencing: Natural Language</w:t>
            </w:r>
          </w:p>
        </w:tc>
      </w:tr>
      <w:tr w:rsidR="00B8438A" w14:paraId="7FBE55E2" w14:textId="77777777" w:rsidTr="00B8438A">
        <w:tc>
          <w:tcPr>
            <w:tcW w:w="9016" w:type="dxa"/>
            <w:tcBorders>
              <w:top w:val="nil"/>
              <w:left w:val="single" w:sz="4" w:space="0" w:color="auto"/>
              <w:bottom w:val="single" w:sz="4" w:space="0" w:color="auto"/>
              <w:right w:val="single" w:sz="4" w:space="0" w:color="auto"/>
            </w:tcBorders>
            <w:vAlign w:val="center"/>
          </w:tcPr>
          <w:p w14:paraId="0E5220BB" w14:textId="6EE18812" w:rsidR="00B8438A" w:rsidRPr="00E65292" w:rsidRDefault="00B8438A" w:rsidP="00B8438A">
            <w:r w:rsidRPr="00E65292">
              <w:t>1) Natural-language wording may refer to existing Scenarios, Properties or Terms by their names or by contextually equivalent wording. The wording does not need to exactly match the Scenario, Properties or Terms' name when the intended reference is clear.</w:t>
            </w:r>
          </w:p>
        </w:tc>
      </w:tr>
      <w:tr w:rsidR="00B8438A" w14:paraId="0D4A28FF" w14:textId="77777777" w:rsidTr="00B8438A">
        <w:tc>
          <w:tcPr>
            <w:tcW w:w="9016" w:type="dxa"/>
            <w:tcBorders>
              <w:top w:val="single" w:sz="4" w:space="0" w:color="auto"/>
              <w:left w:val="single" w:sz="4" w:space="0" w:color="auto"/>
              <w:bottom w:val="nil"/>
              <w:right w:val="single" w:sz="4" w:space="0" w:color="auto"/>
            </w:tcBorders>
            <w:vAlign w:val="center"/>
          </w:tcPr>
          <w:p w14:paraId="2DB4D488" w14:textId="294B2C59" w:rsidR="00B8438A" w:rsidRPr="00E65292" w:rsidRDefault="00B8438A" w:rsidP="00B8438A">
            <w:pPr>
              <w:pStyle w:val="ListParagraph"/>
              <w:numPr>
                <w:ilvl w:val="0"/>
                <w:numId w:val="1"/>
              </w:numPr>
            </w:pPr>
            <w:r w:rsidRPr="00B8438A">
              <w:rPr>
                <w:b/>
                <w:bCs/>
              </w:rPr>
              <w:t>B) Flatten Logic Expression</w:t>
            </w:r>
          </w:p>
        </w:tc>
      </w:tr>
      <w:tr w:rsidR="00B8438A" w14:paraId="5B6DA39C" w14:textId="77777777" w:rsidTr="00B8438A">
        <w:tc>
          <w:tcPr>
            <w:tcW w:w="9016" w:type="dxa"/>
            <w:tcBorders>
              <w:top w:val="nil"/>
              <w:left w:val="single" w:sz="4" w:space="0" w:color="auto"/>
              <w:bottom w:val="nil"/>
              <w:right w:val="single" w:sz="4" w:space="0" w:color="auto"/>
            </w:tcBorders>
            <w:vAlign w:val="center"/>
          </w:tcPr>
          <w:p w14:paraId="1121DED1" w14:textId="43F126B4" w:rsidR="00B8438A" w:rsidRPr="00E65292" w:rsidRDefault="00B8438A" w:rsidP="00B8438A">
            <w:r w:rsidRPr="00E65292">
              <w:t>1) The final logic expression should represent the resulting control logic directly rather than instructing the system to independently execute or invoke a referenced Scenario.</w:t>
            </w:r>
          </w:p>
        </w:tc>
      </w:tr>
      <w:tr w:rsidR="00B8438A" w14:paraId="101E7787" w14:textId="77777777" w:rsidTr="00B8438A">
        <w:tc>
          <w:tcPr>
            <w:tcW w:w="9016" w:type="dxa"/>
            <w:tcBorders>
              <w:top w:val="nil"/>
              <w:left w:val="single" w:sz="4" w:space="0" w:color="auto"/>
              <w:bottom w:val="single" w:sz="4" w:space="0" w:color="auto"/>
              <w:right w:val="single" w:sz="4" w:space="0" w:color="auto"/>
            </w:tcBorders>
            <w:vAlign w:val="center"/>
          </w:tcPr>
          <w:p w14:paraId="2EB9271E" w14:textId="15668F1A" w:rsidR="00B8438A" w:rsidRPr="00E65292" w:rsidRDefault="00B8438A" w:rsidP="00B8438A">
            <w:r w:rsidRPr="00E65292">
              <w:t xml:space="preserve">2) When a </w:t>
            </w:r>
            <w:proofErr w:type="gramStart"/>
            <w:r w:rsidRPr="00E65292">
              <w:t>Property</w:t>
            </w:r>
            <w:proofErr w:type="gramEnd"/>
            <w:r w:rsidRPr="00E65292">
              <w:t xml:space="preserve"> or Term is referenced in the user's wording, resolve it to its corresponding Variable or other defined representation required by the logic expression.</w:t>
            </w:r>
          </w:p>
        </w:tc>
      </w:tr>
      <w:tr w:rsidR="00B8438A" w14:paraId="54E16564" w14:textId="77777777" w:rsidTr="00B8438A">
        <w:tc>
          <w:tcPr>
            <w:tcW w:w="9016" w:type="dxa"/>
            <w:tcBorders>
              <w:top w:val="single" w:sz="4" w:space="0" w:color="auto"/>
              <w:left w:val="single" w:sz="4" w:space="0" w:color="auto"/>
              <w:bottom w:val="nil"/>
              <w:right w:val="single" w:sz="4" w:space="0" w:color="auto"/>
            </w:tcBorders>
            <w:vAlign w:val="center"/>
          </w:tcPr>
          <w:p w14:paraId="493A1917" w14:textId="424832C8" w:rsidR="00B8438A" w:rsidRPr="00E65292" w:rsidRDefault="00B8438A" w:rsidP="00B8438A">
            <w:pPr>
              <w:pStyle w:val="ListParagraph"/>
              <w:numPr>
                <w:ilvl w:val="0"/>
                <w:numId w:val="1"/>
              </w:numPr>
            </w:pPr>
            <w:r w:rsidRPr="00B8438A">
              <w:rPr>
                <w:b/>
                <w:bCs/>
              </w:rPr>
              <w:t>Flatten Logic Expression: Native Language</w:t>
            </w:r>
          </w:p>
        </w:tc>
      </w:tr>
      <w:tr w:rsidR="00B8438A" w14:paraId="3F6ABCEF" w14:textId="77777777" w:rsidTr="00B8438A">
        <w:tc>
          <w:tcPr>
            <w:tcW w:w="9016" w:type="dxa"/>
            <w:tcBorders>
              <w:top w:val="nil"/>
              <w:left w:val="single" w:sz="4" w:space="0" w:color="auto"/>
              <w:bottom w:val="nil"/>
              <w:right w:val="single" w:sz="4" w:space="0" w:color="auto"/>
            </w:tcBorders>
            <w:vAlign w:val="center"/>
          </w:tcPr>
          <w:p w14:paraId="7D40F101" w14:textId="66D0EEEE" w:rsidR="00B8438A" w:rsidRPr="00E65292" w:rsidRDefault="00B8438A" w:rsidP="00B8438A">
            <w:r w:rsidRPr="00E65292">
              <w:t>1) Interpret natural-language expressions into the appropriate supported operators based on their meaning and context.</w:t>
            </w:r>
          </w:p>
        </w:tc>
      </w:tr>
      <w:tr w:rsidR="00B8438A" w14:paraId="58522EED" w14:textId="77777777" w:rsidTr="00B8438A">
        <w:tc>
          <w:tcPr>
            <w:tcW w:w="9016" w:type="dxa"/>
            <w:tcBorders>
              <w:top w:val="nil"/>
              <w:left w:val="single" w:sz="4" w:space="0" w:color="auto"/>
              <w:bottom w:val="single" w:sz="4" w:space="0" w:color="auto"/>
              <w:right w:val="single" w:sz="4" w:space="0" w:color="auto"/>
            </w:tcBorders>
            <w:vAlign w:val="center"/>
          </w:tcPr>
          <w:p w14:paraId="0DBE4B0F" w14:textId="786B1D37" w:rsidR="00B8438A" w:rsidRPr="00E65292" w:rsidRDefault="00B8438A" w:rsidP="00B8438A">
            <w:r w:rsidRPr="00E65292">
              <w:t>2) Different words or phrases may express the same logical operation. The AI should determine the appropriate interpretation from the complete wording and supplied context.</w:t>
            </w:r>
          </w:p>
        </w:tc>
      </w:tr>
    </w:tbl>
    <w:p w14:paraId="33AFAB69" w14:textId="0B4F33C1" w:rsidR="00C37677" w:rsidRPr="00B8438A" w:rsidRDefault="00B8438A" w:rsidP="00B8438A">
      <w:pPr>
        <w:jc w:val="center"/>
        <w:rPr>
          <w:b/>
          <w:bCs/>
          <w:u w:val="single"/>
        </w:rPr>
      </w:pPr>
      <w:r w:rsidRPr="00B8438A">
        <w:rPr>
          <w:b/>
          <w:bCs/>
          <w:u w:val="single"/>
        </w:rPr>
        <w:t>Additional Rule to Introduce in AI</w:t>
      </w:r>
    </w:p>
    <w:sectPr w:rsidR="00C37677" w:rsidRPr="00B84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0504A"/>
    <w:multiLevelType w:val="hybridMultilevel"/>
    <w:tmpl w:val="39827C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543249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38A"/>
    <w:rsid w:val="00582419"/>
    <w:rsid w:val="009A6827"/>
    <w:rsid w:val="00B8438A"/>
    <w:rsid w:val="00C3767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CA76F"/>
  <w15:chartTrackingRefBased/>
  <w15:docId w15:val="{D4877F0D-80CC-4638-96F5-F4FBBBF85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38A"/>
    <w:rPr>
      <w:rFonts w:eastAsiaTheme="majorEastAsia" w:cstheme="majorBidi"/>
      <w:color w:val="272727" w:themeColor="text1" w:themeTint="D8"/>
    </w:rPr>
  </w:style>
  <w:style w:type="paragraph" w:styleId="Title">
    <w:name w:val="Title"/>
    <w:basedOn w:val="Normal"/>
    <w:next w:val="Normal"/>
    <w:link w:val="TitleChar"/>
    <w:uiPriority w:val="10"/>
    <w:qFormat/>
    <w:rsid w:val="00B84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38A"/>
    <w:pPr>
      <w:spacing w:before="160"/>
      <w:jc w:val="center"/>
    </w:pPr>
    <w:rPr>
      <w:i/>
      <w:iCs/>
      <w:color w:val="404040" w:themeColor="text1" w:themeTint="BF"/>
    </w:rPr>
  </w:style>
  <w:style w:type="character" w:customStyle="1" w:styleId="QuoteChar">
    <w:name w:val="Quote Char"/>
    <w:basedOn w:val="DefaultParagraphFont"/>
    <w:link w:val="Quote"/>
    <w:uiPriority w:val="29"/>
    <w:rsid w:val="00B8438A"/>
    <w:rPr>
      <w:i/>
      <w:iCs/>
      <w:color w:val="404040" w:themeColor="text1" w:themeTint="BF"/>
    </w:rPr>
  </w:style>
  <w:style w:type="paragraph" w:styleId="ListParagraph">
    <w:name w:val="List Paragraph"/>
    <w:basedOn w:val="Normal"/>
    <w:uiPriority w:val="34"/>
    <w:qFormat/>
    <w:rsid w:val="00B8438A"/>
    <w:pPr>
      <w:ind w:left="720"/>
      <w:contextualSpacing/>
    </w:pPr>
  </w:style>
  <w:style w:type="character" w:styleId="IntenseEmphasis">
    <w:name w:val="Intense Emphasis"/>
    <w:basedOn w:val="DefaultParagraphFont"/>
    <w:uiPriority w:val="21"/>
    <w:qFormat/>
    <w:rsid w:val="00B8438A"/>
    <w:rPr>
      <w:i/>
      <w:iCs/>
      <w:color w:val="0F4761" w:themeColor="accent1" w:themeShade="BF"/>
    </w:rPr>
  </w:style>
  <w:style w:type="paragraph" w:styleId="IntenseQuote">
    <w:name w:val="Intense Quote"/>
    <w:basedOn w:val="Normal"/>
    <w:next w:val="Normal"/>
    <w:link w:val="IntenseQuoteChar"/>
    <w:uiPriority w:val="30"/>
    <w:qFormat/>
    <w:rsid w:val="00B84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38A"/>
    <w:rPr>
      <w:i/>
      <w:iCs/>
      <w:color w:val="0F4761" w:themeColor="accent1" w:themeShade="BF"/>
    </w:rPr>
  </w:style>
  <w:style w:type="character" w:styleId="IntenseReference">
    <w:name w:val="Intense Reference"/>
    <w:basedOn w:val="DefaultParagraphFont"/>
    <w:uiPriority w:val="32"/>
    <w:qFormat/>
    <w:rsid w:val="00B8438A"/>
    <w:rPr>
      <w:b/>
      <w:bCs/>
      <w:smallCaps/>
      <w:color w:val="0F4761" w:themeColor="accent1" w:themeShade="BF"/>
      <w:spacing w:val="5"/>
    </w:rPr>
  </w:style>
  <w:style w:type="table" w:styleId="TableGrid">
    <w:name w:val="Table Grid"/>
    <w:basedOn w:val="TableNormal"/>
    <w:uiPriority w:val="39"/>
    <w:rsid w:val="00B84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Syaziyah Binti Samiri</dc:creator>
  <cp:keywords/>
  <dc:description/>
  <cp:lastModifiedBy>Siti Syaziyah Binti Samiri</cp:lastModifiedBy>
  <cp:revision>1</cp:revision>
  <dcterms:created xsi:type="dcterms:W3CDTF">2026-09-29T06:06:00Z</dcterms:created>
  <dcterms:modified xsi:type="dcterms:W3CDTF">2026-09-29T06:09:00Z</dcterms:modified>
</cp:coreProperties>
</file>