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a="http://schemas.openxmlformats.org/drawingml/2006/main" xmlns:wp="http://schemas.openxmlformats.org/drawingml/2006/wordprocessingDrawing" xmlns:pic="http://schemas.openxmlformats.org/drawingml/2006/pictur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drawing>
          <wp:inline>
            <wp:extent cx="12700" cy="12700"/>
            <wp:docPr id="42" name="DCAB drawing visibility object" hidden="true"/>
            <wp:cNvGraphicFramePr/>
            <a:graphic>
              <a:graphicData uri="urn:dcab:synthetic-drawing-visibility"/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