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sdt>
        <w:sdtPr>
          <w:tag w:val="DCABContentControlLock"/>
          <w:id w:val="73"/>
          <w:lock w:val="sdtContentLocked"/>
          <w:text/>
        </w:sdtPr>
        <w:sdtContent>
          <w:r>
            <w:t>DCAB content-control lock carrier</w:t>
          </w:r>
        </w:sdtContent>
      </w:sdt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