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4E79"/>
          <w:sz w:val="30"/>
        </w:rPr>
        <w:t>LAWSON LIMITED COMPANY</w:t>
      </w:r>
    </w:p>
    <w:p>
      <w:pPr>
        <w:spacing w:before="360"/>
        <w:jc w:val="center"/>
      </w:pPr>
      <w:r>
        <w:rPr>
          <w:b/>
          <w:color w:val="17365D"/>
          <w:sz w:val="58"/>
        </w:rPr>
        <w:t>QUALITY CONTROL (QC)</w:t>
        <w:br/>
        <w:t>MODULE</w:t>
      </w:r>
    </w:p>
    <w:p>
      <w:pPr>
        <w:jc w:val="center"/>
      </w:pPr>
      <w:r>
        <w:rPr>
          <w:color w:val="4472C4"/>
          <w:sz w:val="28"/>
        </w:rPr>
        <w:t>Development Requirements &amp; Implementation Specification</w:t>
      </w:r>
    </w:p>
    <w:p>
      <w:pPr>
        <w:spacing w:before="560"/>
        <w:jc w:val="center"/>
      </w:pPr>
      <w:r>
        <w:rPr>
          <w:color w:val="666666"/>
          <w:sz w:val="20"/>
        </w:rPr>
        <w:t>Version 1.0  |  23 October 2026</w:t>
      </w:r>
    </w:p>
    <w:p>
      <w:pPr>
        <w:spacing w:before="1300"/>
        <w:jc w:val="center"/>
      </w:pPr>
      <w:r>
        <w:rPr>
          <w:i/>
          <w:sz w:val="22"/>
        </w:rPr>
        <w:t>Prepared as an implementation brief for integration into the existing Lawson Production Management System.</w:t>
      </w:r>
    </w:p>
    <w:p>
      <w:r>
        <w:br w:type="page"/>
      </w:r>
    </w:p>
    <w:p>
      <w:pPr>
        <w:pStyle w:val="Heading1"/>
      </w:pPr>
      <w:r>
        <w:t>1. Purpose and Development Approach</w:t>
      </w:r>
    </w:p>
    <w:p>
      <w:r>
        <w:t>This document defines the requirements for adding a Quality Control (QC) module to the existing Lawson Production Management System. The module is intended to let authorised QC staff enter and submit inspection/test records, retain a searchable history, compare recorded measurements against QC Manager-controlled standards, identify results requiring attention, and provide a QC Manager dashboard.</w:t>
      </w:r>
    </w:p>
    <w:p>
      <w:r>
        <w:t>This is an extension of the existing application, not a separate application. The supplied project is a Next.js application using Supabase, with existing dashboard pages, API routes, record submission patterns and Excel export functionality. The developer should inspect and reuse the current authentication, navigation, database conventions, UI components and deployment configuration before adding new patterns.</w:t>
      </w:r>
    </w:p>
    <w:p>
      <w:pPr>
        <w:pStyle w:val="ListBullet"/>
        <w:spacing w:after="40"/>
      </w:pPr>
      <w:r>
        <w:t>Keep the current production modules and their data intact. QC work must not break existing production records, dashboards, users or exports.</w:t>
      </w:r>
    </w:p>
    <w:p>
      <w:pPr>
        <w:pStyle w:val="ListBullet"/>
        <w:spacing w:after="40"/>
      </w:pPr>
      <w:r>
        <w:t>Implement the module in phases, with database migrations/scripts, server-side validation, access controls and tests.</w:t>
      </w:r>
    </w:p>
    <w:p>
      <w:pPr>
        <w:pStyle w:val="ListBullet"/>
        <w:spacing w:after="40"/>
      </w:pPr>
      <w:r>
        <w:t>Treat the supplied “QUALITY CONTROL RECORDS” document as the source for record categories, fields and the initial reference ranges listed in this specification.</w:t>
      </w:r>
    </w:p>
    <w:p>
      <w:pPr>
        <w:pStyle w:val="ListBullet"/>
        <w:spacing w:after="40"/>
      </w:pPr>
      <w:r>
        <w:t>The exact print layout is intentionally deferred to a later development stage. Do not spend time finalising the print design now; preserve the data and record structure needed to support it later.</w:t>
      </w:r>
    </w:p>
    <w:p>
      <w:pPr>
        <w:pStyle w:val="Heading1"/>
      </w:pPr>
      <w:r>
        <w:t>2. Goals and Scope</w:t>
      </w:r>
    </w:p>
    <w:p>
      <w:pPr>
        <w:pStyle w:val="Heading2"/>
      </w:pPr>
      <w:r>
        <w:t>In scope</w:t>
      </w:r>
    </w:p>
    <w:p>
      <w:pPr>
        <w:pStyle w:val="ListBullet"/>
        <w:spacing w:after="40"/>
      </w:pPr>
      <w:r>
        <w:t>QC record-entry forms for water, product and raw-material records.</w:t>
      </w:r>
    </w:p>
    <w:p>
      <w:pPr>
        <w:pStyle w:val="ListBullet"/>
        <w:spacing w:after="40"/>
      </w:pPr>
      <w:r>
        <w:t>A shared QC history visible to all authorised QC Officers and the QC Manager, including records submitted by fellow QC Officers.</w:t>
      </w:r>
    </w:p>
    <w:p>
      <w:pPr>
        <w:pStyle w:val="ListBullet"/>
        <w:spacing w:after="40"/>
      </w:pPr>
      <w:r>
        <w:t>Filtering by date range, record category/type, product/material, status and submitting officer.</w:t>
      </w:r>
    </w:p>
    <w:p>
      <w:pPr>
        <w:pStyle w:val="ListBullet"/>
        <w:spacing w:after="40"/>
      </w:pPr>
      <w:r>
        <w:t>A QC Manager dashboard showing activity, results and exceptions.</w:t>
      </w:r>
    </w:p>
    <w:p>
      <w:pPr>
        <w:pStyle w:val="ListBullet"/>
        <w:spacing w:after="40"/>
      </w:pPr>
      <w:r>
        <w:t>QC Manager-only configuration of quality standards/reference ranges.</w:t>
      </w:r>
    </w:p>
    <w:p>
      <w:pPr>
        <w:pStyle w:val="ListBullet"/>
        <w:spacing w:after="40"/>
      </w:pPr>
      <w:r>
        <w:t>Automatic status evaluation and colour-coded status indicators for measurements with configured standards.</w:t>
      </w:r>
    </w:p>
    <w:p>
      <w:pPr>
        <w:pStyle w:val="ListBullet"/>
        <w:spacing w:after="40"/>
      </w:pPr>
      <w:r>
        <w:t>Record details, audit trail and safe correction/amendment workflow.</w:t>
      </w:r>
    </w:p>
    <w:p>
      <w:pPr>
        <w:pStyle w:val="ListBullet"/>
        <w:spacing w:after="40"/>
      </w:pPr>
      <w:r>
        <w:t>Responsive screens suitable for desktop and tablet, with mobile usability where practical.</w:t>
      </w:r>
    </w:p>
    <w:p>
      <w:pPr>
        <w:pStyle w:val="ListBullet"/>
        <w:spacing w:after="40"/>
      </w:pPr>
      <w:r>
        <w:t>A future-ready print/export structure; exact A4 print template and approval/signature layout deferred.</w:t>
      </w:r>
    </w:p>
    <w:p>
      <w:pPr>
        <w:pStyle w:val="Heading2"/>
      </w:pPr>
      <w:r>
        <w:t>Out of scope for this phase</w:t>
      </w:r>
    </w:p>
    <w:p>
      <w:pPr>
        <w:pStyle w:val="ListBullet"/>
        <w:spacing w:after="40"/>
      </w:pPr>
      <w:r>
        <w:t>Final design of the official print form, company-logo placement, signature blocks and approval wording.</w:t>
      </w:r>
    </w:p>
    <w:p>
      <w:pPr>
        <w:pStyle w:val="ListBullet"/>
        <w:spacing w:after="40"/>
      </w:pPr>
      <w:r>
        <w:t>Creating or guessing quality limits that are not present in the supplied source or subsequently approved by the QC Manager.</w:t>
      </w:r>
    </w:p>
    <w:p>
      <w:pPr>
        <w:pStyle w:val="ListBullet"/>
        <w:spacing w:after="40"/>
      </w:pPr>
      <w:r>
        <w:t>Changing the existing production workflow or automatically blocking production. QC flags should inform users; any release/hold workflow requires a separately approved requirement.</w:t>
      </w:r>
    </w:p>
    <w:p>
      <w:pPr>
        <w:pStyle w:val="ListBullet"/>
        <w:spacing w:after="40"/>
      </w:pPr>
      <w:r>
        <w:t>Replacing laboratory instruments, calibrations, laboratory procedures or formal quality-management policies.</w:t>
      </w:r>
    </w:p>
    <w:p>
      <w:pPr>
        <w:pStyle w:val="Heading1"/>
      </w:pPr>
      <w:r>
        <w:t>3. User Roles and Access Control</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7365D"/>
          </w:tcPr>
          <w:p>
            <w:pPr>
              <w:spacing w:after="0"/>
            </w:pPr>
            <w:r/>
            <w:r>
              <w:rPr>
                <w:rFonts w:ascii="Aptos" w:hAnsi="Aptos"/>
                <w:b/>
                <w:color w:val="FFFFFF"/>
                <w:sz w:val="16"/>
              </w:rPr>
              <w:t>Role</w:t>
            </w:r>
          </w:p>
        </w:tc>
        <w:tc>
          <w:tcPr>
            <w:tcW w:type="dxa" w:w="4968"/>
            <w:vAlign w:val="center"/>
            <w:shd w:fill="17365D"/>
          </w:tcPr>
          <w:p>
            <w:pPr>
              <w:spacing w:after="0"/>
            </w:pPr>
            <w:r/>
            <w:r>
              <w:rPr>
                <w:rFonts w:ascii="Aptos" w:hAnsi="Aptos"/>
                <w:b/>
                <w:color w:val="FFFFFF"/>
                <w:sz w:val="16"/>
              </w:rPr>
              <w:t>Permitted actions</w:t>
            </w:r>
          </w:p>
        </w:tc>
        <w:tc>
          <w:tcPr>
            <w:tcW w:type="dxa" w:w="3168"/>
            <w:vAlign w:val="center"/>
            <w:shd w:fill="17365D"/>
          </w:tcPr>
          <w:p>
            <w:pPr>
              <w:spacing w:after="0"/>
            </w:pPr>
            <w:r/>
            <w:r>
              <w:rPr>
                <w:rFonts w:ascii="Aptos" w:hAnsi="Aptos"/>
                <w:b/>
                <w:color w:val="FFFFFF"/>
                <w:sz w:val="16"/>
              </w:rPr>
              <w:t>Restrictions</w:t>
            </w:r>
          </w:p>
        </w:tc>
      </w:tr>
      <w:tr>
        <w:tc>
          <w:tcPr>
            <w:tcW w:type="dxa" w:w="1584"/>
            <w:vAlign w:val="center"/>
          </w:tcPr>
          <w:p>
            <w:pPr>
              <w:spacing w:after="0"/>
            </w:pPr>
            <w:r/>
            <w:r>
              <w:rPr>
                <w:rFonts w:ascii="Aptos" w:hAnsi="Aptos"/>
                <w:b w:val="0"/>
                <w:sz w:val="16"/>
              </w:rPr>
              <w:t>QC Officer</w:t>
            </w:r>
          </w:p>
        </w:tc>
        <w:tc>
          <w:tcPr>
            <w:tcW w:type="dxa" w:w="4968"/>
            <w:vAlign w:val="center"/>
          </w:tcPr>
          <w:p>
            <w:pPr>
              <w:spacing w:after="0"/>
            </w:pPr>
            <w:r/>
            <w:r>
              <w:rPr>
                <w:rFonts w:ascii="Aptos" w:hAnsi="Aptos"/>
                <w:b w:val="0"/>
                <w:sz w:val="16"/>
              </w:rPr>
              <w:t>Create, save draft, submit QC records; view and search all QC records submitted by any QC Officer; filter history; view standards and result statuses; view record details.</w:t>
            </w:r>
          </w:p>
        </w:tc>
        <w:tc>
          <w:tcPr>
            <w:tcW w:type="dxa" w:w="3168"/>
            <w:vAlign w:val="center"/>
          </w:tcPr>
          <w:p>
            <w:pPr>
              <w:spacing w:after="0"/>
            </w:pPr>
            <w:r/>
            <w:r>
              <w:rPr>
                <w:rFonts w:ascii="Aptos" w:hAnsi="Aptos"/>
                <w:b w:val="0"/>
                <w:sz w:val="16"/>
              </w:rPr>
              <w:t>Cannot create, edit, activate, deactivate or change standards. Cannot administer QC roles. Submitted records should not be silently overwritten.</w:t>
            </w:r>
          </w:p>
        </w:tc>
      </w:tr>
      <w:tr>
        <w:tc>
          <w:tcPr>
            <w:tcW w:type="dxa" w:w="1584"/>
            <w:vAlign w:val="center"/>
            <w:shd w:fill="F2F6FA"/>
          </w:tcPr>
          <w:p>
            <w:pPr>
              <w:spacing w:after="0"/>
            </w:pPr>
            <w:r/>
            <w:r>
              <w:rPr>
                <w:rFonts w:ascii="Aptos" w:hAnsi="Aptos"/>
                <w:b w:val="0"/>
                <w:sz w:val="16"/>
              </w:rPr>
              <w:t>QC Manager</w:t>
            </w:r>
          </w:p>
        </w:tc>
        <w:tc>
          <w:tcPr>
            <w:tcW w:type="dxa" w:w="4968"/>
            <w:vAlign w:val="center"/>
            <w:shd w:fill="F2F6FA"/>
          </w:tcPr>
          <w:p>
            <w:pPr>
              <w:spacing w:after="0"/>
            </w:pPr>
            <w:r/>
            <w:r>
              <w:rPr>
                <w:rFonts w:ascii="Aptos" w:hAnsi="Aptos"/>
                <w:b w:val="0"/>
                <w:sz w:val="16"/>
              </w:rPr>
              <w:t>All QC Officer viewing functions; dedicated dashboard; configure and maintain standards; review out-of-range results; view officer activity; manage standard effective dates and audit history.</w:t>
            </w:r>
          </w:p>
        </w:tc>
        <w:tc>
          <w:tcPr>
            <w:tcW w:type="dxa" w:w="3168"/>
            <w:vAlign w:val="center"/>
            <w:shd w:fill="F2F6FA"/>
          </w:tcPr>
          <w:p>
            <w:pPr>
              <w:spacing w:after="0"/>
            </w:pPr>
            <w:r/>
            <w:r>
              <w:rPr>
                <w:rFonts w:ascii="Aptos" w:hAnsi="Aptos"/>
                <w:b w:val="0"/>
                <w:sz w:val="16"/>
              </w:rPr>
              <w:t>Only this role can change QC standards. Manager privileges must be enforced server-side, not only by hiding UI controls.</w:t>
            </w:r>
          </w:p>
        </w:tc>
      </w:tr>
      <w:tr>
        <w:tc>
          <w:tcPr>
            <w:tcW w:type="dxa" w:w="1584"/>
            <w:vAlign w:val="center"/>
          </w:tcPr>
          <w:p>
            <w:pPr>
              <w:spacing w:after="0"/>
            </w:pPr>
            <w:r/>
            <w:r>
              <w:rPr>
                <w:rFonts w:ascii="Aptos" w:hAnsi="Aptos"/>
                <w:b w:val="0"/>
                <w:sz w:val="16"/>
              </w:rPr>
              <w:t>Other system users</w:t>
            </w:r>
          </w:p>
        </w:tc>
        <w:tc>
          <w:tcPr>
            <w:tcW w:type="dxa" w:w="4968"/>
            <w:vAlign w:val="center"/>
          </w:tcPr>
          <w:p>
            <w:pPr>
              <w:spacing w:after="0"/>
            </w:pPr>
            <w:r/>
            <w:r>
              <w:rPr>
                <w:rFonts w:ascii="Aptos" w:hAnsi="Aptos"/>
                <w:b w:val="0"/>
                <w:sz w:val="16"/>
              </w:rPr>
              <w:t>No QC access unless a future approved role is introduced.</w:t>
            </w:r>
          </w:p>
        </w:tc>
        <w:tc>
          <w:tcPr>
            <w:tcW w:type="dxa" w:w="3168"/>
            <w:vAlign w:val="center"/>
          </w:tcPr>
          <w:p>
            <w:pPr>
              <w:spacing w:after="0"/>
            </w:pPr>
            <w:r/>
            <w:r>
              <w:rPr>
                <w:rFonts w:ascii="Aptos" w:hAnsi="Aptos"/>
                <w:b w:val="0"/>
                <w:sz w:val="16"/>
              </w:rPr>
              <w:t>Must not access QC pages, APIs, records, exports or standards endpoints.</w:t>
            </w:r>
          </w:p>
        </w:tc>
      </w:tr>
    </w:tbl>
    <w:p>
      <w:pPr>
        <w:spacing w:after="20"/>
      </w:pPr>
    </w:p>
    <w:p>
      <w:r>
        <w:t>Access model: all QC Officers share read access to the QC history. Record authorship must still be stored for accountability. The QC Manager has the same shared visibility plus management privileges. Use the existing system's role/permission conventions where possible and verify the actual role names in the current codebase before implementation.</w:t>
      </w:r>
    </w:p>
    <w:p>
      <w:pPr>
        <w:pStyle w:val="Heading1"/>
      </w:pPr>
      <w:r>
        <w:t>4. QC Module Navigation and Main Screens</w:t>
      </w:r>
    </w:p>
    <w:tbl>
      <w:tblPr>
        <w:tblStyle w:val="TableGrid"/>
        <w:tblW w:type="auto" w:w="0"/>
        <w:jc w:val="center"/>
        <w:tblLook w:firstColumn="1" w:firstRow="1" w:lastColumn="0" w:lastRow="0" w:noHBand="0" w:noVBand="1" w:val="04A0"/>
      </w:tblPr>
      <w:tblGrid>
        <w:gridCol w:w="5040"/>
        <w:gridCol w:w="5040"/>
      </w:tblGrid>
      <w:tr>
        <w:tc>
          <w:tcPr>
            <w:tcW w:type="dxa" w:w="2376"/>
            <w:vAlign w:val="center"/>
            <w:shd w:fill="17365D"/>
          </w:tcPr>
          <w:p>
            <w:pPr>
              <w:spacing w:after="0"/>
            </w:pPr>
            <w:r/>
            <w:r>
              <w:rPr>
                <w:rFonts w:ascii="Aptos" w:hAnsi="Aptos"/>
                <w:b/>
                <w:color w:val="FFFFFF"/>
                <w:sz w:val="16"/>
              </w:rPr>
              <w:t>Screen</w:t>
            </w:r>
          </w:p>
        </w:tc>
        <w:tc>
          <w:tcPr>
            <w:tcW w:type="dxa" w:w="7344"/>
            <w:vAlign w:val="center"/>
            <w:shd w:fill="17365D"/>
          </w:tcPr>
          <w:p>
            <w:pPr>
              <w:spacing w:after="0"/>
            </w:pPr>
            <w:r/>
            <w:r>
              <w:rPr>
                <w:rFonts w:ascii="Aptos" w:hAnsi="Aptos"/>
                <w:b/>
                <w:color w:val="FFFFFF"/>
                <w:sz w:val="16"/>
              </w:rPr>
              <w:t>Required behaviour</w:t>
            </w:r>
          </w:p>
        </w:tc>
      </w:tr>
      <w:tr>
        <w:tc>
          <w:tcPr>
            <w:tcW w:type="dxa" w:w="2376"/>
            <w:vAlign w:val="center"/>
          </w:tcPr>
          <w:p>
            <w:pPr>
              <w:spacing w:after="0"/>
            </w:pPr>
            <w:r/>
            <w:r>
              <w:rPr>
                <w:rFonts w:ascii="Aptos" w:hAnsi="Aptos"/>
                <w:b w:val="0"/>
                <w:sz w:val="16"/>
              </w:rPr>
              <w:t>QC landing/dashboard</w:t>
            </w:r>
          </w:p>
        </w:tc>
        <w:tc>
          <w:tcPr>
            <w:tcW w:type="dxa" w:w="7344"/>
            <w:vAlign w:val="center"/>
          </w:tcPr>
          <w:p>
            <w:pPr>
              <w:spacing w:after="0"/>
            </w:pPr>
            <w:r/>
            <w:r>
              <w:rPr>
                <w:rFonts w:ascii="Aptos" w:hAnsi="Aptos"/>
                <w:b w:val="0"/>
                <w:sz w:val="16"/>
              </w:rPr>
              <w:t>Show only to authorised QC users. Officers see quick actions, recent submissions and key status counts. QC Manager sees the manager dashboard and standards-management entry point.</w:t>
            </w:r>
          </w:p>
        </w:tc>
      </w:tr>
      <w:tr>
        <w:tc>
          <w:tcPr>
            <w:tcW w:type="dxa" w:w="2376"/>
            <w:vAlign w:val="center"/>
            <w:shd w:fill="F2F6FA"/>
          </w:tcPr>
          <w:p>
            <w:pPr>
              <w:spacing w:after="0"/>
            </w:pPr>
            <w:r/>
            <w:r>
              <w:rPr>
                <w:rFonts w:ascii="Aptos" w:hAnsi="Aptos"/>
                <w:b w:val="0"/>
                <w:sz w:val="16"/>
              </w:rPr>
              <w:t>New QC Record</w:t>
            </w:r>
          </w:p>
        </w:tc>
        <w:tc>
          <w:tcPr>
            <w:tcW w:type="dxa" w:w="7344"/>
            <w:vAlign w:val="center"/>
            <w:shd w:fill="F2F6FA"/>
          </w:tcPr>
          <w:p>
            <w:pPr>
              <w:spacing w:after="0"/>
            </w:pPr>
            <w:r/>
            <w:r>
              <w:rPr>
                <w:rFonts w:ascii="Aptos" w:hAnsi="Aptos"/>
                <w:b w:val="0"/>
                <w:sz w:val="16"/>
              </w:rPr>
              <w:t>Choose record category and record type, then display the matching form fields. Capture date/time and submitter identity reliably.</w:t>
            </w:r>
          </w:p>
        </w:tc>
      </w:tr>
      <w:tr>
        <w:tc>
          <w:tcPr>
            <w:tcW w:type="dxa" w:w="2376"/>
            <w:vAlign w:val="center"/>
          </w:tcPr>
          <w:p>
            <w:pPr>
              <w:spacing w:after="0"/>
            </w:pPr>
            <w:r/>
            <w:r>
              <w:rPr>
                <w:rFonts w:ascii="Aptos" w:hAnsi="Aptos"/>
                <w:b w:val="0"/>
                <w:sz w:val="16"/>
              </w:rPr>
              <w:t>QC Record History</w:t>
            </w:r>
          </w:p>
        </w:tc>
        <w:tc>
          <w:tcPr>
            <w:tcW w:type="dxa" w:w="7344"/>
            <w:vAlign w:val="center"/>
          </w:tcPr>
          <w:p>
            <w:pPr>
              <w:spacing w:after="0"/>
            </w:pPr>
            <w:r/>
            <w:r>
              <w:rPr>
                <w:rFonts w:ascii="Aptos" w:hAnsi="Aptos"/>
                <w:b w:val="0"/>
                <w:sz w:val="16"/>
              </w:rPr>
              <w:t>Shared history of all submitted QC records; search and filter; open record details; show status clearly.</w:t>
            </w:r>
          </w:p>
        </w:tc>
      </w:tr>
      <w:tr>
        <w:tc>
          <w:tcPr>
            <w:tcW w:type="dxa" w:w="2376"/>
            <w:vAlign w:val="center"/>
            <w:shd w:fill="F2F6FA"/>
          </w:tcPr>
          <w:p>
            <w:pPr>
              <w:spacing w:after="0"/>
            </w:pPr>
            <w:r/>
            <w:r>
              <w:rPr>
                <w:rFonts w:ascii="Aptos" w:hAnsi="Aptos"/>
                <w:b w:val="0"/>
                <w:sz w:val="16"/>
              </w:rPr>
              <w:t>Record Details</w:t>
            </w:r>
          </w:p>
        </w:tc>
        <w:tc>
          <w:tcPr>
            <w:tcW w:type="dxa" w:w="7344"/>
            <w:vAlign w:val="center"/>
            <w:shd w:fill="F2F6FA"/>
          </w:tcPr>
          <w:p>
            <w:pPr>
              <w:spacing w:after="0"/>
            </w:pPr>
            <w:r/>
            <w:r>
              <w:rPr>
                <w:rFonts w:ascii="Aptos" w:hAnsi="Aptos"/>
                <w:b w:val="0"/>
                <w:sz w:val="16"/>
              </w:rPr>
              <w:t>Show submitted values, unit labels, standards applied at submission, calculated status, submitter, timestamps and any amendment history.</w:t>
            </w:r>
          </w:p>
        </w:tc>
      </w:tr>
      <w:tr>
        <w:tc>
          <w:tcPr>
            <w:tcW w:type="dxa" w:w="2376"/>
            <w:vAlign w:val="center"/>
          </w:tcPr>
          <w:p>
            <w:pPr>
              <w:spacing w:after="0"/>
            </w:pPr>
            <w:r/>
            <w:r>
              <w:rPr>
                <w:rFonts w:ascii="Aptos" w:hAnsi="Aptos"/>
                <w:b w:val="0"/>
                <w:sz w:val="16"/>
              </w:rPr>
              <w:t>QC Manager Dashboard</w:t>
            </w:r>
          </w:p>
        </w:tc>
        <w:tc>
          <w:tcPr>
            <w:tcW w:type="dxa" w:w="7344"/>
            <w:vAlign w:val="center"/>
          </w:tcPr>
          <w:p>
            <w:pPr>
              <w:spacing w:after="0"/>
            </w:pPr>
            <w:r/>
            <w:r>
              <w:rPr>
                <w:rFonts w:ascii="Aptos" w:hAnsi="Aptos"/>
                <w:b w:val="0"/>
                <w:sz w:val="16"/>
              </w:rPr>
              <w:t>Summary of submissions, in-range results, below/above-range results, other out-of-range results, unconfigured-standard measurements and recent activity.</w:t>
            </w:r>
          </w:p>
        </w:tc>
      </w:tr>
      <w:tr>
        <w:tc>
          <w:tcPr>
            <w:tcW w:type="dxa" w:w="2376"/>
            <w:vAlign w:val="center"/>
            <w:shd w:fill="F2F6FA"/>
          </w:tcPr>
          <w:p>
            <w:pPr>
              <w:spacing w:after="0"/>
            </w:pPr>
            <w:r/>
            <w:r>
              <w:rPr>
                <w:rFonts w:ascii="Aptos" w:hAnsi="Aptos"/>
                <w:b w:val="0"/>
                <w:sz w:val="16"/>
              </w:rPr>
              <w:t>QC Standards Settings</w:t>
            </w:r>
          </w:p>
        </w:tc>
        <w:tc>
          <w:tcPr>
            <w:tcW w:type="dxa" w:w="7344"/>
            <w:vAlign w:val="center"/>
            <w:shd w:fill="F2F6FA"/>
          </w:tcPr>
          <w:p>
            <w:pPr>
              <w:spacing w:after="0"/>
            </w:pPr>
            <w:r/>
            <w:r>
              <w:rPr>
                <w:rFonts w:ascii="Aptos" w:hAnsi="Aptos"/>
                <w:b w:val="0"/>
                <w:sz w:val="16"/>
              </w:rPr>
              <w:t>QC Manager only. Create/update standards, units, lower/upper bounds, applicable record type/parameter, effective dates and active status; show change history.</w:t>
            </w:r>
          </w:p>
        </w:tc>
      </w:tr>
      <w:tr>
        <w:tc>
          <w:tcPr>
            <w:tcW w:type="dxa" w:w="2376"/>
            <w:vAlign w:val="center"/>
          </w:tcPr>
          <w:p>
            <w:pPr>
              <w:spacing w:after="0"/>
            </w:pPr>
            <w:r/>
            <w:r>
              <w:rPr>
                <w:rFonts w:ascii="Aptos" w:hAnsi="Aptos"/>
                <w:b w:val="0"/>
                <w:sz w:val="16"/>
              </w:rPr>
              <w:t>Print/Export entry point</w:t>
            </w:r>
          </w:p>
        </w:tc>
        <w:tc>
          <w:tcPr>
            <w:tcW w:type="dxa" w:w="7344"/>
            <w:vAlign w:val="center"/>
          </w:tcPr>
          <w:p>
            <w:pPr>
              <w:spacing w:after="0"/>
            </w:pPr>
            <w:r/>
            <w:r>
              <w:rPr>
                <w:rFonts w:ascii="Aptos" w:hAnsi="Aptos"/>
                <w:b w:val="0"/>
                <w:sz w:val="16"/>
              </w:rPr>
              <w:t>Keep record data suitable for later print-format development. Final print template is deferred; do not claim a final official form is approved.</w:t>
            </w:r>
          </w:p>
        </w:tc>
      </w:tr>
    </w:tbl>
    <w:p>
      <w:pPr>
        <w:spacing w:after="20"/>
      </w:pPr>
    </w:p>
    <w:p>
      <w:pPr>
        <w:pStyle w:val="Heading1"/>
      </w:pPr>
      <w:r>
        <w:t>5. Record Categories and Data Fields</w:t>
      </w:r>
    </w:p>
    <w:p>
      <w:r>
        <w:t>Use the following record catalogue from the supplied QC record sheet. Preserve the source terminology in the UI where feasible. Correct obvious display consistency issues only with the QC owner's approval; do not silently change the meaning of a test or parameter.</w:t>
      </w:r>
    </w:p>
    <w:p>
      <w:pPr>
        <w:pStyle w:val="Heading2"/>
      </w:pPr>
      <w:r>
        <w:t>5.1 Water Records</w:t>
      </w:r>
    </w:p>
    <w:tbl>
      <w:tblPr>
        <w:tblStyle w:val="TableGrid"/>
        <w:tblW w:type="auto" w:w="0"/>
        <w:jc w:val="center"/>
        <w:tblLook w:firstColumn="1" w:firstRow="1" w:lastColumn="0" w:lastRow="0" w:noHBand="0" w:noVBand="1" w:val="04A0"/>
      </w:tblPr>
      <w:tblGrid>
        <w:gridCol w:w="5040"/>
        <w:gridCol w:w="5040"/>
      </w:tblGrid>
      <w:tr>
        <w:tc>
          <w:tcPr>
            <w:tcW w:type="dxa" w:w="3240"/>
            <w:vAlign w:val="center"/>
            <w:shd w:fill="17365D"/>
          </w:tcPr>
          <w:p>
            <w:pPr>
              <w:spacing w:after="0"/>
            </w:pPr>
            <w:r/>
            <w:r>
              <w:rPr>
                <w:rFonts w:ascii="Aptos" w:hAnsi="Aptos"/>
                <w:b/>
                <w:color w:val="FFFFFF"/>
                <w:sz w:val="16"/>
              </w:rPr>
              <w:t>Record type</w:t>
            </w:r>
          </w:p>
        </w:tc>
        <w:tc>
          <w:tcPr>
            <w:tcW w:type="dxa" w:w="6480"/>
            <w:vAlign w:val="center"/>
            <w:shd w:fill="17365D"/>
          </w:tcPr>
          <w:p>
            <w:pPr>
              <w:spacing w:after="0"/>
            </w:pPr>
            <w:r/>
            <w:r>
              <w:rPr>
                <w:rFonts w:ascii="Aptos" w:hAnsi="Aptos"/>
                <w:b/>
                <w:color w:val="FFFFFF"/>
                <w:sz w:val="16"/>
              </w:rPr>
              <w:t>Fields to capture</w:t>
            </w:r>
          </w:p>
        </w:tc>
      </w:tr>
      <w:tr>
        <w:tc>
          <w:tcPr>
            <w:tcW w:type="dxa" w:w="3240"/>
            <w:vAlign w:val="center"/>
          </w:tcPr>
          <w:p>
            <w:pPr>
              <w:spacing w:after="0"/>
            </w:pPr>
            <w:r/>
            <w:r>
              <w:rPr>
                <w:rFonts w:ascii="Aptos" w:hAnsi="Aptos"/>
                <w:b w:val="0"/>
                <w:sz w:val="16"/>
              </w:rPr>
              <w:t>Treated Water – Reverse Osmosis</w:t>
            </w:r>
          </w:p>
        </w:tc>
        <w:tc>
          <w:tcPr>
            <w:tcW w:type="dxa" w:w="6480"/>
            <w:vAlign w:val="center"/>
          </w:tcPr>
          <w:p>
            <w:pPr>
              <w:spacing w:after="0"/>
            </w:pPr>
            <w:r/>
            <w:r>
              <w:rPr>
                <w:rFonts w:ascii="Aptos" w:hAnsi="Aptos"/>
                <w:b w:val="0"/>
                <w:sz w:val="16"/>
              </w:rPr>
              <w:t>Day, Date, Time, pH, TDS, Temperature (°C), Colour, Taste, Conductivity (007 and 008).</w:t>
            </w:r>
          </w:p>
        </w:tc>
      </w:tr>
      <w:tr>
        <w:tc>
          <w:tcPr>
            <w:tcW w:type="dxa" w:w="3240"/>
            <w:vAlign w:val="center"/>
            <w:shd w:fill="F2F6FA"/>
          </w:tcPr>
          <w:p>
            <w:pPr>
              <w:spacing w:after="0"/>
            </w:pPr>
            <w:r/>
            <w:r>
              <w:rPr>
                <w:rFonts w:ascii="Aptos" w:hAnsi="Aptos"/>
                <w:b w:val="0"/>
                <w:sz w:val="16"/>
              </w:rPr>
              <w:t>Treated Water – Blending Water</w:t>
            </w:r>
          </w:p>
        </w:tc>
        <w:tc>
          <w:tcPr>
            <w:tcW w:type="dxa" w:w="6480"/>
            <w:vAlign w:val="center"/>
            <w:shd w:fill="F2F6FA"/>
          </w:tcPr>
          <w:p>
            <w:pPr>
              <w:spacing w:after="0"/>
            </w:pPr>
            <w:r/>
            <w:r>
              <w:rPr>
                <w:rFonts w:ascii="Aptos" w:hAnsi="Aptos"/>
                <w:b w:val="0"/>
                <w:sz w:val="16"/>
              </w:rPr>
              <w:t>Day, Date, Time, pH, TDS, Temperature (°C), Colour, Taste.</w:t>
            </w:r>
          </w:p>
        </w:tc>
      </w:tr>
    </w:tbl>
    <w:p>
      <w:pPr>
        <w:spacing w:after="20"/>
      </w:pPr>
    </w:p>
    <w:p>
      <w:pPr>
        <w:pStyle w:val="Heading2"/>
      </w:pPr>
      <w:r>
        <w:t>5.2 Product Records</w:t>
      </w:r>
    </w:p>
    <w:tbl>
      <w:tblPr>
        <w:tblStyle w:val="TableGrid"/>
        <w:tblW w:type="auto" w:w="0"/>
        <w:jc w:val="center"/>
        <w:tblLook w:firstColumn="1" w:firstRow="1" w:lastColumn="0" w:lastRow="0" w:noHBand="0" w:noVBand="1" w:val="04A0"/>
      </w:tblPr>
      <w:tblGrid>
        <w:gridCol w:w="5040"/>
        <w:gridCol w:w="5040"/>
      </w:tblGrid>
      <w:tr>
        <w:tc>
          <w:tcPr>
            <w:tcW w:type="dxa" w:w="3240"/>
            <w:vAlign w:val="center"/>
            <w:shd w:fill="17365D"/>
          </w:tcPr>
          <w:p>
            <w:pPr>
              <w:spacing w:after="0"/>
            </w:pPr>
            <w:r/>
            <w:r>
              <w:rPr>
                <w:rFonts w:ascii="Aptos" w:hAnsi="Aptos"/>
                <w:b/>
                <w:color w:val="FFFFFF"/>
                <w:sz w:val="16"/>
              </w:rPr>
              <w:t>Product / record type</w:t>
            </w:r>
          </w:p>
        </w:tc>
        <w:tc>
          <w:tcPr>
            <w:tcW w:type="dxa" w:w="6480"/>
            <w:vAlign w:val="center"/>
            <w:shd w:fill="17365D"/>
          </w:tcPr>
          <w:p>
            <w:pPr>
              <w:spacing w:after="0"/>
            </w:pPr>
            <w:r/>
            <w:r>
              <w:rPr>
                <w:rFonts w:ascii="Aptos" w:hAnsi="Aptos"/>
                <w:b/>
                <w:color w:val="FFFFFF"/>
                <w:sz w:val="16"/>
              </w:rPr>
              <w:t>Fields to capture</w:t>
            </w:r>
          </w:p>
        </w:tc>
      </w:tr>
      <w:tr>
        <w:tc>
          <w:tcPr>
            <w:tcW w:type="dxa" w:w="3240"/>
            <w:vAlign w:val="center"/>
          </w:tcPr>
          <w:p>
            <w:pPr>
              <w:spacing w:after="0"/>
            </w:pPr>
            <w:r/>
            <w:r>
              <w:rPr>
                <w:rFonts w:ascii="Aptos" w:hAnsi="Aptos"/>
                <w:b w:val="0"/>
                <w:sz w:val="16"/>
              </w:rPr>
              <w:t>Lawson De-Ray Bitters</w:t>
            </w:r>
          </w:p>
        </w:tc>
        <w:tc>
          <w:tcPr>
            <w:tcW w:type="dxa" w:w="6480"/>
            <w:vAlign w:val="center"/>
          </w:tcPr>
          <w:p>
            <w:pPr>
              <w:spacing w:after="0"/>
            </w:pPr>
            <w:r/>
            <w:r>
              <w:rPr>
                <w:rFonts w:ascii="Aptos" w:hAnsi="Aptos"/>
                <w:b w:val="0"/>
                <w:sz w:val="16"/>
              </w:rPr>
              <w:t>Day, Date, Time, pH, TDS, Density (g/mL), Temperature (°C), Alcohol percentage (%), Colour, Volume, Taste, Batch No.</w:t>
            </w:r>
          </w:p>
        </w:tc>
      </w:tr>
      <w:tr>
        <w:tc>
          <w:tcPr>
            <w:tcW w:type="dxa" w:w="3240"/>
            <w:vAlign w:val="center"/>
            <w:shd w:fill="F2F6FA"/>
          </w:tcPr>
          <w:p>
            <w:pPr>
              <w:spacing w:after="0"/>
            </w:pPr>
            <w:r/>
            <w:r>
              <w:rPr>
                <w:rFonts w:ascii="Aptos" w:hAnsi="Aptos"/>
                <w:b w:val="0"/>
                <w:sz w:val="16"/>
              </w:rPr>
              <w:t>Lawson De-Ray Ginger Liquor</w:t>
            </w:r>
          </w:p>
        </w:tc>
        <w:tc>
          <w:tcPr>
            <w:tcW w:type="dxa" w:w="6480"/>
            <w:vAlign w:val="center"/>
            <w:shd w:fill="F2F6FA"/>
          </w:tcPr>
          <w:p>
            <w:pPr>
              <w:spacing w:after="0"/>
            </w:pPr>
            <w:r/>
            <w:r>
              <w:rPr>
                <w:rFonts w:ascii="Aptos" w:hAnsi="Aptos"/>
                <w:b w:val="0"/>
                <w:sz w:val="16"/>
              </w:rPr>
              <w:t>Day, Date, Time, pH, TDS, Density (g/mL), Temperature (°C), Alcohol percentage (%), Colour, Volume, Taste, Batch No., Settling Time.</w:t>
            </w:r>
          </w:p>
        </w:tc>
      </w:tr>
      <w:tr>
        <w:tc>
          <w:tcPr>
            <w:tcW w:type="dxa" w:w="3240"/>
            <w:vAlign w:val="center"/>
          </w:tcPr>
          <w:p>
            <w:pPr>
              <w:spacing w:after="0"/>
            </w:pPr>
            <w:r/>
            <w:r>
              <w:rPr>
                <w:rFonts w:ascii="Aptos" w:hAnsi="Aptos"/>
                <w:b w:val="0"/>
                <w:sz w:val="16"/>
              </w:rPr>
              <w:t>Lawson Herbal Mixture</w:t>
            </w:r>
          </w:p>
        </w:tc>
        <w:tc>
          <w:tcPr>
            <w:tcW w:type="dxa" w:w="6480"/>
            <w:vAlign w:val="center"/>
          </w:tcPr>
          <w:p>
            <w:pPr>
              <w:spacing w:after="0"/>
            </w:pPr>
            <w:r/>
            <w:r>
              <w:rPr>
                <w:rFonts w:ascii="Aptos" w:hAnsi="Aptos"/>
                <w:b w:val="0"/>
                <w:sz w:val="16"/>
              </w:rPr>
              <w:t>Day, Date, Time, pH, TDS, Temperature (°C), Colour, Viscosity, Saponings.</w:t>
            </w:r>
          </w:p>
        </w:tc>
      </w:tr>
      <w:tr>
        <w:tc>
          <w:tcPr>
            <w:tcW w:type="dxa" w:w="3240"/>
            <w:vAlign w:val="center"/>
            <w:shd w:fill="F2F6FA"/>
          </w:tcPr>
          <w:p>
            <w:pPr>
              <w:spacing w:after="0"/>
            </w:pPr>
            <w:r/>
            <w:r>
              <w:rPr>
                <w:rFonts w:ascii="Aptos" w:hAnsi="Aptos"/>
                <w:b w:val="0"/>
                <w:sz w:val="16"/>
              </w:rPr>
              <w:t>Lawson LawCare Mixture</w:t>
            </w:r>
          </w:p>
        </w:tc>
        <w:tc>
          <w:tcPr>
            <w:tcW w:type="dxa" w:w="6480"/>
            <w:vAlign w:val="center"/>
            <w:shd w:fill="F2F6FA"/>
          </w:tcPr>
          <w:p>
            <w:pPr>
              <w:spacing w:after="0"/>
            </w:pPr>
            <w:r/>
            <w:r>
              <w:rPr>
                <w:rFonts w:ascii="Aptos" w:hAnsi="Aptos"/>
                <w:b w:val="0"/>
                <w:sz w:val="16"/>
              </w:rPr>
              <w:t>Day, Date, Time, pH, TDS, Temperature (°C), Colour, Viscosity, Saponings.</w:t>
            </w:r>
          </w:p>
        </w:tc>
      </w:tr>
      <w:tr>
        <w:tc>
          <w:tcPr>
            <w:tcW w:type="dxa" w:w="3240"/>
            <w:vAlign w:val="center"/>
          </w:tcPr>
          <w:p>
            <w:pPr>
              <w:spacing w:after="0"/>
            </w:pPr>
            <w:r/>
            <w:r>
              <w:rPr>
                <w:rFonts w:ascii="Aptos" w:hAnsi="Aptos"/>
                <w:b w:val="0"/>
                <w:sz w:val="16"/>
              </w:rPr>
              <w:t>Lawson DelayMan Capsules</w:t>
            </w:r>
          </w:p>
        </w:tc>
        <w:tc>
          <w:tcPr>
            <w:tcW w:type="dxa" w:w="6480"/>
            <w:vAlign w:val="center"/>
          </w:tcPr>
          <w:p>
            <w:pPr>
              <w:spacing w:after="0"/>
            </w:pPr>
            <w:r/>
            <w:r>
              <w:rPr>
                <w:rFonts w:ascii="Aptos" w:hAnsi="Aptos"/>
                <w:b w:val="0"/>
                <w:sz w:val="16"/>
              </w:rPr>
              <w:t>Day, Date, Time, pH, Colour, Texture, Odour, Foreign Matter, Appearance.</w:t>
            </w:r>
          </w:p>
        </w:tc>
      </w:tr>
    </w:tbl>
    <w:p>
      <w:pPr>
        <w:spacing w:after="20"/>
      </w:pPr>
    </w:p>
    <w:p>
      <w:r>
        <w:t>The source document groups De-Ray products under alcoholic beverages and the other listed products under herbal products. Preserve this grouping in the QC record catalogue.</w:t>
      </w:r>
    </w:p>
    <w:p>
      <w:pPr>
        <w:pStyle w:val="Heading2"/>
      </w:pPr>
      <w:r>
        <w:t>5.3 Raw Materials Records</w:t>
      </w:r>
    </w:p>
    <w:tbl>
      <w:tblPr>
        <w:tblStyle w:val="TableGrid"/>
        <w:tblW w:type="auto" w:w="0"/>
        <w:jc w:val="center"/>
        <w:tblLook w:firstColumn="1" w:firstRow="1" w:lastColumn="0" w:lastRow="0" w:noHBand="0" w:noVBand="1" w:val="04A0"/>
      </w:tblPr>
      <w:tblGrid>
        <w:gridCol w:w="5040"/>
        <w:gridCol w:w="5040"/>
      </w:tblGrid>
      <w:tr>
        <w:tc>
          <w:tcPr>
            <w:tcW w:type="dxa" w:w="3240"/>
            <w:vAlign w:val="center"/>
            <w:shd w:fill="17365D"/>
          </w:tcPr>
          <w:p>
            <w:pPr>
              <w:spacing w:after="0"/>
            </w:pPr>
            <w:r/>
            <w:r>
              <w:rPr>
                <w:rFonts w:ascii="Aptos" w:hAnsi="Aptos"/>
                <w:b/>
                <w:color w:val="FFFFFF"/>
                <w:sz w:val="16"/>
              </w:rPr>
              <w:t>Record type</w:t>
            </w:r>
          </w:p>
        </w:tc>
        <w:tc>
          <w:tcPr>
            <w:tcW w:type="dxa" w:w="6480"/>
            <w:vAlign w:val="center"/>
            <w:shd w:fill="17365D"/>
          </w:tcPr>
          <w:p>
            <w:pPr>
              <w:spacing w:after="0"/>
            </w:pPr>
            <w:r/>
            <w:r>
              <w:rPr>
                <w:rFonts w:ascii="Aptos" w:hAnsi="Aptos"/>
                <w:b/>
                <w:color w:val="FFFFFF"/>
                <w:sz w:val="16"/>
              </w:rPr>
              <w:t>Fields to capture</w:t>
            </w:r>
          </w:p>
        </w:tc>
      </w:tr>
      <w:tr>
        <w:tc>
          <w:tcPr>
            <w:tcW w:type="dxa" w:w="3240"/>
            <w:vAlign w:val="center"/>
          </w:tcPr>
          <w:p>
            <w:pPr>
              <w:spacing w:after="0"/>
            </w:pPr>
            <w:r/>
            <w:r>
              <w:rPr>
                <w:rFonts w:ascii="Aptos" w:hAnsi="Aptos"/>
                <w:b w:val="0"/>
                <w:sz w:val="16"/>
              </w:rPr>
              <w:t>PET Preforms</w:t>
            </w:r>
          </w:p>
        </w:tc>
        <w:tc>
          <w:tcPr>
            <w:tcW w:type="dxa" w:w="6480"/>
            <w:vAlign w:val="center"/>
          </w:tcPr>
          <w:p>
            <w:pPr>
              <w:spacing w:after="0"/>
            </w:pPr>
            <w:r/>
            <w:r>
              <w:rPr>
                <w:rFonts w:ascii="Aptos" w:hAnsi="Aptos"/>
                <w:b w:val="0"/>
                <w:sz w:val="16"/>
              </w:rPr>
              <w:t>Day, Date, Time, Appearance, Weight, Neck Finish &amp; Thread, Preform Length, Neck Outer Diameter, Inner Diameter.</w:t>
            </w:r>
          </w:p>
        </w:tc>
      </w:tr>
      <w:tr>
        <w:tc>
          <w:tcPr>
            <w:tcW w:type="dxa" w:w="3240"/>
            <w:vAlign w:val="center"/>
            <w:shd w:fill="F2F6FA"/>
          </w:tcPr>
          <w:p>
            <w:pPr>
              <w:spacing w:after="0"/>
            </w:pPr>
            <w:r/>
            <w:r>
              <w:rPr>
                <w:rFonts w:ascii="Aptos" w:hAnsi="Aptos"/>
                <w:b w:val="0"/>
                <w:sz w:val="16"/>
              </w:rPr>
              <w:t>Blown Bottles</w:t>
            </w:r>
          </w:p>
        </w:tc>
        <w:tc>
          <w:tcPr>
            <w:tcW w:type="dxa" w:w="6480"/>
            <w:vAlign w:val="center"/>
            <w:shd w:fill="F2F6FA"/>
          </w:tcPr>
          <w:p>
            <w:pPr>
              <w:spacing w:after="0"/>
            </w:pPr>
            <w:r/>
            <w:r>
              <w:rPr>
                <w:rFonts w:ascii="Aptos" w:hAnsi="Aptos"/>
                <w:b w:val="0"/>
                <w:sz w:val="16"/>
              </w:rPr>
              <w:t>Day, Date, Time, Appearance, Weight, Neck Finish &amp; Thread, Neck Outer Diameter, Inner Diameter.</w:t>
            </w:r>
          </w:p>
        </w:tc>
      </w:tr>
      <w:tr>
        <w:tc>
          <w:tcPr>
            <w:tcW w:type="dxa" w:w="3240"/>
            <w:vAlign w:val="center"/>
          </w:tcPr>
          <w:p>
            <w:pPr>
              <w:spacing w:after="0"/>
            </w:pPr>
            <w:r/>
            <w:r>
              <w:rPr>
                <w:rFonts w:ascii="Aptos" w:hAnsi="Aptos"/>
                <w:b w:val="0"/>
                <w:sz w:val="16"/>
              </w:rPr>
              <w:t>Raw Ethanol</w:t>
            </w:r>
          </w:p>
        </w:tc>
        <w:tc>
          <w:tcPr>
            <w:tcW w:type="dxa" w:w="6480"/>
            <w:vAlign w:val="center"/>
          </w:tcPr>
          <w:p>
            <w:pPr>
              <w:spacing w:after="0"/>
            </w:pPr>
            <w:r/>
            <w:r>
              <w:rPr>
                <w:rFonts w:ascii="Aptos" w:hAnsi="Aptos"/>
                <w:b w:val="0"/>
                <w:sz w:val="16"/>
              </w:rPr>
              <w:t>Day, Date, Time, Alcohol percentage (%), pH, TDS, Temperature (°C), Odour, Taste, Origin, Supplier, Checked By.</w:t>
            </w:r>
          </w:p>
        </w:tc>
      </w:tr>
    </w:tbl>
    <w:p>
      <w:pPr>
        <w:spacing w:after="20"/>
      </w:pPr>
    </w:p>
    <w:p>
      <w:r>
        <w:t>As requested in the source document, PET/ bottle records and Raw Ethanol records must sit under the single top-level category “Raw Materials Records.”</w:t>
      </w:r>
    </w:p>
    <w:p>
      <w:pPr>
        <w:pStyle w:val="Heading1"/>
      </w:pPr>
      <w:r>
        <w:t>6. Standards and Reference Ranges</w:t>
      </w:r>
    </w:p>
    <w:p>
      <w:r>
        <w:t>The QC Manager must be the only role able to configure or change the standards used for automated status evaluation. The initial values below are the only numeric reference ranges supplied in the source document. Do not invent standards for other parameters or products. Where no standard is configured, show “Standard not configured” and do not label the result compliant or non-compliant.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vAlign w:val="center"/>
            <w:shd w:fill="17365D"/>
          </w:tcPr>
          <w:p>
            <w:pPr>
              <w:spacing w:after="0"/>
            </w:pPr>
            <w:r/>
            <w:r>
              <w:rPr>
                <w:rFonts w:ascii="Aptos" w:hAnsi="Aptos"/>
                <w:b/>
                <w:color w:val="FFFFFF"/>
                <w:sz w:val="15"/>
              </w:rPr>
              <w:t>Record type</w:t>
            </w:r>
          </w:p>
        </w:tc>
        <w:tc>
          <w:tcPr>
            <w:tcW w:type="dxa" w:w="1872"/>
            <w:vAlign w:val="center"/>
            <w:shd w:fill="17365D"/>
          </w:tcPr>
          <w:p>
            <w:pPr>
              <w:spacing w:after="0"/>
            </w:pPr>
            <w:r/>
            <w:r>
              <w:rPr>
                <w:rFonts w:ascii="Aptos" w:hAnsi="Aptos"/>
                <w:b/>
                <w:color w:val="FFFFFF"/>
                <w:sz w:val="15"/>
              </w:rPr>
              <w:t>Parameter</w:t>
            </w:r>
          </w:p>
        </w:tc>
        <w:tc>
          <w:tcPr>
            <w:tcW w:type="dxa" w:w="1800"/>
            <w:vAlign w:val="center"/>
            <w:shd w:fill="17365D"/>
          </w:tcPr>
          <w:p>
            <w:pPr>
              <w:spacing w:after="0"/>
            </w:pPr>
            <w:r/>
            <w:r>
              <w:rPr>
                <w:rFonts w:ascii="Aptos" w:hAnsi="Aptos"/>
                <w:b/>
                <w:color w:val="FFFFFF"/>
                <w:sz w:val="15"/>
              </w:rPr>
              <w:t>Initial reference range</w:t>
            </w:r>
          </w:p>
        </w:tc>
        <w:tc>
          <w:tcPr>
            <w:tcW w:type="dxa" w:w="4176"/>
            <w:vAlign w:val="center"/>
            <w:shd w:fill="17365D"/>
          </w:tcPr>
          <w:p>
            <w:pPr>
              <w:spacing w:after="0"/>
            </w:pPr>
            <w:r/>
            <w:r>
              <w:rPr>
                <w:rFonts w:ascii="Aptos" w:hAnsi="Aptos"/>
                <w:b/>
                <w:color w:val="FFFFFF"/>
                <w:sz w:val="15"/>
              </w:rPr>
              <w:t>Source/handling note</w:t>
            </w:r>
          </w:p>
        </w:tc>
      </w:tr>
      <w:tr>
        <w:tc>
          <w:tcPr>
            <w:tcW w:type="dxa" w:w="2232"/>
            <w:vAlign w:val="center"/>
          </w:tcPr>
          <w:p>
            <w:pPr>
              <w:spacing w:after="0"/>
            </w:pPr>
            <w:r/>
            <w:r>
              <w:rPr>
                <w:rFonts w:ascii="Aptos" w:hAnsi="Aptos"/>
                <w:b w:val="0"/>
                <w:sz w:val="15"/>
              </w:rPr>
              <w:t>Raw Ethanol</w:t>
            </w:r>
          </w:p>
        </w:tc>
        <w:tc>
          <w:tcPr>
            <w:tcW w:type="dxa" w:w="1872"/>
            <w:vAlign w:val="center"/>
          </w:tcPr>
          <w:p>
            <w:pPr>
              <w:spacing w:after="0"/>
            </w:pPr>
            <w:r/>
            <w:r>
              <w:rPr>
                <w:rFonts w:ascii="Aptos" w:hAnsi="Aptos"/>
                <w:b w:val="0"/>
                <w:sz w:val="15"/>
              </w:rPr>
              <w:t>Alcohol percentage (%)</w:t>
            </w:r>
          </w:p>
        </w:tc>
        <w:tc>
          <w:tcPr>
            <w:tcW w:type="dxa" w:w="1800"/>
            <w:vAlign w:val="center"/>
          </w:tcPr>
          <w:p>
            <w:pPr>
              <w:spacing w:after="0"/>
            </w:pPr>
            <w:r/>
            <w:r>
              <w:rPr>
                <w:rFonts w:ascii="Aptos" w:hAnsi="Aptos"/>
                <w:b w:val="0"/>
                <w:sz w:val="15"/>
              </w:rPr>
              <w:t>95%–96%</w:t>
            </w:r>
          </w:p>
        </w:tc>
        <w:tc>
          <w:tcPr>
            <w:tcW w:type="dxa" w:w="4176"/>
            <w:vAlign w:val="center"/>
          </w:tcPr>
          <w:p>
            <w:pPr>
              <w:spacing w:after="0"/>
            </w:pPr>
            <w:r/>
            <w:r>
              <w:rPr>
                <w:rFonts w:ascii="Aptos" w:hAnsi="Aptos"/>
                <w:b w:val="0"/>
                <w:sz w:val="15"/>
              </w:rPr>
              <w:t>Inclusive range unless QC Manager configures otherwise.</w:t>
            </w:r>
          </w:p>
        </w:tc>
      </w:tr>
      <w:tr>
        <w:tc>
          <w:tcPr>
            <w:tcW w:type="dxa" w:w="2232"/>
            <w:vAlign w:val="center"/>
            <w:shd w:fill="F2F6FA"/>
          </w:tcPr>
          <w:p>
            <w:pPr>
              <w:spacing w:after="0"/>
            </w:pPr>
            <w:r/>
            <w:r>
              <w:rPr>
                <w:rFonts w:ascii="Aptos" w:hAnsi="Aptos"/>
                <w:b w:val="0"/>
                <w:sz w:val="15"/>
              </w:rPr>
              <w:t>Raw Ethanol</w:t>
            </w:r>
          </w:p>
        </w:tc>
        <w:tc>
          <w:tcPr>
            <w:tcW w:type="dxa" w:w="1872"/>
            <w:vAlign w:val="center"/>
            <w:shd w:fill="F2F6FA"/>
          </w:tcPr>
          <w:p>
            <w:pPr>
              <w:spacing w:after="0"/>
            </w:pPr>
            <w:r/>
            <w:r>
              <w:rPr>
                <w:rFonts w:ascii="Aptos" w:hAnsi="Aptos"/>
                <w:b w:val="0"/>
                <w:sz w:val="15"/>
              </w:rPr>
              <w:t>pH</w:t>
            </w:r>
          </w:p>
        </w:tc>
        <w:tc>
          <w:tcPr>
            <w:tcW w:type="dxa" w:w="1800"/>
            <w:vAlign w:val="center"/>
            <w:shd w:fill="F2F6FA"/>
          </w:tcPr>
          <w:p>
            <w:pPr>
              <w:spacing w:after="0"/>
            </w:pPr>
            <w:r/>
            <w:r>
              <w:rPr>
                <w:rFonts w:ascii="Aptos" w:hAnsi="Aptos"/>
                <w:b w:val="0"/>
                <w:sz w:val="15"/>
              </w:rPr>
              <w:t>6.5–7.5</w:t>
            </w:r>
          </w:p>
        </w:tc>
        <w:tc>
          <w:tcPr>
            <w:tcW w:type="dxa" w:w="4176"/>
            <w:vAlign w:val="center"/>
            <w:shd w:fill="F2F6FA"/>
          </w:tcPr>
          <w:p>
            <w:pPr>
              <w:spacing w:after="0"/>
            </w:pPr>
            <w:r/>
            <w:r>
              <w:rPr>
                <w:rFonts w:ascii="Aptos" w:hAnsi="Aptos"/>
                <w:b w:val="0"/>
                <w:sz w:val="15"/>
              </w:rPr>
              <w:t>Inclusive range unless QC Manager configures otherwise.</w:t>
            </w:r>
          </w:p>
        </w:tc>
      </w:tr>
      <w:tr>
        <w:tc>
          <w:tcPr>
            <w:tcW w:type="dxa" w:w="2232"/>
            <w:vAlign w:val="center"/>
          </w:tcPr>
          <w:p>
            <w:pPr>
              <w:spacing w:after="0"/>
            </w:pPr>
            <w:r/>
            <w:r>
              <w:rPr>
                <w:rFonts w:ascii="Aptos" w:hAnsi="Aptos"/>
                <w:b w:val="0"/>
                <w:sz w:val="15"/>
              </w:rPr>
              <w:t>Reverse Osmosis Water</w:t>
            </w:r>
          </w:p>
        </w:tc>
        <w:tc>
          <w:tcPr>
            <w:tcW w:type="dxa" w:w="1872"/>
            <w:vAlign w:val="center"/>
          </w:tcPr>
          <w:p>
            <w:pPr>
              <w:spacing w:after="0"/>
            </w:pPr>
            <w:r/>
            <w:r>
              <w:rPr>
                <w:rFonts w:ascii="Aptos" w:hAnsi="Aptos"/>
                <w:b w:val="0"/>
                <w:sz w:val="15"/>
              </w:rPr>
              <w:t>pH</w:t>
            </w:r>
          </w:p>
        </w:tc>
        <w:tc>
          <w:tcPr>
            <w:tcW w:type="dxa" w:w="1800"/>
            <w:vAlign w:val="center"/>
          </w:tcPr>
          <w:p>
            <w:pPr>
              <w:spacing w:after="0"/>
            </w:pPr>
            <w:r/>
            <w:r>
              <w:rPr>
                <w:rFonts w:ascii="Aptos" w:hAnsi="Aptos"/>
                <w:b w:val="0"/>
                <w:sz w:val="15"/>
              </w:rPr>
              <w:t>5.0–6.5</w:t>
            </w:r>
          </w:p>
        </w:tc>
        <w:tc>
          <w:tcPr>
            <w:tcW w:type="dxa" w:w="4176"/>
            <w:vAlign w:val="center"/>
          </w:tcPr>
          <w:p>
            <w:pPr>
              <w:spacing w:after="0"/>
            </w:pPr>
            <w:r/>
            <w:r>
              <w:rPr>
                <w:rFonts w:ascii="Aptos" w:hAnsi="Aptos"/>
                <w:b w:val="0"/>
                <w:sz w:val="15"/>
              </w:rPr>
              <w:t>Inclusive range unless QC Manager configures otherwise.</w:t>
            </w:r>
          </w:p>
        </w:tc>
      </w:tr>
      <w:tr>
        <w:tc>
          <w:tcPr>
            <w:tcW w:type="dxa" w:w="2232"/>
            <w:vAlign w:val="center"/>
            <w:shd w:fill="F2F6FA"/>
          </w:tcPr>
          <w:p>
            <w:pPr>
              <w:spacing w:after="0"/>
            </w:pPr>
            <w:r/>
            <w:r>
              <w:rPr>
                <w:rFonts w:ascii="Aptos" w:hAnsi="Aptos"/>
                <w:b w:val="0"/>
                <w:sz w:val="15"/>
              </w:rPr>
              <w:t>Blending Water</w:t>
            </w:r>
          </w:p>
        </w:tc>
        <w:tc>
          <w:tcPr>
            <w:tcW w:type="dxa" w:w="1872"/>
            <w:vAlign w:val="center"/>
            <w:shd w:fill="F2F6FA"/>
          </w:tcPr>
          <w:p>
            <w:pPr>
              <w:spacing w:after="0"/>
            </w:pPr>
            <w:r/>
            <w:r>
              <w:rPr>
                <w:rFonts w:ascii="Aptos" w:hAnsi="Aptos"/>
                <w:b w:val="0"/>
                <w:sz w:val="15"/>
              </w:rPr>
              <w:t>pH</w:t>
            </w:r>
          </w:p>
        </w:tc>
        <w:tc>
          <w:tcPr>
            <w:tcW w:type="dxa" w:w="1800"/>
            <w:vAlign w:val="center"/>
            <w:shd w:fill="F2F6FA"/>
          </w:tcPr>
          <w:p>
            <w:pPr>
              <w:spacing w:after="0"/>
            </w:pPr>
            <w:r/>
            <w:r>
              <w:rPr>
                <w:rFonts w:ascii="Aptos" w:hAnsi="Aptos"/>
                <w:b w:val="0"/>
                <w:sz w:val="15"/>
              </w:rPr>
              <w:t>5.5–7.5</w:t>
            </w:r>
          </w:p>
        </w:tc>
        <w:tc>
          <w:tcPr>
            <w:tcW w:type="dxa" w:w="4176"/>
            <w:vAlign w:val="center"/>
            <w:shd w:fill="F2F6FA"/>
          </w:tcPr>
          <w:p>
            <w:pPr>
              <w:spacing w:after="0"/>
            </w:pPr>
            <w:r/>
            <w:r>
              <w:rPr>
                <w:rFonts w:ascii="Aptos" w:hAnsi="Aptos"/>
                <w:b w:val="0"/>
                <w:sz w:val="15"/>
              </w:rPr>
              <w:t>Inclusive range unless QC Manager configures otherwise.</w:t>
            </w:r>
          </w:p>
        </w:tc>
      </w:tr>
      <w:tr>
        <w:tc>
          <w:tcPr>
            <w:tcW w:type="dxa" w:w="2232"/>
            <w:vAlign w:val="center"/>
          </w:tcPr>
          <w:p>
            <w:pPr>
              <w:spacing w:after="0"/>
            </w:pPr>
            <w:r/>
            <w:r>
              <w:rPr>
                <w:rFonts w:ascii="Aptos" w:hAnsi="Aptos"/>
                <w:b w:val="0"/>
                <w:sz w:val="15"/>
              </w:rPr>
              <w:t>Lawson De-Ray Bitters</w:t>
            </w:r>
          </w:p>
        </w:tc>
        <w:tc>
          <w:tcPr>
            <w:tcW w:type="dxa" w:w="1872"/>
            <w:vAlign w:val="center"/>
          </w:tcPr>
          <w:p>
            <w:pPr>
              <w:spacing w:after="0"/>
            </w:pPr>
            <w:r/>
            <w:r>
              <w:rPr>
                <w:rFonts w:ascii="Aptos" w:hAnsi="Aptos"/>
                <w:b w:val="0"/>
                <w:sz w:val="15"/>
              </w:rPr>
              <w:t>Alcohol percentage (%)</w:t>
            </w:r>
          </w:p>
        </w:tc>
        <w:tc>
          <w:tcPr>
            <w:tcW w:type="dxa" w:w="1800"/>
            <w:vAlign w:val="center"/>
          </w:tcPr>
          <w:p>
            <w:pPr>
              <w:spacing w:after="0"/>
            </w:pPr>
            <w:r/>
            <w:r>
              <w:rPr>
                <w:rFonts w:ascii="Aptos" w:hAnsi="Aptos"/>
                <w:b w:val="0"/>
                <w:sz w:val="15"/>
              </w:rPr>
              <w:t>42% ± 2 (40%–44%)</w:t>
            </w:r>
          </w:p>
        </w:tc>
        <w:tc>
          <w:tcPr>
            <w:tcW w:type="dxa" w:w="4176"/>
            <w:vAlign w:val="center"/>
          </w:tcPr>
          <w:p>
            <w:pPr>
              <w:spacing w:after="0"/>
            </w:pPr>
            <w:r/>
            <w:r>
              <w:rPr>
                <w:rFonts w:ascii="Aptos" w:hAnsi="Aptos"/>
                <w:b w:val="0"/>
                <w:sz w:val="15"/>
              </w:rPr>
              <w:t>Store/display the source expression and normalised lower/upper limits.</w:t>
            </w:r>
          </w:p>
        </w:tc>
      </w:tr>
      <w:tr>
        <w:tc>
          <w:tcPr>
            <w:tcW w:type="dxa" w:w="2232"/>
            <w:vAlign w:val="center"/>
            <w:shd w:fill="F2F6FA"/>
          </w:tcPr>
          <w:p>
            <w:pPr>
              <w:spacing w:after="0"/>
            </w:pPr>
            <w:r/>
            <w:r>
              <w:rPr>
                <w:rFonts w:ascii="Aptos" w:hAnsi="Aptos"/>
                <w:b w:val="0"/>
                <w:sz w:val="15"/>
              </w:rPr>
              <w:t>Lawson De-Ray Bitters</w:t>
            </w:r>
          </w:p>
        </w:tc>
        <w:tc>
          <w:tcPr>
            <w:tcW w:type="dxa" w:w="1872"/>
            <w:vAlign w:val="center"/>
            <w:shd w:fill="F2F6FA"/>
          </w:tcPr>
          <w:p>
            <w:pPr>
              <w:spacing w:after="0"/>
            </w:pPr>
            <w:r/>
            <w:r>
              <w:rPr>
                <w:rFonts w:ascii="Aptos" w:hAnsi="Aptos"/>
                <w:b w:val="0"/>
                <w:sz w:val="15"/>
              </w:rPr>
              <w:t>pH</w:t>
            </w:r>
          </w:p>
        </w:tc>
        <w:tc>
          <w:tcPr>
            <w:tcW w:type="dxa" w:w="1800"/>
            <w:vAlign w:val="center"/>
            <w:shd w:fill="F2F6FA"/>
          </w:tcPr>
          <w:p>
            <w:pPr>
              <w:spacing w:after="0"/>
            </w:pPr>
            <w:r/>
            <w:r>
              <w:rPr>
                <w:rFonts w:ascii="Aptos" w:hAnsi="Aptos"/>
                <w:b w:val="0"/>
                <w:sz w:val="15"/>
              </w:rPr>
              <w:t>4.0–6.0</w:t>
            </w:r>
          </w:p>
        </w:tc>
        <w:tc>
          <w:tcPr>
            <w:tcW w:type="dxa" w:w="4176"/>
            <w:vAlign w:val="center"/>
            <w:shd w:fill="F2F6FA"/>
          </w:tcPr>
          <w:p>
            <w:pPr>
              <w:spacing w:after="0"/>
            </w:pPr>
            <w:r/>
            <w:r>
              <w:rPr>
                <w:rFonts w:ascii="Aptos" w:hAnsi="Aptos"/>
                <w:b w:val="0"/>
                <w:sz w:val="15"/>
              </w:rPr>
              <w:t>Inclusive range unless QC Manager configures otherwise.</w:t>
            </w:r>
          </w:p>
        </w:tc>
      </w:tr>
      <w:tr>
        <w:tc>
          <w:tcPr>
            <w:tcW w:type="dxa" w:w="2232"/>
            <w:vAlign w:val="center"/>
          </w:tcPr>
          <w:p>
            <w:pPr>
              <w:spacing w:after="0"/>
            </w:pPr>
            <w:r/>
            <w:r>
              <w:rPr>
                <w:rFonts w:ascii="Aptos" w:hAnsi="Aptos"/>
                <w:b w:val="0"/>
                <w:sz w:val="15"/>
              </w:rPr>
              <w:t>Lawson De-Ray Ginger Liquor</w:t>
            </w:r>
          </w:p>
        </w:tc>
        <w:tc>
          <w:tcPr>
            <w:tcW w:type="dxa" w:w="1872"/>
            <w:vAlign w:val="center"/>
          </w:tcPr>
          <w:p>
            <w:pPr>
              <w:spacing w:after="0"/>
            </w:pPr>
            <w:r/>
            <w:r>
              <w:rPr>
                <w:rFonts w:ascii="Aptos" w:hAnsi="Aptos"/>
                <w:b w:val="0"/>
                <w:sz w:val="15"/>
              </w:rPr>
              <w:t>Alcohol percentage (%)</w:t>
            </w:r>
          </w:p>
        </w:tc>
        <w:tc>
          <w:tcPr>
            <w:tcW w:type="dxa" w:w="1800"/>
            <w:vAlign w:val="center"/>
          </w:tcPr>
          <w:p>
            <w:pPr>
              <w:spacing w:after="0"/>
            </w:pPr>
            <w:r/>
            <w:r>
              <w:rPr>
                <w:rFonts w:ascii="Aptos" w:hAnsi="Aptos"/>
                <w:b w:val="0"/>
                <w:sz w:val="15"/>
              </w:rPr>
              <w:t>35%–40%</w:t>
            </w:r>
          </w:p>
        </w:tc>
        <w:tc>
          <w:tcPr>
            <w:tcW w:type="dxa" w:w="4176"/>
            <w:vAlign w:val="center"/>
          </w:tcPr>
          <w:p>
            <w:pPr>
              <w:spacing w:after="0"/>
            </w:pPr>
            <w:r/>
            <w:r>
              <w:rPr>
                <w:rFonts w:ascii="Aptos" w:hAnsi="Aptos"/>
                <w:b w:val="0"/>
                <w:sz w:val="15"/>
              </w:rPr>
              <w:t>Inclusive range unless QC Manager configures otherwise.</w:t>
            </w:r>
          </w:p>
        </w:tc>
      </w:tr>
      <w:tr>
        <w:tc>
          <w:tcPr>
            <w:tcW w:type="dxa" w:w="2232"/>
            <w:vAlign w:val="center"/>
            <w:shd w:fill="F2F6FA"/>
          </w:tcPr>
          <w:p>
            <w:pPr>
              <w:spacing w:after="0"/>
            </w:pPr>
            <w:r/>
            <w:r>
              <w:rPr>
                <w:rFonts w:ascii="Aptos" w:hAnsi="Aptos"/>
                <w:b w:val="0"/>
                <w:sz w:val="15"/>
              </w:rPr>
              <w:t>Lawson De-Ray Ginger Liquor</w:t>
            </w:r>
          </w:p>
        </w:tc>
        <w:tc>
          <w:tcPr>
            <w:tcW w:type="dxa" w:w="1872"/>
            <w:vAlign w:val="center"/>
            <w:shd w:fill="F2F6FA"/>
          </w:tcPr>
          <w:p>
            <w:pPr>
              <w:spacing w:after="0"/>
            </w:pPr>
            <w:r/>
            <w:r>
              <w:rPr>
                <w:rFonts w:ascii="Aptos" w:hAnsi="Aptos"/>
                <w:b w:val="0"/>
                <w:sz w:val="15"/>
              </w:rPr>
              <w:t>pH</w:t>
            </w:r>
          </w:p>
        </w:tc>
        <w:tc>
          <w:tcPr>
            <w:tcW w:type="dxa" w:w="1800"/>
            <w:vAlign w:val="center"/>
            <w:shd w:fill="F2F6FA"/>
          </w:tcPr>
          <w:p>
            <w:pPr>
              <w:spacing w:after="0"/>
            </w:pPr>
            <w:r/>
            <w:r>
              <w:rPr>
                <w:rFonts w:ascii="Aptos" w:hAnsi="Aptos"/>
                <w:b w:val="0"/>
                <w:sz w:val="15"/>
              </w:rPr>
              <w:t>4.0–6.0</w:t>
            </w:r>
          </w:p>
        </w:tc>
        <w:tc>
          <w:tcPr>
            <w:tcW w:type="dxa" w:w="4176"/>
            <w:vAlign w:val="center"/>
            <w:shd w:fill="F2F6FA"/>
          </w:tcPr>
          <w:p>
            <w:pPr>
              <w:spacing w:after="0"/>
            </w:pPr>
            <w:r/>
            <w:r>
              <w:rPr>
                <w:rFonts w:ascii="Aptos" w:hAnsi="Aptos"/>
                <w:b w:val="0"/>
                <w:sz w:val="15"/>
              </w:rPr>
              <w:t>Inclusive range unless QC Manager configures otherwise.</w:t>
            </w:r>
          </w:p>
        </w:tc>
      </w:tr>
    </w:tbl>
    <w:p>
      <w:pPr>
        <w:spacing w:after="20"/>
      </w:pPr>
    </w:p>
    <w:p>
      <w:pPr>
        <w:pStyle w:val="Heading2"/>
      </w:pPr>
      <w:r>
        <w:t>6.1 Standard configuration fields</w:t>
      </w:r>
    </w:p>
    <w:p>
      <w:pPr>
        <w:pStyle w:val="ListBullet"/>
        <w:spacing w:after="40"/>
      </w:pPr>
      <w:r>
        <w:t>Record type and parameter name (must map to a specific field, not free-text only).</w:t>
      </w:r>
    </w:p>
    <w:p>
      <w:pPr>
        <w:pStyle w:val="ListBullet"/>
        <w:spacing w:after="40"/>
      </w:pPr>
      <w:r>
        <w:t>Unit of measure, minimum value and maximum value; support one-sided limits only if the QC process needs them.</w:t>
      </w:r>
    </w:p>
    <w:p>
      <w:pPr>
        <w:pStyle w:val="ListBullet"/>
        <w:spacing w:after="40"/>
      </w:pPr>
      <w:r>
        <w:t>Inclusive/exclusive boundary setting, with inclusive as the default for the listed ranges.</w:t>
      </w:r>
    </w:p>
    <w:p>
      <w:pPr>
        <w:pStyle w:val="ListBullet"/>
        <w:spacing w:after="40"/>
      </w:pPr>
      <w:r>
        <w:t>Effective-from date/time; optional effective-to date/time; active/inactive state.</w:t>
      </w:r>
    </w:p>
    <w:p>
      <w:pPr>
        <w:pStyle w:val="ListBullet"/>
        <w:spacing w:after="40"/>
      </w:pPr>
      <w:r>
        <w:t>Reason for change, changed by, changed at, and a history of prior versions.</w:t>
      </w:r>
    </w:p>
    <w:p>
      <w:pPr>
        <w:pStyle w:val="ListBullet"/>
        <w:spacing w:after="40"/>
      </w:pPr>
      <w:r>
        <w:t>Optional approved textual criteria for qualitative checks (e.g., appearance/odour/taste) only when the QC Manager has defined them. Do not assume a universal pass/fail meaning.</w:t>
      </w:r>
    </w:p>
    <w:p>
      <w:pPr>
        <w:pStyle w:val="Heading2"/>
      </w:pPr>
      <w:r>
        <w:t>6.2 Applying standards to records</w:t>
      </w:r>
    </w:p>
    <w:p>
      <w:pPr>
        <w:pStyle w:val="ListBullet"/>
        <w:spacing w:after="40"/>
      </w:pPr>
      <w:r>
        <w:t>When a record is submitted, evaluate each numeric parameter against the applicable active standard effective at the record's test date/time.</w:t>
      </w:r>
    </w:p>
    <w:p>
      <w:pPr>
        <w:pStyle w:val="ListBullet"/>
        <w:spacing w:after="40"/>
      </w:pPr>
      <w:r>
        <w:t>Save a snapshot of the standard/version and the evaluated result with the record so later standard changes do not silently rewrite historical outcomes.</w:t>
      </w:r>
    </w:p>
    <w:p>
      <w:pPr>
        <w:pStyle w:val="ListBullet"/>
        <w:spacing w:after="40"/>
      </w:pPr>
      <w:r>
        <w:t>If no applicable standard exists, mark the parameter “Standard not configured” (neutral colour) and include it in a manager follow-up list.</w:t>
      </w:r>
    </w:p>
    <w:p>
      <w:pPr>
        <w:pStyle w:val="ListBullet"/>
        <w:spacing w:after="40"/>
      </w:pPr>
      <w:r>
        <w:t>For qualitative parameters, show “Not evaluated” until approved criteria exist. If configurable qualitative criteria are later used, make the evaluation rule explicit and auditable.</w:t>
      </w:r>
    </w:p>
    <w:p>
      <w:pPr>
        <w:pStyle w:val="ListBullet"/>
        <w:spacing w:after="40"/>
      </w:pPr>
      <w:r>
        <w:t>Allow QC Manager to amend a standard, but do not retroactively recalculate historical records by default. If recalculation is ever required, it must be a deliberate, logged action.</w:t>
      </w:r>
    </w:p>
    <w:p>
      <w:pPr>
        <w:pStyle w:val="Heading1"/>
      </w:pPr>
      <w:r>
        <w:t>7. Result Status Logic and Colour System</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17365D"/>
          </w:tcPr>
          <w:p>
            <w:pPr>
              <w:spacing w:after="0"/>
            </w:pPr>
            <w:r/>
            <w:r>
              <w:rPr>
                <w:rFonts w:ascii="Aptos" w:hAnsi="Aptos"/>
                <w:b/>
                <w:color w:val="FFFFFF"/>
                <w:sz w:val="16"/>
              </w:rPr>
              <w:t>Status</w:t>
            </w:r>
          </w:p>
        </w:tc>
        <w:tc>
          <w:tcPr>
            <w:tcW w:type="dxa" w:w="4968"/>
            <w:vAlign w:val="center"/>
            <w:shd w:fill="17365D"/>
          </w:tcPr>
          <w:p>
            <w:pPr>
              <w:spacing w:after="0"/>
            </w:pPr>
            <w:r/>
            <w:r>
              <w:rPr>
                <w:rFonts w:ascii="Aptos" w:hAnsi="Aptos"/>
                <w:b/>
                <w:color w:val="FFFFFF"/>
                <w:sz w:val="16"/>
              </w:rPr>
              <w:t>Condition</w:t>
            </w:r>
          </w:p>
        </w:tc>
        <w:tc>
          <w:tcPr>
            <w:tcW w:type="dxa" w:w="3024"/>
            <w:vAlign w:val="center"/>
            <w:shd w:fill="17365D"/>
          </w:tcPr>
          <w:p>
            <w:pPr>
              <w:spacing w:after="0"/>
            </w:pPr>
            <w:r/>
            <w:r>
              <w:rPr>
                <w:rFonts w:ascii="Aptos" w:hAnsi="Aptos"/>
                <w:b/>
                <w:color w:val="FFFFFF"/>
                <w:sz w:val="16"/>
              </w:rPr>
              <w:t>Suggested visual treatment</w:t>
            </w:r>
          </w:p>
        </w:tc>
      </w:tr>
      <w:tr>
        <w:tc>
          <w:tcPr>
            <w:tcW w:type="dxa" w:w="2088"/>
            <w:vAlign w:val="center"/>
          </w:tcPr>
          <w:p>
            <w:pPr>
              <w:spacing w:after="0"/>
            </w:pPr>
            <w:r/>
            <w:r>
              <w:rPr>
                <w:rFonts w:ascii="Aptos" w:hAnsi="Aptos"/>
                <w:b w:val="0"/>
                <w:sz w:val="16"/>
              </w:rPr>
              <w:t>In Range</w:t>
            </w:r>
          </w:p>
        </w:tc>
        <w:tc>
          <w:tcPr>
            <w:tcW w:type="dxa" w:w="4968"/>
            <w:vAlign w:val="center"/>
          </w:tcPr>
          <w:p>
            <w:pPr>
              <w:spacing w:after="0"/>
            </w:pPr>
            <w:r/>
            <w:r>
              <w:rPr>
                <w:rFonts w:ascii="Aptos" w:hAnsi="Aptos"/>
                <w:b w:val="0"/>
                <w:sz w:val="16"/>
              </w:rPr>
              <w:t>Numeric result is within the configured accepted limits, including boundaries if the standard is inclusive.</w:t>
            </w:r>
          </w:p>
        </w:tc>
        <w:tc>
          <w:tcPr>
            <w:tcW w:type="dxa" w:w="3024"/>
            <w:vAlign w:val="center"/>
          </w:tcPr>
          <w:p>
            <w:pPr>
              <w:spacing w:after="0"/>
            </w:pPr>
            <w:r/>
            <w:r>
              <w:rPr>
                <w:rFonts w:ascii="Aptos" w:hAnsi="Aptos"/>
                <w:b w:val="0"/>
                <w:sz w:val="16"/>
              </w:rPr>
              <w:t>Green label + text.</w:t>
            </w:r>
          </w:p>
        </w:tc>
      </w:tr>
      <w:tr>
        <w:tc>
          <w:tcPr>
            <w:tcW w:type="dxa" w:w="2088"/>
            <w:vAlign w:val="center"/>
            <w:shd w:fill="F2F6FA"/>
          </w:tcPr>
          <w:p>
            <w:pPr>
              <w:spacing w:after="0"/>
            </w:pPr>
            <w:r/>
            <w:r>
              <w:rPr>
                <w:rFonts w:ascii="Aptos" w:hAnsi="Aptos"/>
                <w:b w:val="0"/>
                <w:sz w:val="16"/>
              </w:rPr>
              <w:t>Below Range</w:t>
            </w:r>
          </w:p>
        </w:tc>
        <w:tc>
          <w:tcPr>
            <w:tcW w:type="dxa" w:w="4968"/>
            <w:vAlign w:val="center"/>
            <w:shd w:fill="F2F6FA"/>
          </w:tcPr>
          <w:p>
            <w:pPr>
              <w:spacing w:after="0"/>
            </w:pPr>
            <w:r/>
            <w:r>
              <w:rPr>
                <w:rFonts w:ascii="Aptos" w:hAnsi="Aptos"/>
                <w:b w:val="0"/>
                <w:sz w:val="16"/>
              </w:rPr>
              <w:t>Numeric result is less than the configured minimum.</w:t>
            </w:r>
          </w:p>
        </w:tc>
        <w:tc>
          <w:tcPr>
            <w:tcW w:type="dxa" w:w="3024"/>
            <w:vAlign w:val="center"/>
            <w:shd w:fill="F2F6FA"/>
          </w:tcPr>
          <w:p>
            <w:pPr>
              <w:spacing w:after="0"/>
            </w:pPr>
            <w:r/>
            <w:r>
              <w:rPr>
                <w:rFonts w:ascii="Aptos" w:hAnsi="Aptos"/>
                <w:b w:val="0"/>
                <w:sz w:val="16"/>
              </w:rPr>
              <w:t>Blue label + text.</w:t>
            </w:r>
          </w:p>
        </w:tc>
      </w:tr>
      <w:tr>
        <w:tc>
          <w:tcPr>
            <w:tcW w:type="dxa" w:w="2088"/>
            <w:vAlign w:val="center"/>
          </w:tcPr>
          <w:p>
            <w:pPr>
              <w:spacing w:after="0"/>
            </w:pPr>
            <w:r/>
            <w:r>
              <w:rPr>
                <w:rFonts w:ascii="Aptos" w:hAnsi="Aptos"/>
                <w:b w:val="0"/>
                <w:sz w:val="16"/>
              </w:rPr>
              <w:t>Above Range</w:t>
            </w:r>
          </w:p>
        </w:tc>
        <w:tc>
          <w:tcPr>
            <w:tcW w:type="dxa" w:w="4968"/>
            <w:vAlign w:val="center"/>
          </w:tcPr>
          <w:p>
            <w:pPr>
              <w:spacing w:after="0"/>
            </w:pPr>
            <w:r/>
            <w:r>
              <w:rPr>
                <w:rFonts w:ascii="Aptos" w:hAnsi="Aptos"/>
                <w:b w:val="0"/>
                <w:sz w:val="16"/>
              </w:rPr>
              <w:t>Numeric result is greater than the configured maximum.</w:t>
            </w:r>
          </w:p>
        </w:tc>
        <w:tc>
          <w:tcPr>
            <w:tcW w:type="dxa" w:w="3024"/>
            <w:vAlign w:val="center"/>
          </w:tcPr>
          <w:p>
            <w:pPr>
              <w:spacing w:after="0"/>
            </w:pPr>
            <w:r/>
            <w:r>
              <w:rPr>
                <w:rFonts w:ascii="Aptos" w:hAnsi="Aptos"/>
                <w:b w:val="0"/>
                <w:sz w:val="16"/>
              </w:rPr>
              <w:t>Red label + text.</w:t>
            </w:r>
          </w:p>
        </w:tc>
      </w:tr>
      <w:tr>
        <w:tc>
          <w:tcPr>
            <w:tcW w:type="dxa" w:w="2088"/>
            <w:vAlign w:val="center"/>
            <w:shd w:fill="F2F6FA"/>
          </w:tcPr>
          <w:p>
            <w:pPr>
              <w:spacing w:after="0"/>
            </w:pPr>
            <w:r/>
            <w:r>
              <w:rPr>
                <w:rFonts w:ascii="Aptos" w:hAnsi="Aptos"/>
                <w:b w:val="0"/>
                <w:sz w:val="16"/>
              </w:rPr>
              <w:t>Out of Range</w:t>
            </w:r>
          </w:p>
        </w:tc>
        <w:tc>
          <w:tcPr>
            <w:tcW w:type="dxa" w:w="4968"/>
            <w:vAlign w:val="center"/>
            <w:shd w:fill="F2F6FA"/>
          </w:tcPr>
          <w:p>
            <w:pPr>
              <w:spacing w:after="0"/>
            </w:pPr>
            <w:r/>
            <w:r>
              <w:rPr>
                <w:rFonts w:ascii="Aptos" w:hAnsi="Aptos"/>
                <w:b w:val="0"/>
                <w:sz w:val="16"/>
              </w:rPr>
              <w:t>General exception label where the parameter is outside its acceptable criteria, including future criteria not represented by a simple numeric lower/upper comparison.</w:t>
            </w:r>
          </w:p>
        </w:tc>
        <w:tc>
          <w:tcPr>
            <w:tcW w:type="dxa" w:w="3024"/>
            <w:vAlign w:val="center"/>
            <w:shd w:fill="F2F6FA"/>
          </w:tcPr>
          <w:p>
            <w:pPr>
              <w:spacing w:after="0"/>
            </w:pPr>
            <w:r/>
            <w:r>
              <w:rPr>
                <w:rFonts w:ascii="Aptos" w:hAnsi="Aptos"/>
                <w:b w:val="0"/>
                <w:sz w:val="16"/>
              </w:rPr>
              <w:t>Red/amber label + text; display the exact reason.</w:t>
            </w:r>
          </w:p>
        </w:tc>
      </w:tr>
      <w:tr>
        <w:tc>
          <w:tcPr>
            <w:tcW w:type="dxa" w:w="2088"/>
            <w:vAlign w:val="center"/>
          </w:tcPr>
          <w:p>
            <w:pPr>
              <w:spacing w:after="0"/>
            </w:pPr>
            <w:r/>
            <w:r>
              <w:rPr>
                <w:rFonts w:ascii="Aptos" w:hAnsi="Aptos"/>
                <w:b w:val="0"/>
                <w:sz w:val="16"/>
              </w:rPr>
              <w:t>Standard Not Configured</w:t>
            </w:r>
          </w:p>
        </w:tc>
        <w:tc>
          <w:tcPr>
            <w:tcW w:type="dxa" w:w="4968"/>
            <w:vAlign w:val="center"/>
          </w:tcPr>
          <w:p>
            <w:pPr>
              <w:spacing w:after="0"/>
            </w:pPr>
            <w:r/>
            <w:r>
              <w:rPr>
                <w:rFonts w:ascii="Aptos" w:hAnsi="Aptos"/>
                <w:b w:val="0"/>
                <w:sz w:val="16"/>
              </w:rPr>
              <w:t>No active standard applies to this parameter and test date.</w:t>
            </w:r>
          </w:p>
        </w:tc>
        <w:tc>
          <w:tcPr>
            <w:tcW w:type="dxa" w:w="3024"/>
            <w:vAlign w:val="center"/>
          </w:tcPr>
          <w:p>
            <w:pPr>
              <w:spacing w:after="0"/>
            </w:pPr>
            <w:r/>
            <w:r>
              <w:rPr>
                <w:rFonts w:ascii="Aptos" w:hAnsi="Aptos"/>
                <w:b w:val="0"/>
                <w:sz w:val="16"/>
              </w:rPr>
              <w:t>Grey label + text.</w:t>
            </w:r>
          </w:p>
        </w:tc>
      </w:tr>
      <w:tr>
        <w:tc>
          <w:tcPr>
            <w:tcW w:type="dxa" w:w="2088"/>
            <w:vAlign w:val="center"/>
            <w:shd w:fill="F2F6FA"/>
          </w:tcPr>
          <w:p>
            <w:pPr>
              <w:spacing w:after="0"/>
            </w:pPr>
            <w:r/>
            <w:r>
              <w:rPr>
                <w:rFonts w:ascii="Aptos" w:hAnsi="Aptos"/>
                <w:b w:val="0"/>
                <w:sz w:val="16"/>
              </w:rPr>
              <w:t>Not Evaluated</w:t>
            </w:r>
          </w:p>
        </w:tc>
        <w:tc>
          <w:tcPr>
            <w:tcW w:type="dxa" w:w="4968"/>
            <w:vAlign w:val="center"/>
            <w:shd w:fill="F2F6FA"/>
          </w:tcPr>
          <w:p>
            <w:pPr>
              <w:spacing w:after="0"/>
            </w:pPr>
            <w:r/>
            <w:r>
              <w:rPr>
                <w:rFonts w:ascii="Aptos" w:hAnsi="Aptos"/>
                <w:b w:val="0"/>
                <w:sz w:val="16"/>
              </w:rPr>
              <w:t>Qualitative result has no configured evaluation criteria, or evaluation is not applicable.</w:t>
            </w:r>
          </w:p>
        </w:tc>
        <w:tc>
          <w:tcPr>
            <w:tcW w:type="dxa" w:w="3024"/>
            <w:vAlign w:val="center"/>
            <w:shd w:fill="F2F6FA"/>
          </w:tcPr>
          <w:p>
            <w:pPr>
              <w:spacing w:after="0"/>
            </w:pPr>
            <w:r/>
            <w:r>
              <w:rPr>
                <w:rFonts w:ascii="Aptos" w:hAnsi="Aptos"/>
                <w:b w:val="0"/>
                <w:sz w:val="16"/>
              </w:rPr>
              <w:t>Grey label + text.</w:t>
            </w:r>
          </w:p>
        </w:tc>
      </w:tr>
      <w:tr>
        <w:tc>
          <w:tcPr>
            <w:tcW w:type="dxa" w:w="2088"/>
            <w:vAlign w:val="center"/>
          </w:tcPr>
          <w:p>
            <w:pPr>
              <w:spacing w:after="0"/>
            </w:pPr>
            <w:r/>
            <w:r>
              <w:rPr>
                <w:rFonts w:ascii="Aptos" w:hAnsi="Aptos"/>
                <w:b w:val="0"/>
                <w:sz w:val="16"/>
              </w:rPr>
              <w:t>Incomplete</w:t>
            </w:r>
          </w:p>
        </w:tc>
        <w:tc>
          <w:tcPr>
            <w:tcW w:type="dxa" w:w="4968"/>
            <w:vAlign w:val="center"/>
          </w:tcPr>
          <w:p>
            <w:pPr>
              <w:spacing w:after="0"/>
            </w:pPr>
            <w:r/>
            <w:r>
              <w:rPr>
                <w:rFonts w:ascii="Aptos" w:hAnsi="Aptos"/>
                <w:b w:val="0"/>
                <w:sz w:val="16"/>
              </w:rPr>
              <w:t>A required value is missing or invalid; no reliable evaluation can be made.</w:t>
            </w:r>
          </w:p>
        </w:tc>
        <w:tc>
          <w:tcPr>
            <w:tcW w:type="dxa" w:w="3024"/>
            <w:vAlign w:val="center"/>
          </w:tcPr>
          <w:p>
            <w:pPr>
              <w:spacing w:after="0"/>
            </w:pPr>
            <w:r/>
            <w:r>
              <w:rPr>
                <w:rFonts w:ascii="Aptos" w:hAnsi="Aptos"/>
                <w:b w:val="0"/>
                <w:sz w:val="16"/>
              </w:rPr>
              <w:t>Amber label + text.</w:t>
            </w:r>
          </w:p>
        </w:tc>
      </w:tr>
    </w:tbl>
    <w:p>
      <w:pPr>
        <w:spacing w:after="20"/>
      </w:pPr>
    </w:p>
    <w:p>
      <w:r>
        <w:t>Accessibility requirement: colour must never be the only indicator. Always display a readable status label/icon, and ensure contrast. The record-level summary should show the most serious applicable result while retaining each parameter's individual status. Define the overall record-status precedence in code and document it in tests; at minimum, any Above Range/Below Range/Out of Range parameter must make the record visibly flagged.</w:t>
      </w:r>
    </w:p>
    <w:p>
      <w:pPr>
        <w:pStyle w:val="Heading1"/>
      </w:pPr>
      <w:r>
        <w:t>8. Record Entry, Submission and Validation</w:t>
      </w:r>
    </w:p>
    <w:p>
      <w:pPr>
        <w:pStyle w:val="ListBullet"/>
        <w:spacing w:after="40"/>
      </w:pPr>
      <w:r>
        <w:t>The user selects a record type and the form renders only the fields relevant to that type.</w:t>
      </w:r>
    </w:p>
    <w:p>
      <w:pPr>
        <w:pStyle w:val="ListBullet"/>
        <w:spacing w:after="40"/>
      </w:pPr>
      <w:r>
        <w:t>Capture date and time as separate fields where the source specifies them. Record creation/submission timestamps must also be generated by the system.</w:t>
      </w:r>
    </w:p>
    <w:p>
      <w:pPr>
        <w:pStyle w:val="ListBullet"/>
        <w:spacing w:after="40"/>
      </w:pPr>
      <w:r>
        <w:t>Capture the authenticated submitter ID automatically; do not rely on a user typing their own name.</w:t>
      </w:r>
    </w:p>
    <w:p>
      <w:pPr>
        <w:pStyle w:val="ListBullet"/>
        <w:spacing w:after="40"/>
      </w:pPr>
      <w:r>
        <w:t>Validate numeric values as numbers and apply sensible input constraints; retain decimal precision appropriate to the parameter.</w:t>
      </w:r>
    </w:p>
    <w:p>
      <w:pPr>
        <w:pStyle w:val="ListBullet"/>
        <w:spacing w:after="40"/>
      </w:pPr>
      <w:r>
        <w:t>Require the fields designated as mandatory by the QC owner. Because the source sheet does not explicitly mark every field as mandatory, confirm mandatory/optional status during implementation review rather than guessing.</w:t>
      </w:r>
    </w:p>
    <w:p>
      <w:pPr>
        <w:pStyle w:val="ListBullet"/>
        <w:spacing w:after="40"/>
      </w:pPr>
      <w:r>
        <w:t>For values outside a range, allow submission and flag the result; do not silently block the record. If a future hold/release workflow is wanted, obtain separate approval.</w:t>
      </w:r>
    </w:p>
    <w:p>
      <w:pPr>
        <w:pStyle w:val="ListBullet"/>
        <w:spacing w:after="40"/>
      </w:pPr>
      <w:r>
        <w:t>Show a review step or clear summary before final submission so officers can catch data-entry errors.</w:t>
      </w:r>
    </w:p>
    <w:p>
      <w:pPr>
        <w:pStyle w:val="ListBullet"/>
        <w:spacing w:after="40"/>
      </w:pPr>
      <w:r>
        <w:t>On successful submission, show a confirmation and a unique record reference/ID.</w:t>
      </w:r>
    </w:p>
    <w:p>
      <w:pPr>
        <w:pStyle w:val="ListBullet"/>
        <w:spacing w:after="40"/>
      </w:pPr>
      <w:r>
        <w:t>Prevent duplicate submissions caused by repeated clicks/network retries where technically feasible.</w:t>
      </w:r>
    </w:p>
    <w:p>
      <w:pPr>
        <w:pStyle w:val="ListBullet"/>
        <w:spacing w:after="40"/>
      </w:pPr>
      <w:r>
        <w:t>Use server-side validation as well as client-side validation.</w:t>
      </w:r>
    </w:p>
    <w:p>
      <w:pPr>
        <w:pStyle w:val="Heading1"/>
      </w:pPr>
      <w:r>
        <w:t>9. History, Search and Record Integrity</w:t>
      </w:r>
    </w:p>
    <w:p>
      <w:r>
        <w:t>The QC history is shared across authorised QC users, not restricted to the submitting officer.</w:t>
      </w:r>
    </w:p>
    <w:p>
      <w:pPr>
        <w:pStyle w:val="ListBullet"/>
        <w:spacing w:after="40"/>
      </w:pPr>
      <w:r>
        <w:t>Filter by date range, category, record type/product/material, result status, and submitting QC Officer.</w:t>
      </w:r>
    </w:p>
    <w:p>
      <w:pPr>
        <w:pStyle w:val="ListBullet"/>
        <w:spacing w:after="40"/>
      </w:pPr>
      <w:r>
        <w:t>Search by batch number, supplier, origin or record reference where those fields exist.</w:t>
      </w:r>
    </w:p>
    <w:p>
      <w:pPr>
        <w:pStyle w:val="ListBullet"/>
        <w:spacing w:after="40"/>
      </w:pPr>
      <w:r>
        <w:t>Sort by test date/time and submission date; paginate results for performance.</w:t>
      </w:r>
    </w:p>
    <w:p>
      <w:pPr>
        <w:pStyle w:val="ListBullet"/>
        <w:spacing w:after="40"/>
      </w:pPr>
      <w:r>
        <w:t>Show key list columns: record reference, test date/time, record type, batch/material identifier where applicable, submitted by, submitted at, and status summary.</w:t>
      </w:r>
    </w:p>
    <w:p>
      <w:pPr>
        <w:pStyle w:val="ListBullet"/>
        <w:spacing w:after="40"/>
      </w:pPr>
      <w:r>
        <w:t>Open a detail view containing all captured fields, applicable standards and parameter-level statuses.</w:t>
      </w:r>
    </w:p>
    <w:p>
      <w:pPr>
        <w:pStyle w:val="ListBullet"/>
        <w:spacing w:after="40"/>
      </w:pPr>
      <w:r>
        <w:t>Preserve submitted records. If editing is allowed after submission, use an amendment/correction workflow that records the original value, changed value, reason, user and timestamp. Never silently overwrite history.</w:t>
      </w:r>
    </w:p>
    <w:p>
      <w:pPr>
        <w:pStyle w:val="ListBullet"/>
        <w:spacing w:after="40"/>
      </w:pPr>
      <w:r>
        <w:t>Provide an audit trail for record submission, amendment, standards changes and any administrative action.</w:t>
      </w:r>
    </w:p>
    <w:p>
      <w:pPr>
        <w:pStyle w:val="Heading1"/>
      </w:pPr>
      <w:r>
        <w:t>10. QC Manager Dashboard</w:t>
      </w:r>
    </w:p>
    <w:p>
      <w:r>
        <w:t>The dashboard should prioritise operational visibility and exceptions rather than decorative charts.</w:t>
      </w:r>
    </w:p>
    <w:p>
      <w:pPr>
        <w:pStyle w:val="ListBullet"/>
        <w:spacing w:after="40"/>
      </w:pPr>
      <w:r>
        <w:t>Total records submitted for the selected period.</w:t>
      </w:r>
    </w:p>
    <w:p>
      <w:pPr>
        <w:pStyle w:val="ListBullet"/>
        <w:spacing w:after="40"/>
      </w:pPr>
      <w:r>
        <w:t>Counts of In Range, Below Range, Above Range, Out of Range, Standard Not Configured and Incomplete/Not Evaluated.</w:t>
      </w:r>
    </w:p>
    <w:p>
      <w:pPr>
        <w:pStyle w:val="ListBullet"/>
        <w:spacing w:after="40"/>
      </w:pPr>
      <w:r>
        <w:t>Recent submissions and recent exceptions.</w:t>
      </w:r>
    </w:p>
    <w:p>
      <w:pPr>
        <w:pStyle w:val="ListBullet"/>
        <w:spacing w:after="40"/>
      </w:pPr>
      <w:r>
        <w:t>Breakdown by record category/type and submitting officer.</w:t>
      </w:r>
    </w:p>
    <w:p>
      <w:pPr>
        <w:pStyle w:val="ListBullet"/>
        <w:spacing w:after="40"/>
      </w:pPr>
      <w:r>
        <w:t>Date-range filter and quick period filters (e.g., today, last 7 days, this month).</w:t>
      </w:r>
    </w:p>
    <w:p>
      <w:pPr>
        <w:pStyle w:val="ListBullet"/>
        <w:spacing w:after="40"/>
      </w:pPr>
      <w:r>
        <w:t>A clear queue/list of records needing attention, with direct links to record details.</w:t>
      </w:r>
    </w:p>
    <w:p>
      <w:pPr>
        <w:pStyle w:val="ListBullet"/>
        <w:spacing w:after="40"/>
      </w:pPr>
      <w:r>
        <w:t>Standards configuration shortcut and a view of recently changed standards.</w:t>
      </w:r>
    </w:p>
    <w:p>
      <w:r>
        <w:t>Dashboard figures must be computed from persisted QC records and evaluated statuses, not hard-coded sample values. Empty-state messaging should be clear when no records exist.</w:t>
      </w:r>
    </w:p>
    <w:p>
      <w:pPr>
        <w:pStyle w:val="Heading1"/>
      </w:pPr>
      <w:r>
        <w:t>11. Print and Export — Deferred Design</w:t>
      </w:r>
    </w:p>
    <w:p>
      <w:r>
        <w:t>The exact print format is deliberately postponed for a later development stage. Do not treat the print design as approved at this stage. However, implement cleanly structured record data so a later print template can render a professional A4 document with the company logo, record details, test results, standards, statuses and any required signature/approval fields.</w:t>
      </w:r>
    </w:p>
    <w:p>
      <w:pPr>
        <w:pStyle w:val="ListBullet"/>
        <w:spacing w:after="40"/>
      </w:pPr>
      <w:r>
        <w:t>Do not finalise layout, signatures, approval language, page breaks or official document numbering until the user confirms the required format.</w:t>
      </w:r>
    </w:p>
    <w:p>
      <w:pPr>
        <w:pStyle w:val="ListBullet"/>
        <w:spacing w:after="40"/>
      </w:pPr>
      <w:r>
        <w:t>If existing export infrastructure can be safely reused, ensure QC records can later be exported without exposing them to non-QC users.</w:t>
      </w:r>
    </w:p>
    <w:p>
      <w:pPr>
        <w:pStyle w:val="ListBullet"/>
        <w:spacing w:after="40"/>
      </w:pPr>
      <w:r>
        <w:t>Print/export endpoints must enforce the same QC permissions as the module itself.</w:t>
      </w:r>
    </w:p>
    <w:p>
      <w:pPr>
        <w:pStyle w:val="Heading1"/>
      </w:pPr>
      <w:r>
        <w:t>12. Suggested Data Model (Implementation Guidance)</w:t>
      </w:r>
    </w:p>
    <w:p>
      <w:r>
        <w:t>Adapt names and types to the existing Supabase schema and coding conventions. The following is a logical model, not a demand to create these exact table names without inspecting the current schema.</w:t>
      </w:r>
    </w:p>
    <w:tbl>
      <w:tblPr>
        <w:tblStyle w:val="TableGrid"/>
        <w:tblW w:type="auto" w:w="0"/>
        <w:jc w:val="center"/>
        <w:tblLook w:firstColumn="1" w:firstRow="1" w:lastColumn="0" w:lastRow="0" w:noHBand="0" w:noVBand="1" w:val="04A0"/>
      </w:tblPr>
      <w:tblGrid>
        <w:gridCol w:w="5040"/>
        <w:gridCol w:w="5040"/>
      </w:tblGrid>
      <w:tr>
        <w:tc>
          <w:tcPr>
            <w:tcW w:type="dxa" w:w="2520"/>
            <w:vAlign w:val="center"/>
            <w:shd w:fill="17365D"/>
          </w:tcPr>
          <w:p>
            <w:pPr>
              <w:spacing w:after="0"/>
            </w:pPr>
            <w:r/>
            <w:r>
              <w:rPr>
                <w:rFonts w:ascii="Aptos" w:hAnsi="Aptos"/>
                <w:b/>
                <w:color w:val="FFFFFF"/>
                <w:sz w:val="16"/>
              </w:rPr>
              <w:t>Logical entity</w:t>
            </w:r>
          </w:p>
        </w:tc>
        <w:tc>
          <w:tcPr>
            <w:tcW w:type="dxa" w:w="7200"/>
            <w:vAlign w:val="center"/>
            <w:shd w:fill="17365D"/>
          </w:tcPr>
          <w:p>
            <w:pPr>
              <w:spacing w:after="0"/>
            </w:pPr>
            <w:r/>
            <w:r>
              <w:rPr>
                <w:rFonts w:ascii="Aptos" w:hAnsi="Aptos"/>
                <w:b/>
                <w:color w:val="FFFFFF"/>
                <w:sz w:val="16"/>
              </w:rPr>
              <w:t>Purpose / key fields</w:t>
            </w:r>
          </w:p>
        </w:tc>
      </w:tr>
      <w:tr>
        <w:tc>
          <w:tcPr>
            <w:tcW w:type="dxa" w:w="2520"/>
            <w:vAlign w:val="center"/>
          </w:tcPr>
          <w:p>
            <w:pPr>
              <w:spacing w:after="0"/>
            </w:pPr>
            <w:r/>
            <w:r>
              <w:rPr>
                <w:rFonts w:ascii="Aptos" w:hAnsi="Aptos"/>
                <w:b w:val="0"/>
                <w:sz w:val="16"/>
              </w:rPr>
              <w:t>qc_records</w:t>
            </w:r>
          </w:p>
        </w:tc>
        <w:tc>
          <w:tcPr>
            <w:tcW w:type="dxa" w:w="7200"/>
            <w:vAlign w:val="center"/>
          </w:tcPr>
          <w:p>
            <w:pPr>
              <w:spacing w:after="0"/>
            </w:pPr>
            <w:r/>
            <w:r>
              <w:rPr>
                <w:rFonts w:ascii="Aptos" w:hAnsi="Aptos"/>
                <w:b w:val="0"/>
                <w:sz w:val="16"/>
              </w:rPr>
              <w:t>id, record_reference, category, record_type, test_date, test_time, submitted_by, submitted_at, record_status, payload/typed fields, created_at.</w:t>
            </w:r>
          </w:p>
        </w:tc>
      </w:tr>
      <w:tr>
        <w:tc>
          <w:tcPr>
            <w:tcW w:type="dxa" w:w="2520"/>
            <w:vAlign w:val="center"/>
            <w:shd w:fill="F2F6FA"/>
          </w:tcPr>
          <w:p>
            <w:pPr>
              <w:spacing w:after="0"/>
            </w:pPr>
            <w:r/>
            <w:r>
              <w:rPr>
                <w:rFonts w:ascii="Aptos" w:hAnsi="Aptos"/>
                <w:b w:val="0"/>
                <w:sz w:val="16"/>
              </w:rPr>
              <w:t>qc_record_results</w:t>
            </w:r>
          </w:p>
        </w:tc>
        <w:tc>
          <w:tcPr>
            <w:tcW w:type="dxa" w:w="7200"/>
            <w:vAlign w:val="center"/>
            <w:shd w:fill="F2F6FA"/>
          </w:tcPr>
          <w:p>
            <w:pPr>
              <w:spacing w:after="0"/>
            </w:pPr>
            <w:r/>
            <w:r>
              <w:rPr>
                <w:rFonts w:ascii="Aptos" w:hAnsi="Aptos"/>
                <w:b w:val="0"/>
                <w:sz w:val="16"/>
              </w:rPr>
              <w:t>id, qc_record_id, parameter_key, numeric_value/text_value, unit, standard_version_id, evaluated_status, evaluated_at, evaluation_note.</w:t>
            </w:r>
          </w:p>
        </w:tc>
      </w:tr>
      <w:tr>
        <w:tc>
          <w:tcPr>
            <w:tcW w:type="dxa" w:w="2520"/>
            <w:vAlign w:val="center"/>
          </w:tcPr>
          <w:p>
            <w:pPr>
              <w:spacing w:after="0"/>
            </w:pPr>
            <w:r/>
            <w:r>
              <w:rPr>
                <w:rFonts w:ascii="Aptos" w:hAnsi="Aptos"/>
                <w:b w:val="0"/>
                <w:sz w:val="16"/>
              </w:rPr>
              <w:t>qc_standards</w:t>
            </w:r>
          </w:p>
        </w:tc>
        <w:tc>
          <w:tcPr>
            <w:tcW w:type="dxa" w:w="7200"/>
            <w:vAlign w:val="center"/>
          </w:tcPr>
          <w:p>
            <w:pPr>
              <w:spacing w:after="0"/>
            </w:pPr>
            <w:r/>
            <w:r>
              <w:rPr>
                <w:rFonts w:ascii="Aptos" w:hAnsi="Aptos"/>
                <w:b w:val="0"/>
                <w:sz w:val="16"/>
              </w:rPr>
              <w:t>id, record_type, parameter_key, unit, lower_limit, upper_limit, boundary_mode, effective_from, effective_to, is_active, created_by, created_at.</w:t>
            </w:r>
          </w:p>
        </w:tc>
      </w:tr>
      <w:tr>
        <w:tc>
          <w:tcPr>
            <w:tcW w:type="dxa" w:w="2520"/>
            <w:vAlign w:val="center"/>
            <w:shd w:fill="F2F6FA"/>
          </w:tcPr>
          <w:p>
            <w:pPr>
              <w:spacing w:after="0"/>
            </w:pPr>
            <w:r/>
            <w:r>
              <w:rPr>
                <w:rFonts w:ascii="Aptos" w:hAnsi="Aptos"/>
                <w:b w:val="0"/>
                <w:sz w:val="16"/>
              </w:rPr>
              <w:t>qc_standard_change_log</w:t>
            </w:r>
          </w:p>
        </w:tc>
        <w:tc>
          <w:tcPr>
            <w:tcW w:type="dxa" w:w="7200"/>
            <w:vAlign w:val="center"/>
            <w:shd w:fill="F2F6FA"/>
          </w:tcPr>
          <w:p>
            <w:pPr>
              <w:spacing w:after="0"/>
            </w:pPr>
            <w:r/>
            <w:r>
              <w:rPr>
                <w:rFonts w:ascii="Aptos" w:hAnsi="Aptos"/>
                <w:b w:val="0"/>
                <w:sz w:val="16"/>
              </w:rPr>
              <w:t>id, standard_id, previous_values, new_values, reason, changed_by, changed_at.</w:t>
            </w:r>
          </w:p>
        </w:tc>
      </w:tr>
      <w:tr>
        <w:tc>
          <w:tcPr>
            <w:tcW w:type="dxa" w:w="2520"/>
            <w:vAlign w:val="center"/>
          </w:tcPr>
          <w:p>
            <w:pPr>
              <w:spacing w:after="0"/>
            </w:pPr>
            <w:r/>
            <w:r>
              <w:rPr>
                <w:rFonts w:ascii="Aptos" w:hAnsi="Aptos"/>
                <w:b w:val="0"/>
                <w:sz w:val="16"/>
              </w:rPr>
              <w:t>qc_record_amendments</w:t>
            </w:r>
          </w:p>
        </w:tc>
        <w:tc>
          <w:tcPr>
            <w:tcW w:type="dxa" w:w="7200"/>
            <w:vAlign w:val="center"/>
          </w:tcPr>
          <w:p>
            <w:pPr>
              <w:spacing w:after="0"/>
            </w:pPr>
            <w:r/>
            <w:r>
              <w:rPr>
                <w:rFonts w:ascii="Aptos" w:hAnsi="Aptos"/>
                <w:b w:val="0"/>
                <w:sz w:val="16"/>
              </w:rPr>
              <w:t>id, qc_record_id, field/parameter, old_value, new_value, reason, amended_by, amended_at.</w:t>
            </w:r>
          </w:p>
        </w:tc>
      </w:tr>
    </w:tbl>
    <w:p>
      <w:pPr>
        <w:spacing w:after="20"/>
      </w:pPr>
    </w:p>
    <w:p>
      <w:r>
        <w:t>Use typed database columns or a carefully validated structured payload where appropriate. If a flexible JSON payload is selected, still validate record-type-specific fields server-side and keep parameter keys stable for standards evaluation and reporting.</w:t>
      </w:r>
    </w:p>
    <w:p>
      <w:pPr>
        <w:pStyle w:val="Heading1"/>
      </w:pPr>
      <w:r>
        <w:t>13. Technical Integration and Security</w:t>
      </w:r>
    </w:p>
    <w:p>
      <w:pPr>
        <w:pStyle w:val="ListBullet"/>
        <w:spacing w:after="40"/>
      </w:pPr>
      <w:r>
        <w:t>Use the existing Next.js App Router structure and Supabase integration. Follow established project patterns for pages, API routes, form handling, validation and errors.</w:t>
      </w:r>
    </w:p>
    <w:p>
      <w:pPr>
        <w:pStyle w:val="ListBullet"/>
        <w:spacing w:after="40"/>
      </w:pPr>
      <w:r>
        <w:t>Add QC-specific pages/components and server endpoints without refactoring unrelated modules unless necessary.</w:t>
      </w:r>
    </w:p>
    <w:p>
      <w:pPr>
        <w:pStyle w:val="ListBullet"/>
        <w:spacing w:after="40"/>
      </w:pPr>
      <w:r>
        <w:t>Use database migrations or a versioned SQL script for new tables, indexes, constraints and policies.</w:t>
      </w:r>
    </w:p>
    <w:p>
      <w:pPr>
        <w:pStyle w:val="ListBullet"/>
        <w:spacing w:after="40"/>
      </w:pPr>
      <w:r>
        <w:t>Enforce role permissions on every server endpoint and database access path. UI route hiding alone is insufficient.</w:t>
      </w:r>
    </w:p>
    <w:p>
      <w:pPr>
        <w:pStyle w:val="ListBullet"/>
        <w:spacing w:after="40"/>
      </w:pPr>
      <w:r>
        <w:t>Use Supabase Row Level Security where consistent with the existing project. Verify that users cannot bypass the UI and query restricted QC data directly.</w:t>
      </w:r>
    </w:p>
    <w:p>
      <w:pPr>
        <w:pStyle w:val="ListBullet"/>
        <w:spacing w:after="40"/>
      </w:pPr>
      <w:r>
        <w:t>Never expose the Supabase service-role key in client-side code. Keep privileged standard changes in a trusted server-side path.</w:t>
      </w:r>
    </w:p>
    <w:p>
      <w:pPr>
        <w:pStyle w:val="ListBullet"/>
        <w:spacing w:after="40"/>
      </w:pPr>
      <w:r>
        <w:t>Add indexes for test_date, submitted_at, record_type, record_status, submitted_by and batch/reference fields where useful.</w:t>
      </w:r>
    </w:p>
    <w:p>
      <w:pPr>
        <w:pStyle w:val="ListBullet"/>
        <w:spacing w:after="40"/>
      </w:pPr>
      <w:r>
        <w:t>Use transactions or equivalent safeguards when saving a record and its parameter evaluations so partial saves do not create misleading status summaries.</w:t>
      </w:r>
    </w:p>
    <w:p>
      <w:pPr>
        <w:pStyle w:val="ListBullet"/>
        <w:spacing w:after="40"/>
      </w:pPr>
      <w:r>
        <w:t>Use the application's existing design system, navigation and session handling; keep screens responsive and consistent with the current dashboard.</w:t>
      </w:r>
    </w:p>
    <w:p>
      <w:pPr>
        <w:pStyle w:val="ListBullet"/>
        <w:spacing w:after="40"/>
      </w:pPr>
      <w:r>
        <w:t>Do not change existing production tables or permissions as part of the QC migration unless explicitly reviewed and approved.</w:t>
      </w:r>
    </w:p>
    <w:p>
      <w:pPr>
        <w:pStyle w:val="Heading1"/>
      </w:pPr>
      <w:r>
        <w:t>14. Acceptance Criteria</w:t>
      </w:r>
    </w:p>
    <w:p>
      <w:pPr>
        <w:pStyle w:val="ListNumber"/>
        <w:spacing w:after="40"/>
      </w:pPr>
      <w:r>
        <w:t>Authorised QC Officers can access the QC module; unauthorised roles cannot access QC pages, APIs, data or exports.</w:t>
      </w:r>
    </w:p>
    <w:p>
      <w:pPr>
        <w:pStyle w:val="ListNumber"/>
        <w:spacing w:after="40"/>
      </w:pPr>
      <w:r>
        <w:t>QC Officer A can view records submitted by QC Officer B, and vice versa.</w:t>
      </w:r>
    </w:p>
    <w:p>
      <w:pPr>
        <w:pStyle w:val="ListNumber"/>
        <w:spacing w:after="40"/>
      </w:pPr>
      <w:r>
        <w:t>QC Officers can create and submit each specified record type with the appropriate fields.</w:t>
      </w:r>
    </w:p>
    <w:p>
      <w:pPr>
        <w:pStyle w:val="ListNumber"/>
        <w:spacing w:after="40"/>
      </w:pPr>
      <w:r>
        <w:t>The QC Manager has a dashboard with live counts and exception visibility.</w:t>
      </w:r>
    </w:p>
    <w:p>
      <w:pPr>
        <w:pStyle w:val="ListNumber"/>
        <w:spacing w:after="40"/>
      </w:pPr>
      <w:r>
        <w:t>Only the QC Manager can create or change standards; attempts by an Officer are denied server-side.</w:t>
      </w:r>
    </w:p>
    <w:p>
      <w:pPr>
        <w:pStyle w:val="ListNumber"/>
        <w:spacing w:after="40"/>
      </w:pPr>
      <w:r>
        <w:t>The six supplied standard definitions are seeded/configured correctly: Raw Ethanol alcohol %, Raw Ethanol pH, Reverse Osmosis pH, Blending Water pH, Bitters alcohol %, Bitters pH, Ginger Liquor alcohol %, and Ginger Liquor pH (eight parameter limits across the listed records).</w:t>
      </w:r>
    </w:p>
    <w:p>
      <w:pPr>
        <w:pStyle w:val="ListNumber"/>
        <w:spacing w:after="40"/>
      </w:pPr>
      <w:r>
        <w:t>Values below, within and above configured ranges receive the correct status and colour/text label.</w:t>
      </w:r>
    </w:p>
    <w:p>
      <w:pPr>
        <w:pStyle w:val="ListNumber"/>
        <w:spacing w:after="40"/>
      </w:pPr>
      <w:r>
        <w:t>Parameters with no standard are explicitly marked Standard Not Configured or Not Evaluated, not incorrectly marked In Range.</w:t>
      </w:r>
    </w:p>
    <w:p>
      <w:pPr>
        <w:pStyle w:val="ListNumber"/>
        <w:spacing w:after="40"/>
      </w:pPr>
      <w:r>
        <w:t>History filters work for date, type/category, status and officer.</w:t>
      </w:r>
    </w:p>
    <w:p>
      <w:pPr>
        <w:pStyle w:val="ListNumber"/>
        <w:spacing w:after="40"/>
      </w:pPr>
      <w:r>
        <w:t>Submitted records retain author identity, submission timestamps and standard version used for evaluation.</w:t>
      </w:r>
    </w:p>
    <w:p>
      <w:pPr>
        <w:pStyle w:val="ListNumber"/>
        <w:spacing w:after="40"/>
      </w:pPr>
      <w:r>
        <w:t>Changes to standards and amendments to records are auditable.</w:t>
      </w:r>
    </w:p>
    <w:p>
      <w:pPr>
        <w:pStyle w:val="ListNumber"/>
        <w:spacing w:after="40"/>
      </w:pPr>
      <w:r>
        <w:t>No existing production-management workflow regresses; existing production forms, history and export still work.</w:t>
      </w:r>
    </w:p>
    <w:p>
      <w:pPr>
        <w:pStyle w:val="ListNumber"/>
        <w:spacing w:after="40"/>
      </w:pPr>
      <w:r>
        <w:t>The exact print layout remains deferred, but record data and permissions are suitable for a later print-template implementation.</w:t>
      </w:r>
    </w:p>
    <w:p>
      <w:pPr>
        <w:pStyle w:val="Heading1"/>
      </w:pPr>
      <w:r>
        <w:t>15. Recommended Implementation Sequence</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7365D"/>
          </w:tcPr>
          <w:p>
            <w:pPr>
              <w:spacing w:after="0"/>
            </w:pPr>
            <w:r/>
            <w:r>
              <w:rPr>
                <w:rFonts w:ascii="Aptos" w:hAnsi="Aptos"/>
                <w:b/>
                <w:color w:val="FFFFFF"/>
                <w:sz w:val="16"/>
              </w:rPr>
              <w:t>Phase</w:t>
            </w:r>
          </w:p>
        </w:tc>
        <w:tc>
          <w:tcPr>
            <w:tcW w:type="dxa" w:w="5112"/>
            <w:vAlign w:val="center"/>
            <w:shd w:fill="17365D"/>
          </w:tcPr>
          <w:p>
            <w:pPr>
              <w:spacing w:after="0"/>
            </w:pPr>
            <w:r/>
            <w:r>
              <w:rPr>
                <w:rFonts w:ascii="Aptos" w:hAnsi="Aptos"/>
                <w:b/>
                <w:color w:val="FFFFFF"/>
                <w:sz w:val="16"/>
              </w:rPr>
              <w:t>Work items</w:t>
            </w:r>
          </w:p>
        </w:tc>
        <w:tc>
          <w:tcPr>
            <w:tcW w:type="dxa" w:w="2880"/>
            <w:vAlign w:val="center"/>
            <w:shd w:fill="17365D"/>
          </w:tcPr>
          <w:p>
            <w:pPr>
              <w:spacing w:after="0"/>
            </w:pPr>
            <w:r/>
            <w:r>
              <w:rPr>
                <w:rFonts w:ascii="Aptos" w:hAnsi="Aptos"/>
                <w:b/>
                <w:color w:val="FFFFFF"/>
                <w:sz w:val="16"/>
              </w:rPr>
              <w:t>Completion gate</w:t>
            </w:r>
          </w:p>
        </w:tc>
      </w:tr>
      <w:tr>
        <w:tc>
          <w:tcPr>
            <w:tcW w:type="dxa" w:w="1800"/>
            <w:vAlign w:val="center"/>
          </w:tcPr>
          <w:p>
            <w:pPr>
              <w:spacing w:after="0"/>
            </w:pPr>
            <w:r/>
            <w:r>
              <w:rPr>
                <w:rFonts w:ascii="Aptos" w:hAnsi="Aptos"/>
                <w:b w:val="0"/>
                <w:sz w:val="16"/>
              </w:rPr>
              <w:t>1. Codebase review</w:t>
            </w:r>
          </w:p>
        </w:tc>
        <w:tc>
          <w:tcPr>
            <w:tcW w:type="dxa" w:w="5112"/>
            <w:vAlign w:val="center"/>
          </w:tcPr>
          <w:p>
            <w:pPr>
              <w:spacing w:after="0"/>
            </w:pPr>
            <w:r/>
            <w:r>
              <w:rPr>
                <w:rFonts w:ascii="Aptos" w:hAnsi="Aptos"/>
                <w:b w:val="0"/>
                <w:sz w:val="16"/>
              </w:rPr>
              <w:t>Confirm current auth roles, dashboard navigation, Supabase schema, API patterns, styling and deployment setup.</w:t>
            </w:r>
          </w:p>
        </w:tc>
        <w:tc>
          <w:tcPr>
            <w:tcW w:type="dxa" w:w="2880"/>
            <w:vAlign w:val="center"/>
          </w:tcPr>
          <w:p>
            <w:pPr>
              <w:spacing w:after="0"/>
            </w:pPr>
            <w:r/>
            <w:r>
              <w:rPr>
                <w:rFonts w:ascii="Aptos" w:hAnsi="Aptos"/>
                <w:b w:val="0"/>
                <w:sz w:val="16"/>
              </w:rPr>
              <w:t>Developer records the integration points and any role/schema assumptions.</w:t>
            </w:r>
          </w:p>
        </w:tc>
      </w:tr>
      <w:tr>
        <w:tc>
          <w:tcPr>
            <w:tcW w:type="dxa" w:w="1800"/>
            <w:vAlign w:val="center"/>
            <w:shd w:fill="F2F6FA"/>
          </w:tcPr>
          <w:p>
            <w:pPr>
              <w:spacing w:after="0"/>
            </w:pPr>
            <w:r/>
            <w:r>
              <w:rPr>
                <w:rFonts w:ascii="Aptos" w:hAnsi="Aptos"/>
                <w:b w:val="0"/>
                <w:sz w:val="16"/>
              </w:rPr>
              <w:t>2. Database and permissions</w:t>
            </w:r>
          </w:p>
        </w:tc>
        <w:tc>
          <w:tcPr>
            <w:tcW w:type="dxa" w:w="5112"/>
            <w:vAlign w:val="center"/>
            <w:shd w:fill="F2F6FA"/>
          </w:tcPr>
          <w:p>
            <w:pPr>
              <w:spacing w:after="0"/>
            </w:pPr>
            <w:r/>
            <w:r>
              <w:rPr>
                <w:rFonts w:ascii="Aptos" w:hAnsi="Aptos"/>
                <w:b w:val="0"/>
                <w:sz w:val="16"/>
              </w:rPr>
              <w:t>Create QC tables/migration, indexes, RLS/policies and role enforcement.</w:t>
            </w:r>
          </w:p>
        </w:tc>
        <w:tc>
          <w:tcPr>
            <w:tcW w:type="dxa" w:w="2880"/>
            <w:vAlign w:val="center"/>
            <w:shd w:fill="F2F6FA"/>
          </w:tcPr>
          <w:p>
            <w:pPr>
              <w:spacing w:after="0"/>
            </w:pPr>
            <w:r/>
            <w:r>
              <w:rPr>
                <w:rFonts w:ascii="Aptos" w:hAnsi="Aptos"/>
                <w:b w:val="0"/>
                <w:sz w:val="16"/>
              </w:rPr>
              <w:t>Unauthorised access tests pass; existing production data unaffected.</w:t>
            </w:r>
          </w:p>
        </w:tc>
      </w:tr>
      <w:tr>
        <w:tc>
          <w:tcPr>
            <w:tcW w:type="dxa" w:w="1800"/>
            <w:vAlign w:val="center"/>
          </w:tcPr>
          <w:p>
            <w:pPr>
              <w:spacing w:after="0"/>
            </w:pPr>
            <w:r/>
            <w:r>
              <w:rPr>
                <w:rFonts w:ascii="Aptos" w:hAnsi="Aptos"/>
                <w:b w:val="0"/>
                <w:sz w:val="16"/>
              </w:rPr>
              <w:t>3. Record entry</w:t>
            </w:r>
          </w:p>
        </w:tc>
        <w:tc>
          <w:tcPr>
            <w:tcW w:type="dxa" w:w="5112"/>
            <w:vAlign w:val="center"/>
          </w:tcPr>
          <w:p>
            <w:pPr>
              <w:spacing w:after="0"/>
            </w:pPr>
            <w:r/>
            <w:r>
              <w:rPr>
                <w:rFonts w:ascii="Aptos" w:hAnsi="Aptos"/>
                <w:b w:val="0"/>
                <w:sz w:val="16"/>
              </w:rPr>
              <w:t>Implement category/type selection and forms for Water, Product and Raw Materials.</w:t>
            </w:r>
          </w:p>
        </w:tc>
        <w:tc>
          <w:tcPr>
            <w:tcW w:type="dxa" w:w="2880"/>
            <w:vAlign w:val="center"/>
          </w:tcPr>
          <w:p>
            <w:pPr>
              <w:spacing w:after="0"/>
            </w:pPr>
            <w:r/>
            <w:r>
              <w:rPr>
                <w:rFonts w:ascii="Aptos" w:hAnsi="Aptos"/>
                <w:b w:val="0"/>
                <w:sz w:val="16"/>
              </w:rPr>
              <w:t>Each form saves and validates correct fields.</w:t>
            </w:r>
          </w:p>
        </w:tc>
      </w:tr>
      <w:tr>
        <w:tc>
          <w:tcPr>
            <w:tcW w:type="dxa" w:w="1800"/>
            <w:vAlign w:val="center"/>
            <w:shd w:fill="F2F6FA"/>
          </w:tcPr>
          <w:p>
            <w:pPr>
              <w:spacing w:after="0"/>
            </w:pPr>
            <w:r/>
            <w:r>
              <w:rPr>
                <w:rFonts w:ascii="Aptos" w:hAnsi="Aptos"/>
                <w:b w:val="0"/>
                <w:sz w:val="16"/>
              </w:rPr>
              <w:t>4. Standards engine</w:t>
            </w:r>
          </w:p>
        </w:tc>
        <w:tc>
          <w:tcPr>
            <w:tcW w:type="dxa" w:w="5112"/>
            <w:vAlign w:val="center"/>
            <w:shd w:fill="F2F6FA"/>
          </w:tcPr>
          <w:p>
            <w:pPr>
              <w:spacing w:after="0"/>
            </w:pPr>
            <w:r/>
            <w:r>
              <w:rPr>
                <w:rFonts w:ascii="Aptos" w:hAnsi="Aptos"/>
                <w:b w:val="0"/>
                <w:sz w:val="16"/>
              </w:rPr>
              <w:t>Implement manager-only settings, seeded approved ranges, effective dates, snapshots and status calculation.</w:t>
            </w:r>
          </w:p>
        </w:tc>
        <w:tc>
          <w:tcPr>
            <w:tcW w:type="dxa" w:w="2880"/>
            <w:vAlign w:val="center"/>
            <w:shd w:fill="F2F6FA"/>
          </w:tcPr>
          <w:p>
            <w:pPr>
              <w:spacing w:after="0"/>
            </w:pPr>
            <w:r/>
            <w:r>
              <w:rPr>
                <w:rFonts w:ascii="Aptos" w:hAnsi="Aptos"/>
                <w:b w:val="0"/>
                <w:sz w:val="16"/>
              </w:rPr>
              <w:t>Boundary and below/above tests pass.</w:t>
            </w:r>
          </w:p>
        </w:tc>
      </w:tr>
      <w:tr>
        <w:tc>
          <w:tcPr>
            <w:tcW w:type="dxa" w:w="1800"/>
            <w:vAlign w:val="center"/>
          </w:tcPr>
          <w:p>
            <w:pPr>
              <w:spacing w:after="0"/>
            </w:pPr>
            <w:r/>
            <w:r>
              <w:rPr>
                <w:rFonts w:ascii="Aptos" w:hAnsi="Aptos"/>
                <w:b w:val="0"/>
                <w:sz w:val="16"/>
              </w:rPr>
              <w:t>5. History and dashboard</w:t>
            </w:r>
          </w:p>
        </w:tc>
        <w:tc>
          <w:tcPr>
            <w:tcW w:type="dxa" w:w="5112"/>
            <w:vAlign w:val="center"/>
          </w:tcPr>
          <w:p>
            <w:pPr>
              <w:spacing w:after="0"/>
            </w:pPr>
            <w:r/>
            <w:r>
              <w:rPr>
                <w:rFonts w:ascii="Aptos" w:hAnsi="Aptos"/>
                <w:b w:val="0"/>
                <w:sz w:val="16"/>
              </w:rPr>
              <w:t>Shared history, filters, record detail, exception list and manager dashboard.</w:t>
            </w:r>
          </w:p>
        </w:tc>
        <w:tc>
          <w:tcPr>
            <w:tcW w:type="dxa" w:w="2880"/>
            <w:vAlign w:val="center"/>
          </w:tcPr>
          <w:p>
            <w:pPr>
              <w:spacing w:after="0"/>
            </w:pPr>
            <w:r/>
            <w:r>
              <w:rPr>
                <w:rFonts w:ascii="Aptos" w:hAnsi="Aptos"/>
                <w:b w:val="0"/>
                <w:sz w:val="16"/>
              </w:rPr>
              <w:t>Cross-officer visibility and dashboard totals verified.</w:t>
            </w:r>
          </w:p>
        </w:tc>
      </w:tr>
      <w:tr>
        <w:tc>
          <w:tcPr>
            <w:tcW w:type="dxa" w:w="1800"/>
            <w:vAlign w:val="center"/>
            <w:shd w:fill="F2F6FA"/>
          </w:tcPr>
          <w:p>
            <w:pPr>
              <w:spacing w:after="0"/>
            </w:pPr>
            <w:r/>
            <w:r>
              <w:rPr>
                <w:rFonts w:ascii="Aptos" w:hAnsi="Aptos"/>
                <w:b w:val="0"/>
                <w:sz w:val="16"/>
              </w:rPr>
              <w:t>6. Audit and QA</w:t>
            </w:r>
          </w:p>
        </w:tc>
        <w:tc>
          <w:tcPr>
            <w:tcW w:type="dxa" w:w="5112"/>
            <w:vAlign w:val="center"/>
            <w:shd w:fill="F2F6FA"/>
          </w:tcPr>
          <w:p>
            <w:pPr>
              <w:spacing w:after="0"/>
            </w:pPr>
            <w:r/>
            <w:r>
              <w:rPr>
                <w:rFonts w:ascii="Aptos" w:hAnsi="Aptos"/>
                <w:b w:val="0"/>
                <w:sz w:val="16"/>
              </w:rPr>
              <w:t>Amendment/change logs, security checks, regression testing and responsive review.</w:t>
            </w:r>
          </w:p>
        </w:tc>
        <w:tc>
          <w:tcPr>
            <w:tcW w:type="dxa" w:w="2880"/>
            <w:vAlign w:val="center"/>
            <w:shd w:fill="F2F6FA"/>
          </w:tcPr>
          <w:p>
            <w:pPr>
              <w:spacing w:after="0"/>
            </w:pPr>
            <w:r/>
            <w:r>
              <w:rPr>
                <w:rFonts w:ascii="Aptos" w:hAnsi="Aptos"/>
                <w:b w:val="0"/>
                <w:sz w:val="16"/>
              </w:rPr>
              <w:t>Acceptance criteria signed off.</w:t>
            </w:r>
          </w:p>
        </w:tc>
      </w:tr>
      <w:tr>
        <w:tc>
          <w:tcPr>
            <w:tcW w:type="dxa" w:w="1800"/>
            <w:vAlign w:val="center"/>
          </w:tcPr>
          <w:p>
            <w:pPr>
              <w:spacing w:after="0"/>
            </w:pPr>
            <w:r/>
            <w:r>
              <w:rPr>
                <w:rFonts w:ascii="Aptos" w:hAnsi="Aptos"/>
                <w:b w:val="0"/>
                <w:sz w:val="16"/>
              </w:rPr>
              <w:t>7. Print design later</w:t>
            </w:r>
          </w:p>
        </w:tc>
        <w:tc>
          <w:tcPr>
            <w:tcW w:type="dxa" w:w="5112"/>
            <w:vAlign w:val="center"/>
          </w:tcPr>
          <w:p>
            <w:pPr>
              <w:spacing w:after="0"/>
            </w:pPr>
            <w:r/>
            <w:r>
              <w:rPr>
                <w:rFonts w:ascii="Aptos" w:hAnsi="Aptos"/>
                <w:b w:val="0"/>
                <w:sz w:val="16"/>
              </w:rPr>
              <w:t>Confirm official A4 layout, logo, signature/approval fields and print/export requirements with the user.</w:t>
            </w:r>
          </w:p>
        </w:tc>
        <w:tc>
          <w:tcPr>
            <w:tcW w:type="dxa" w:w="2880"/>
            <w:vAlign w:val="center"/>
          </w:tcPr>
          <w:p>
            <w:pPr>
              <w:spacing w:after="0"/>
            </w:pPr>
            <w:r/>
            <w:r>
              <w:rPr>
                <w:rFonts w:ascii="Aptos" w:hAnsi="Aptos"/>
                <w:b w:val="0"/>
                <w:sz w:val="16"/>
              </w:rPr>
              <w:t>Separate approval before print template is considered final.</w:t>
            </w:r>
          </w:p>
        </w:tc>
      </w:tr>
    </w:tbl>
    <w:p>
      <w:pPr>
        <w:spacing w:after="20"/>
      </w:pPr>
    </w:p>
    <w:p>
      <w:pPr>
        <w:pStyle w:val="Heading1"/>
      </w:pPr>
      <w:r>
        <w:t>16. Decisions to Confirm Before or During Build</w:t>
      </w:r>
    </w:p>
    <w:p>
      <w:r>
        <w:t>The module can be developed with the requirements above, but the following details should be confirmed with the QC Manager during implementation:</w:t>
      </w:r>
    </w:p>
    <w:p>
      <w:pPr>
        <w:pStyle w:val="ListBullet"/>
        <w:spacing w:after="40"/>
      </w:pPr>
      <w:r>
        <w:t>Which fields are mandatory for each record type, and whether any additional identifiers are needed (e.g., sample ID, tank/line, production batch, supplier lot).</w:t>
      </w:r>
    </w:p>
    <w:p>
      <w:pPr>
        <w:pStyle w:val="ListBullet"/>
        <w:spacing w:after="40"/>
      </w:pPr>
      <w:r>
        <w:t>Whether officers may amend a submitted record directly, or whether all corrections require a QC Manager review.</w:t>
      </w:r>
    </w:p>
    <w:p>
      <w:pPr>
        <w:pStyle w:val="ListBullet"/>
        <w:spacing w:after="40"/>
      </w:pPr>
      <w:r>
        <w:t>The required criteria/standards for all remaining numeric and qualitative parameters.</w:t>
      </w:r>
    </w:p>
    <w:p>
      <w:pPr>
        <w:pStyle w:val="ListBullet"/>
        <w:spacing w:after="40"/>
      </w:pPr>
      <w:r>
        <w:t>Whether record-level status should be “Flagged” whenever any parameter is outside range, and the exact priority when a record has multiple different statuses.</w:t>
      </w:r>
    </w:p>
    <w:p>
      <w:pPr>
        <w:pStyle w:val="ListBullet"/>
        <w:spacing w:after="40"/>
      </w:pPr>
      <w:r>
        <w:t>Whether a QC Manager should be able to mark an exception as reviewed, with a note, without changing the original result.</w:t>
      </w:r>
    </w:p>
    <w:p>
      <w:pPr>
        <w:pStyle w:val="ListBullet"/>
        <w:spacing w:after="40"/>
      </w:pPr>
      <w:r>
        <w:t>The official print layout and approval/signature fields (explicitly deferred).</w:t>
      </w:r>
    </w:p>
    <w:p>
      <w:pPr>
        <w:pStyle w:val="Heading1"/>
      </w:pPr>
      <w:r>
        <w:t>17. Source Notes</w:t>
      </w:r>
    </w:p>
    <w:p>
      <w:r>
        <w:t>Source-derived requirements: “QUALITY CONTROL RECORDS.docx” supplied for this task, including its Water Records, Product Records, PET/Bottle Records, Raw Ethanol Records and Quality Standard/Reference Range sections. The source explicitly directs PET/Bottle and Raw Ethanol records to be grouped under Raw Materials Records.</w:t>
      </w:r>
    </w:p>
    <w:p>
      <w:r>
        <w:t>Existing-system context: the supplied Lawson production-management project archive contains a Next.js application, Supabase integration, dashboard pages, record submission APIs and an Excel export route. The implementation team must inspect the current live schema and authentication configuration before finalising migrations or permission logic.</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8"/>
        <w:sz w:val="16"/>
      </w:rPr>
      <w:t>QC MODULE DEVELOPMENT SPECIFICATION  •  Version 1.0  •  Internal Development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6E78"/>
        <w:sz w:val="16"/>
      </w:rPr>
      <w:t>LAWSON LIMITED COMPANY  |  PRODUCTION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