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C8C3E" w14:textId="77777777" w:rsidR="004F59E7" w:rsidRPr="00CC00B0" w:rsidRDefault="004F59E7" w:rsidP="004F59E7">
      <w:pPr>
        <w:pStyle w:val="BodyText"/>
        <w:spacing w:before="94" w:line="261" w:lineRule="auto"/>
        <w:ind w:right="1388"/>
        <w:rPr>
          <w:sz w:val="22"/>
          <w:szCs w:val="22"/>
        </w:rPr>
      </w:pPr>
      <w:r w:rsidRPr="00CC00B0">
        <w:rPr>
          <w:b/>
          <w:sz w:val="22"/>
          <w:szCs w:val="22"/>
        </w:rPr>
        <w:t xml:space="preserve">Table1. </w:t>
      </w:r>
      <w:r>
        <w:rPr>
          <w:sz w:val="22"/>
          <w:szCs w:val="22"/>
        </w:rPr>
        <w:t>Datasets summary</w:t>
      </w:r>
    </w:p>
    <w:p w14:paraId="482CF9D8" w14:textId="77777777" w:rsidR="004F59E7" w:rsidRDefault="004F59E7" w:rsidP="004F59E7">
      <w:pPr>
        <w:pStyle w:val="BodyText"/>
        <w:spacing w:before="6"/>
        <w:rPr>
          <w:sz w:val="18"/>
        </w:rPr>
      </w:pPr>
    </w:p>
    <w:tbl>
      <w:tblPr>
        <w:tblW w:w="9555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1180"/>
        <w:gridCol w:w="865"/>
        <w:gridCol w:w="820"/>
        <w:gridCol w:w="1057"/>
        <w:gridCol w:w="4092"/>
      </w:tblGrid>
      <w:tr w:rsidR="004F59E7" w:rsidRPr="00CC00B0" w14:paraId="56E38268" w14:textId="77777777" w:rsidTr="001D3CDB">
        <w:trPr>
          <w:trHeight w:val="385"/>
        </w:trPr>
        <w:tc>
          <w:tcPr>
            <w:tcW w:w="9555" w:type="dxa"/>
            <w:gridSpan w:val="6"/>
          </w:tcPr>
          <w:p w14:paraId="0079ACB6" w14:textId="77777777" w:rsidR="004F59E7" w:rsidRPr="00CC00B0" w:rsidRDefault="004F59E7" w:rsidP="001D3CDB">
            <w:pPr>
              <w:pStyle w:val="TableParagraph"/>
              <w:spacing w:before="101"/>
              <w:ind w:left="4123" w:right="4110"/>
              <w:jc w:val="center"/>
              <w:rPr>
                <w:b/>
                <w:sz w:val="18"/>
                <w:szCs w:val="18"/>
              </w:rPr>
            </w:pPr>
            <w:r w:rsidRPr="00CC00B0">
              <w:rPr>
                <w:b/>
                <w:sz w:val="18"/>
                <w:szCs w:val="18"/>
              </w:rPr>
              <w:t>Datasets</w:t>
            </w:r>
            <w:r w:rsidRPr="00CC00B0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CC00B0">
              <w:rPr>
                <w:b/>
                <w:sz w:val="18"/>
                <w:szCs w:val="18"/>
              </w:rPr>
              <w:t>summary</w:t>
            </w:r>
          </w:p>
        </w:tc>
      </w:tr>
      <w:tr w:rsidR="004F59E7" w:rsidRPr="00CC00B0" w14:paraId="3F1A10C8" w14:textId="77777777" w:rsidTr="001D3CDB">
        <w:trPr>
          <w:trHeight w:val="1120"/>
        </w:trPr>
        <w:tc>
          <w:tcPr>
            <w:tcW w:w="1541" w:type="dxa"/>
          </w:tcPr>
          <w:p w14:paraId="710EA3C6" w14:textId="77777777" w:rsidR="004F59E7" w:rsidRPr="00CC00B0" w:rsidRDefault="004F59E7" w:rsidP="001D3CDB">
            <w:pPr>
              <w:pStyle w:val="TableParagraph"/>
              <w:spacing w:before="95"/>
              <w:ind w:right="67"/>
              <w:rPr>
                <w:b/>
                <w:sz w:val="18"/>
                <w:szCs w:val="18"/>
              </w:rPr>
            </w:pPr>
            <w:r w:rsidRPr="00CC00B0">
              <w:rPr>
                <w:b/>
                <w:sz w:val="18"/>
                <w:szCs w:val="18"/>
              </w:rPr>
              <w:t>Dataset (name used</w:t>
            </w:r>
            <w:r w:rsidRPr="00CC00B0">
              <w:rPr>
                <w:b/>
                <w:spacing w:val="-38"/>
                <w:sz w:val="18"/>
                <w:szCs w:val="18"/>
              </w:rPr>
              <w:t xml:space="preserve"> </w:t>
            </w:r>
            <w:r w:rsidRPr="00CC00B0">
              <w:rPr>
                <w:b/>
                <w:sz w:val="18"/>
                <w:szCs w:val="18"/>
              </w:rPr>
              <w:t>in</w:t>
            </w:r>
            <w:r w:rsidRPr="00CC00B0">
              <w:rPr>
                <w:b/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b/>
                <w:sz w:val="18"/>
                <w:szCs w:val="18"/>
              </w:rPr>
              <w:t>this</w:t>
            </w:r>
            <w:r w:rsidRPr="00CC00B0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CC00B0">
              <w:rPr>
                <w:b/>
                <w:sz w:val="18"/>
                <w:szCs w:val="18"/>
              </w:rPr>
              <w:t>paper)</w:t>
            </w:r>
          </w:p>
        </w:tc>
        <w:tc>
          <w:tcPr>
            <w:tcW w:w="1180" w:type="dxa"/>
          </w:tcPr>
          <w:p w14:paraId="59ADDFFC" w14:textId="77777777" w:rsidR="004F59E7" w:rsidRPr="00CC00B0" w:rsidRDefault="004F59E7" w:rsidP="001D3CDB">
            <w:pPr>
              <w:pStyle w:val="TableParagraph"/>
              <w:spacing w:before="95"/>
              <w:ind w:right="189"/>
              <w:rPr>
                <w:b/>
                <w:sz w:val="18"/>
                <w:szCs w:val="18"/>
              </w:rPr>
            </w:pPr>
            <w:r w:rsidRPr="00CC00B0">
              <w:rPr>
                <w:b/>
                <w:sz w:val="18"/>
                <w:szCs w:val="18"/>
              </w:rPr>
              <w:t>Number of</w:t>
            </w:r>
            <w:r w:rsidRPr="00CC00B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b/>
                <w:spacing w:val="-1"/>
                <w:sz w:val="18"/>
                <w:szCs w:val="18"/>
              </w:rPr>
              <w:t>observations</w:t>
            </w:r>
          </w:p>
        </w:tc>
        <w:tc>
          <w:tcPr>
            <w:tcW w:w="865" w:type="dxa"/>
          </w:tcPr>
          <w:p w14:paraId="7E76A687" w14:textId="77777777" w:rsidR="004F59E7" w:rsidRPr="00CC00B0" w:rsidRDefault="004F59E7" w:rsidP="001D3CDB">
            <w:pPr>
              <w:pStyle w:val="TableParagraph"/>
              <w:spacing w:before="95"/>
              <w:ind w:right="102"/>
              <w:rPr>
                <w:b/>
                <w:sz w:val="18"/>
                <w:szCs w:val="18"/>
              </w:rPr>
            </w:pPr>
            <w:r w:rsidRPr="00CC00B0">
              <w:rPr>
                <w:b/>
                <w:sz w:val="18"/>
                <w:szCs w:val="18"/>
              </w:rPr>
              <w:t>No. of</w:t>
            </w:r>
            <w:r w:rsidRPr="00CC00B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b/>
                <w:sz w:val="18"/>
                <w:szCs w:val="18"/>
              </w:rPr>
              <w:t>variables</w:t>
            </w:r>
          </w:p>
        </w:tc>
        <w:tc>
          <w:tcPr>
            <w:tcW w:w="820" w:type="dxa"/>
          </w:tcPr>
          <w:p w14:paraId="28DF7D09" w14:textId="77777777" w:rsidR="004F59E7" w:rsidRPr="00CC00B0" w:rsidRDefault="004F59E7" w:rsidP="001D3CDB">
            <w:pPr>
              <w:pStyle w:val="TableParagraph"/>
              <w:spacing w:before="95"/>
              <w:ind w:right="93"/>
              <w:rPr>
                <w:b/>
                <w:sz w:val="18"/>
                <w:szCs w:val="18"/>
              </w:rPr>
            </w:pPr>
            <w:r w:rsidRPr="00CC00B0">
              <w:rPr>
                <w:b/>
                <w:spacing w:val="-2"/>
                <w:sz w:val="18"/>
                <w:szCs w:val="18"/>
              </w:rPr>
              <w:t xml:space="preserve">Type </w:t>
            </w:r>
            <w:r w:rsidRPr="00CC00B0">
              <w:rPr>
                <w:b/>
                <w:spacing w:val="-1"/>
                <w:sz w:val="18"/>
                <w:szCs w:val="18"/>
              </w:rPr>
              <w:t>of</w:t>
            </w:r>
            <w:r w:rsidRPr="00CC00B0">
              <w:rPr>
                <w:b/>
                <w:spacing w:val="-37"/>
                <w:sz w:val="18"/>
                <w:szCs w:val="18"/>
              </w:rPr>
              <w:t xml:space="preserve"> </w:t>
            </w:r>
            <w:r w:rsidRPr="00CC00B0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1057" w:type="dxa"/>
          </w:tcPr>
          <w:p w14:paraId="20CC7CA4" w14:textId="77777777" w:rsidR="004F59E7" w:rsidRPr="00CC00B0" w:rsidRDefault="004F59E7" w:rsidP="001D3CDB">
            <w:pPr>
              <w:pStyle w:val="TableParagraph"/>
              <w:spacing w:before="95"/>
              <w:ind w:right="84"/>
              <w:rPr>
                <w:b/>
                <w:sz w:val="18"/>
                <w:szCs w:val="18"/>
              </w:rPr>
            </w:pPr>
            <w:r w:rsidRPr="00CC00B0">
              <w:rPr>
                <w:b/>
                <w:sz w:val="18"/>
                <w:szCs w:val="18"/>
              </w:rPr>
              <w:t>Censoring</w:t>
            </w:r>
            <w:r w:rsidRPr="00CC00B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b/>
                <w:sz w:val="18"/>
                <w:szCs w:val="18"/>
              </w:rPr>
              <w:t>rate</w:t>
            </w:r>
            <w:r w:rsidRPr="00CC00B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b/>
                <w:sz w:val="18"/>
                <w:szCs w:val="18"/>
              </w:rPr>
              <w:t>(rounded to 4</w:t>
            </w:r>
            <w:r w:rsidRPr="00CC00B0">
              <w:rPr>
                <w:b/>
                <w:spacing w:val="-37"/>
                <w:sz w:val="18"/>
                <w:szCs w:val="18"/>
              </w:rPr>
              <w:t xml:space="preserve"> </w:t>
            </w:r>
            <w:r w:rsidRPr="00CC00B0">
              <w:rPr>
                <w:b/>
                <w:sz w:val="18"/>
                <w:szCs w:val="18"/>
              </w:rPr>
              <w:t>decimal</w:t>
            </w:r>
            <w:r w:rsidRPr="00CC00B0">
              <w:rPr>
                <w:b/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b/>
                <w:sz w:val="18"/>
                <w:szCs w:val="18"/>
              </w:rPr>
              <w:t>places)</w:t>
            </w:r>
          </w:p>
        </w:tc>
        <w:tc>
          <w:tcPr>
            <w:tcW w:w="4092" w:type="dxa"/>
          </w:tcPr>
          <w:p w14:paraId="5FD66629" w14:textId="77777777" w:rsidR="004F59E7" w:rsidRPr="00CC00B0" w:rsidRDefault="004F59E7" w:rsidP="001D3CDB">
            <w:pPr>
              <w:pStyle w:val="TableParagraph"/>
              <w:spacing w:before="95"/>
              <w:ind w:left="99"/>
              <w:rPr>
                <w:b/>
                <w:sz w:val="18"/>
                <w:szCs w:val="18"/>
              </w:rPr>
            </w:pPr>
            <w:r w:rsidRPr="00CC00B0">
              <w:rPr>
                <w:b/>
                <w:sz w:val="18"/>
                <w:szCs w:val="18"/>
              </w:rPr>
              <w:t>Reference</w:t>
            </w:r>
          </w:p>
        </w:tc>
      </w:tr>
      <w:tr w:rsidR="004F59E7" w:rsidRPr="00CC00B0" w14:paraId="4E962091" w14:textId="77777777" w:rsidTr="001D3CDB">
        <w:trPr>
          <w:trHeight w:val="920"/>
        </w:trPr>
        <w:tc>
          <w:tcPr>
            <w:tcW w:w="1541" w:type="dxa"/>
          </w:tcPr>
          <w:p w14:paraId="660292FC" w14:textId="77777777" w:rsidR="004F59E7" w:rsidRPr="00CC00B0" w:rsidRDefault="004F59E7" w:rsidP="001D3CDB">
            <w:pPr>
              <w:pStyle w:val="TableParagraph"/>
              <w:spacing w:before="96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Melanoma_itraq</w:t>
            </w:r>
          </w:p>
        </w:tc>
        <w:tc>
          <w:tcPr>
            <w:tcW w:w="1180" w:type="dxa"/>
          </w:tcPr>
          <w:p w14:paraId="0BCDAE95" w14:textId="77777777" w:rsidR="004F59E7" w:rsidRPr="00CC00B0" w:rsidRDefault="004F59E7" w:rsidP="001D3CDB">
            <w:pPr>
              <w:pStyle w:val="TableParagraph"/>
              <w:spacing w:before="96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41</w:t>
            </w:r>
          </w:p>
        </w:tc>
        <w:tc>
          <w:tcPr>
            <w:tcW w:w="865" w:type="dxa"/>
          </w:tcPr>
          <w:p w14:paraId="6CAF4638" w14:textId="77777777" w:rsidR="004F59E7" w:rsidRPr="00CC00B0" w:rsidRDefault="004F59E7" w:rsidP="001D3CDB">
            <w:pPr>
              <w:pStyle w:val="TableParagraph"/>
              <w:spacing w:before="96"/>
              <w:rPr>
                <w:sz w:val="18"/>
                <w:szCs w:val="18"/>
              </w:rPr>
            </w:pPr>
            <w:r w:rsidRPr="00107272">
              <w:rPr>
                <w:color w:val="0070C0"/>
                <w:sz w:val="18"/>
                <w:szCs w:val="18"/>
              </w:rPr>
              <w:t>643</w:t>
            </w:r>
          </w:p>
        </w:tc>
        <w:tc>
          <w:tcPr>
            <w:tcW w:w="820" w:type="dxa"/>
          </w:tcPr>
          <w:p w14:paraId="1B25C61C" w14:textId="77777777" w:rsidR="004F59E7" w:rsidRPr="00CC00B0" w:rsidRDefault="004F59E7" w:rsidP="001D3CDB">
            <w:pPr>
              <w:pStyle w:val="TableParagraph"/>
              <w:spacing w:before="96"/>
              <w:ind w:left="80" w:right="181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Omics</w:t>
            </w:r>
          </w:p>
        </w:tc>
        <w:tc>
          <w:tcPr>
            <w:tcW w:w="1057" w:type="dxa"/>
          </w:tcPr>
          <w:p w14:paraId="132DEC14" w14:textId="77777777" w:rsidR="004F59E7" w:rsidRPr="00CC00B0" w:rsidRDefault="004F59E7" w:rsidP="001D3CDB">
            <w:pPr>
              <w:pStyle w:val="TableParagraph"/>
              <w:spacing w:before="96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0.4146</w:t>
            </w:r>
          </w:p>
        </w:tc>
        <w:tc>
          <w:tcPr>
            <w:tcW w:w="4092" w:type="dxa"/>
          </w:tcPr>
          <w:p w14:paraId="63C66ED0" w14:textId="77777777" w:rsidR="004F59E7" w:rsidRPr="00CC00B0" w:rsidRDefault="004F59E7" w:rsidP="001D3CDB">
            <w:pPr>
              <w:pStyle w:val="TableParagraph"/>
              <w:spacing w:before="115" w:line="268" w:lineRule="auto"/>
              <w:ind w:left="324" w:right="76" w:hanging="225"/>
              <w:jc w:val="both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Wang,K.Y.X. et al. Cross-Platform Omics Prediction procedure: a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game changer for implementing precision medicine in patients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with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stage-III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melanoma.bioRxiv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2020.12.09.415927;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doi: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hyperlink r:id="rId4">
              <w:r w:rsidRPr="00CC00B0">
                <w:rPr>
                  <w:color w:val="0000FF"/>
                  <w:sz w:val="18"/>
                  <w:szCs w:val="18"/>
                  <w:u w:val="single" w:color="0000FF"/>
                </w:rPr>
                <w:t>https://doi.org/10.1101/2020.12.09.415927</w:t>
              </w:r>
            </w:hyperlink>
          </w:p>
        </w:tc>
      </w:tr>
      <w:tr w:rsidR="004F59E7" w:rsidRPr="00CC00B0" w14:paraId="12AE2A40" w14:textId="77777777" w:rsidTr="001D3CDB">
        <w:trPr>
          <w:trHeight w:val="920"/>
        </w:trPr>
        <w:tc>
          <w:tcPr>
            <w:tcW w:w="1541" w:type="dxa"/>
          </w:tcPr>
          <w:p w14:paraId="706C2FF1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Melanoma_nano</w:t>
            </w:r>
          </w:p>
        </w:tc>
        <w:tc>
          <w:tcPr>
            <w:tcW w:w="1180" w:type="dxa"/>
          </w:tcPr>
          <w:p w14:paraId="01782585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45</w:t>
            </w:r>
          </w:p>
        </w:tc>
        <w:tc>
          <w:tcPr>
            <w:tcW w:w="865" w:type="dxa"/>
          </w:tcPr>
          <w:p w14:paraId="79440141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107272">
              <w:rPr>
                <w:color w:val="0070C0"/>
                <w:sz w:val="18"/>
                <w:szCs w:val="18"/>
              </w:rPr>
              <w:t>207</w:t>
            </w:r>
          </w:p>
        </w:tc>
        <w:tc>
          <w:tcPr>
            <w:tcW w:w="820" w:type="dxa"/>
          </w:tcPr>
          <w:p w14:paraId="40F125AE" w14:textId="77777777" w:rsidR="004F59E7" w:rsidRPr="00CC00B0" w:rsidRDefault="004F59E7" w:rsidP="001D3CDB">
            <w:pPr>
              <w:pStyle w:val="TableParagraph"/>
              <w:spacing w:before="95"/>
              <w:ind w:left="80" w:right="180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Omics</w:t>
            </w:r>
          </w:p>
        </w:tc>
        <w:tc>
          <w:tcPr>
            <w:tcW w:w="1057" w:type="dxa"/>
          </w:tcPr>
          <w:p w14:paraId="7E3F6E61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0.4222</w:t>
            </w:r>
          </w:p>
        </w:tc>
        <w:tc>
          <w:tcPr>
            <w:tcW w:w="4092" w:type="dxa"/>
          </w:tcPr>
          <w:p w14:paraId="627A8E33" w14:textId="77777777" w:rsidR="004F59E7" w:rsidRPr="00CC00B0" w:rsidRDefault="004F59E7" w:rsidP="001D3CDB">
            <w:pPr>
              <w:pStyle w:val="TableParagraph"/>
              <w:spacing w:before="114" w:line="268" w:lineRule="auto"/>
              <w:ind w:left="324" w:right="76" w:hanging="225"/>
              <w:jc w:val="both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Wang,K.Y.X. et al. Cross-Platform Omics Prediction procedure: a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game changer for implementing precision medicine in patients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with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stage-III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melanoma.bioRxiv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2020.12.09.415927;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doi: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hyperlink r:id="rId5">
              <w:r w:rsidRPr="00CC00B0">
                <w:rPr>
                  <w:color w:val="0000FF"/>
                  <w:sz w:val="18"/>
                  <w:szCs w:val="18"/>
                  <w:u w:val="single" w:color="0000FF"/>
                </w:rPr>
                <w:t>https://doi.org/10.1101/2020.12.09.415927</w:t>
              </w:r>
            </w:hyperlink>
          </w:p>
        </w:tc>
      </w:tr>
      <w:tr w:rsidR="004F59E7" w:rsidRPr="00CC00B0" w14:paraId="756218A9" w14:textId="77777777" w:rsidTr="001D3CDB">
        <w:trPr>
          <w:trHeight w:val="560"/>
        </w:trPr>
        <w:tc>
          <w:tcPr>
            <w:tcW w:w="1541" w:type="dxa"/>
          </w:tcPr>
          <w:p w14:paraId="3E97860F" w14:textId="77777777" w:rsidR="004F59E7" w:rsidRPr="00CC00B0" w:rsidRDefault="004F59E7" w:rsidP="001D3CDB">
            <w:pPr>
              <w:pStyle w:val="TableParagraph"/>
              <w:spacing w:before="96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Ovarian_2</w:t>
            </w:r>
          </w:p>
        </w:tc>
        <w:tc>
          <w:tcPr>
            <w:tcW w:w="1180" w:type="dxa"/>
          </w:tcPr>
          <w:p w14:paraId="55FEB8C0" w14:textId="77777777" w:rsidR="004F59E7" w:rsidRPr="00CC00B0" w:rsidRDefault="004F59E7" w:rsidP="001D3CDB">
            <w:pPr>
              <w:pStyle w:val="TableParagraph"/>
              <w:spacing w:before="96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58</w:t>
            </w:r>
          </w:p>
        </w:tc>
        <w:tc>
          <w:tcPr>
            <w:tcW w:w="865" w:type="dxa"/>
          </w:tcPr>
          <w:p w14:paraId="28028CA5" w14:textId="77777777" w:rsidR="004F59E7" w:rsidRPr="00CC00B0" w:rsidRDefault="004F59E7" w:rsidP="001D3CDB">
            <w:pPr>
              <w:pStyle w:val="TableParagraph"/>
              <w:spacing w:before="96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19818</w:t>
            </w:r>
          </w:p>
        </w:tc>
        <w:tc>
          <w:tcPr>
            <w:tcW w:w="820" w:type="dxa"/>
          </w:tcPr>
          <w:p w14:paraId="04DA6931" w14:textId="77777777" w:rsidR="004F59E7" w:rsidRPr="00CC00B0" w:rsidRDefault="004F59E7" w:rsidP="001D3CDB">
            <w:pPr>
              <w:pStyle w:val="TableParagraph"/>
              <w:spacing w:before="96"/>
              <w:ind w:left="80" w:right="181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Omics</w:t>
            </w:r>
          </w:p>
        </w:tc>
        <w:tc>
          <w:tcPr>
            <w:tcW w:w="1057" w:type="dxa"/>
          </w:tcPr>
          <w:p w14:paraId="4A0228B5" w14:textId="77777777" w:rsidR="004F59E7" w:rsidRPr="00CC00B0" w:rsidRDefault="004F59E7" w:rsidP="001D3CDB">
            <w:pPr>
              <w:pStyle w:val="TableParagraph"/>
              <w:spacing w:before="96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0.3793</w:t>
            </w:r>
          </w:p>
        </w:tc>
        <w:tc>
          <w:tcPr>
            <w:tcW w:w="4092" w:type="dxa"/>
          </w:tcPr>
          <w:p w14:paraId="4FE09287" w14:textId="77777777" w:rsidR="004F59E7" w:rsidRPr="00CC00B0" w:rsidRDefault="004F59E7" w:rsidP="001D3CDB">
            <w:pPr>
              <w:pStyle w:val="TableParagraph"/>
              <w:spacing w:before="114" w:line="268" w:lineRule="auto"/>
              <w:ind w:left="324" w:hanging="22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Ganzfried,B.F.</w:t>
            </w:r>
            <w:r w:rsidRPr="00CC00B0">
              <w:rPr>
                <w:spacing w:val="-6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et</w:t>
            </w:r>
            <w:r w:rsidRPr="00CC00B0">
              <w:rPr>
                <w:spacing w:val="-4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al.</w:t>
            </w:r>
            <w:r w:rsidRPr="00CC00B0">
              <w:rPr>
                <w:spacing w:val="-5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(2013)</w:t>
            </w:r>
            <w:r w:rsidRPr="00CC00B0">
              <w:rPr>
                <w:spacing w:val="-7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curatedOvarianData: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clinically</w:t>
            </w:r>
            <w:r w:rsidRPr="00CC00B0">
              <w:rPr>
                <w:spacing w:val="-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annotated</w:t>
            </w:r>
            <w:r w:rsidRPr="00CC00B0">
              <w:rPr>
                <w:spacing w:val="-3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data</w:t>
            </w:r>
            <w:r w:rsidRPr="00CC00B0">
              <w:rPr>
                <w:spacing w:val="-5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for</w:t>
            </w:r>
            <w:r w:rsidRPr="00CC00B0">
              <w:rPr>
                <w:spacing w:val="-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the</w:t>
            </w:r>
            <w:r w:rsidRPr="00CC00B0">
              <w:rPr>
                <w:spacing w:val="-4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ovarian</w:t>
            </w:r>
            <w:r w:rsidRPr="00CC00B0">
              <w:rPr>
                <w:spacing w:val="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cancer</w:t>
            </w:r>
            <w:r w:rsidRPr="00CC00B0">
              <w:rPr>
                <w:spacing w:val="-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transcriptome.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Database,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2013.</w:t>
            </w:r>
          </w:p>
        </w:tc>
      </w:tr>
      <w:tr w:rsidR="004F59E7" w:rsidRPr="00CC00B0" w14:paraId="57D5A63C" w14:textId="77777777" w:rsidTr="001D3CDB">
        <w:trPr>
          <w:trHeight w:val="560"/>
        </w:trPr>
        <w:tc>
          <w:tcPr>
            <w:tcW w:w="1541" w:type="dxa"/>
          </w:tcPr>
          <w:p w14:paraId="4F590082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GE_5</w:t>
            </w:r>
          </w:p>
        </w:tc>
        <w:tc>
          <w:tcPr>
            <w:tcW w:w="1180" w:type="dxa"/>
          </w:tcPr>
          <w:p w14:paraId="24755179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78</w:t>
            </w:r>
          </w:p>
        </w:tc>
        <w:tc>
          <w:tcPr>
            <w:tcW w:w="865" w:type="dxa"/>
          </w:tcPr>
          <w:p w14:paraId="43C3450E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4753</w:t>
            </w:r>
          </w:p>
        </w:tc>
        <w:tc>
          <w:tcPr>
            <w:tcW w:w="820" w:type="dxa"/>
          </w:tcPr>
          <w:p w14:paraId="353D0978" w14:textId="77777777" w:rsidR="004F59E7" w:rsidRPr="00CC00B0" w:rsidRDefault="004F59E7" w:rsidP="001D3CDB">
            <w:pPr>
              <w:pStyle w:val="TableParagraph"/>
              <w:spacing w:before="95"/>
              <w:ind w:left="80" w:right="181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Omics</w:t>
            </w:r>
          </w:p>
        </w:tc>
        <w:tc>
          <w:tcPr>
            <w:tcW w:w="1057" w:type="dxa"/>
          </w:tcPr>
          <w:p w14:paraId="01A12334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0.5641</w:t>
            </w:r>
          </w:p>
        </w:tc>
        <w:tc>
          <w:tcPr>
            <w:tcW w:w="4092" w:type="dxa"/>
          </w:tcPr>
          <w:p w14:paraId="1DD036DE" w14:textId="77777777" w:rsidR="004F59E7" w:rsidRPr="00CC00B0" w:rsidRDefault="004F59E7" w:rsidP="001D3CDB">
            <w:pPr>
              <w:pStyle w:val="TableParagraph"/>
              <w:spacing w:before="114" w:line="268" w:lineRule="auto"/>
              <w:ind w:left="324" w:right="14" w:hanging="22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van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’t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Veer,L.J.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et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al.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(2002)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Gene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expression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profiling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predicts</w:t>
            </w:r>
            <w:r w:rsidRPr="00CC00B0">
              <w:rPr>
                <w:spacing w:val="-3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clinical outcome</w:t>
            </w:r>
            <w:r w:rsidRPr="00CC00B0">
              <w:rPr>
                <w:spacing w:val="-4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of</w:t>
            </w:r>
            <w:r w:rsidRPr="00CC00B0">
              <w:rPr>
                <w:spacing w:val="-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breast cancer.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Nature,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415,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530–536.</w:t>
            </w:r>
          </w:p>
        </w:tc>
      </w:tr>
      <w:tr w:rsidR="004F59E7" w:rsidRPr="00CC00B0" w14:paraId="2317F1AA" w14:textId="77777777" w:rsidTr="001D3CDB">
        <w:trPr>
          <w:trHeight w:val="740"/>
        </w:trPr>
        <w:tc>
          <w:tcPr>
            <w:tcW w:w="1541" w:type="dxa"/>
          </w:tcPr>
          <w:p w14:paraId="3A572AFE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GE_3</w:t>
            </w:r>
          </w:p>
        </w:tc>
        <w:tc>
          <w:tcPr>
            <w:tcW w:w="1180" w:type="dxa"/>
          </w:tcPr>
          <w:p w14:paraId="3D1936AE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86</w:t>
            </w:r>
          </w:p>
        </w:tc>
        <w:tc>
          <w:tcPr>
            <w:tcW w:w="865" w:type="dxa"/>
          </w:tcPr>
          <w:p w14:paraId="0B5373FA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6288</w:t>
            </w:r>
          </w:p>
        </w:tc>
        <w:tc>
          <w:tcPr>
            <w:tcW w:w="820" w:type="dxa"/>
          </w:tcPr>
          <w:p w14:paraId="1B94EB3B" w14:textId="77777777" w:rsidR="004F59E7" w:rsidRPr="00CC00B0" w:rsidRDefault="004F59E7" w:rsidP="001D3CDB">
            <w:pPr>
              <w:pStyle w:val="TableParagraph"/>
              <w:spacing w:before="95"/>
              <w:ind w:left="80" w:right="181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Omics</w:t>
            </w:r>
          </w:p>
        </w:tc>
        <w:tc>
          <w:tcPr>
            <w:tcW w:w="1057" w:type="dxa"/>
          </w:tcPr>
          <w:p w14:paraId="3B10ECC2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0.7209</w:t>
            </w:r>
          </w:p>
        </w:tc>
        <w:tc>
          <w:tcPr>
            <w:tcW w:w="4092" w:type="dxa"/>
          </w:tcPr>
          <w:p w14:paraId="13579C68" w14:textId="77777777" w:rsidR="004F59E7" w:rsidRPr="00CC00B0" w:rsidRDefault="004F59E7" w:rsidP="001D3CDB">
            <w:pPr>
              <w:pStyle w:val="TableParagraph"/>
              <w:spacing w:before="114" w:line="268" w:lineRule="auto"/>
              <w:ind w:left="324" w:right="76" w:hanging="225"/>
              <w:jc w:val="both"/>
              <w:rPr>
                <w:sz w:val="18"/>
                <w:szCs w:val="18"/>
              </w:rPr>
            </w:pPr>
            <w:r w:rsidRPr="00CC00B0">
              <w:rPr>
                <w:spacing w:val="-1"/>
                <w:sz w:val="18"/>
                <w:szCs w:val="18"/>
              </w:rPr>
              <w:t>Bullinger,L.</w:t>
            </w:r>
            <w:r w:rsidRPr="00CC00B0">
              <w:rPr>
                <w:spacing w:val="-7"/>
                <w:sz w:val="18"/>
                <w:szCs w:val="18"/>
              </w:rPr>
              <w:t xml:space="preserve"> </w:t>
            </w:r>
            <w:r w:rsidRPr="00CC00B0">
              <w:rPr>
                <w:spacing w:val="-1"/>
                <w:sz w:val="18"/>
                <w:szCs w:val="18"/>
              </w:rPr>
              <w:t>et</w:t>
            </w:r>
            <w:r w:rsidRPr="00CC00B0">
              <w:rPr>
                <w:spacing w:val="-6"/>
                <w:sz w:val="18"/>
                <w:szCs w:val="18"/>
              </w:rPr>
              <w:t xml:space="preserve"> </w:t>
            </w:r>
            <w:r w:rsidRPr="00CC00B0">
              <w:rPr>
                <w:spacing w:val="-1"/>
                <w:sz w:val="18"/>
                <w:szCs w:val="18"/>
              </w:rPr>
              <w:t>al.</w:t>
            </w:r>
            <w:r w:rsidRPr="00CC00B0">
              <w:rPr>
                <w:spacing w:val="-6"/>
                <w:sz w:val="18"/>
                <w:szCs w:val="18"/>
              </w:rPr>
              <w:t xml:space="preserve"> </w:t>
            </w:r>
            <w:r w:rsidRPr="00CC00B0">
              <w:rPr>
                <w:spacing w:val="-1"/>
                <w:sz w:val="18"/>
                <w:szCs w:val="18"/>
              </w:rPr>
              <w:t>(2004)</w:t>
            </w:r>
            <w:r w:rsidRPr="00CC00B0">
              <w:rPr>
                <w:spacing w:val="-8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Use</w:t>
            </w:r>
            <w:r w:rsidRPr="00CC00B0">
              <w:rPr>
                <w:spacing w:val="-9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of</w:t>
            </w:r>
            <w:r w:rsidRPr="00CC00B0">
              <w:rPr>
                <w:spacing w:val="-7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Gene-Expression</w:t>
            </w:r>
            <w:r w:rsidRPr="00CC00B0">
              <w:rPr>
                <w:spacing w:val="-7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Profiling</w:t>
            </w:r>
            <w:r w:rsidRPr="00CC00B0">
              <w:rPr>
                <w:spacing w:val="-6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to</w:t>
            </w:r>
            <w:r w:rsidRPr="00CC00B0">
              <w:rPr>
                <w:spacing w:val="-7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Identify</w:t>
            </w:r>
            <w:r w:rsidRPr="00CC00B0">
              <w:rPr>
                <w:spacing w:val="-3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Prognostic Subclasses in Adult Acute Myeloid Leukemia. New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England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Journal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of</w:t>
            </w:r>
            <w:r w:rsidRPr="00CC00B0">
              <w:rPr>
                <w:spacing w:val="-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Medicine,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350, 1605–1616.</w:t>
            </w:r>
          </w:p>
        </w:tc>
      </w:tr>
      <w:tr w:rsidR="004F59E7" w:rsidRPr="00CC00B0" w14:paraId="3FA63D83" w14:textId="77777777" w:rsidTr="001D3CDB">
        <w:trPr>
          <w:trHeight w:val="920"/>
        </w:trPr>
        <w:tc>
          <w:tcPr>
            <w:tcW w:w="1541" w:type="dxa"/>
          </w:tcPr>
          <w:p w14:paraId="689EBCDB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Melanoma_clinical</w:t>
            </w:r>
          </w:p>
        </w:tc>
        <w:tc>
          <w:tcPr>
            <w:tcW w:w="1180" w:type="dxa"/>
          </w:tcPr>
          <w:p w14:paraId="2CBFFCF2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107272">
              <w:rPr>
                <w:color w:val="0070C0"/>
                <w:sz w:val="18"/>
                <w:szCs w:val="18"/>
              </w:rPr>
              <w:t>77</w:t>
            </w:r>
          </w:p>
        </w:tc>
        <w:tc>
          <w:tcPr>
            <w:tcW w:w="865" w:type="dxa"/>
          </w:tcPr>
          <w:p w14:paraId="5C578C28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16</w:t>
            </w:r>
          </w:p>
        </w:tc>
        <w:tc>
          <w:tcPr>
            <w:tcW w:w="820" w:type="dxa"/>
          </w:tcPr>
          <w:p w14:paraId="25A8B5DF" w14:textId="77777777" w:rsidR="004F59E7" w:rsidRPr="00CC00B0" w:rsidRDefault="004F59E7" w:rsidP="001D3CDB">
            <w:pPr>
              <w:pStyle w:val="TableParagraph"/>
              <w:spacing w:before="95"/>
              <w:ind w:left="80" w:right="94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Clinical</w:t>
            </w:r>
          </w:p>
        </w:tc>
        <w:tc>
          <w:tcPr>
            <w:tcW w:w="1057" w:type="dxa"/>
          </w:tcPr>
          <w:p w14:paraId="5455EF99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0.3939</w:t>
            </w:r>
          </w:p>
        </w:tc>
        <w:tc>
          <w:tcPr>
            <w:tcW w:w="4092" w:type="dxa"/>
          </w:tcPr>
          <w:p w14:paraId="7FD59446" w14:textId="77777777" w:rsidR="004F59E7" w:rsidRPr="00CC00B0" w:rsidRDefault="004F59E7" w:rsidP="001D3CDB">
            <w:pPr>
              <w:pStyle w:val="TableParagraph"/>
              <w:spacing w:before="114" w:line="268" w:lineRule="auto"/>
              <w:ind w:left="324" w:right="77" w:hanging="225"/>
              <w:jc w:val="both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Wang,K.Y.X. et al. Cross-Platform Omics Prediction procedure: a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game changer for implementing precision medicine in patients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with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stage-III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melanoma.bioRxiv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2020.12.09.415927;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doi: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hyperlink r:id="rId6">
              <w:r w:rsidRPr="00CC00B0">
                <w:rPr>
                  <w:sz w:val="18"/>
                  <w:szCs w:val="18"/>
                </w:rPr>
                <w:t>https://doi.org/10.1101/2020.12.09.415927.</w:t>
              </w:r>
            </w:hyperlink>
          </w:p>
        </w:tc>
      </w:tr>
      <w:tr w:rsidR="004F59E7" w:rsidRPr="00CC00B0" w14:paraId="75092104" w14:textId="77777777" w:rsidTr="001D3CDB">
        <w:trPr>
          <w:trHeight w:val="740"/>
        </w:trPr>
        <w:tc>
          <w:tcPr>
            <w:tcW w:w="1541" w:type="dxa"/>
          </w:tcPr>
          <w:p w14:paraId="67929CA2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GE_1</w:t>
            </w:r>
          </w:p>
        </w:tc>
        <w:tc>
          <w:tcPr>
            <w:tcW w:w="1180" w:type="dxa"/>
          </w:tcPr>
          <w:p w14:paraId="7E8FEF14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115</w:t>
            </w:r>
          </w:p>
        </w:tc>
        <w:tc>
          <w:tcPr>
            <w:tcW w:w="865" w:type="dxa"/>
          </w:tcPr>
          <w:p w14:paraId="72D3D89C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551</w:t>
            </w:r>
          </w:p>
        </w:tc>
        <w:tc>
          <w:tcPr>
            <w:tcW w:w="820" w:type="dxa"/>
          </w:tcPr>
          <w:p w14:paraId="4429CCBC" w14:textId="77777777" w:rsidR="004F59E7" w:rsidRPr="00CC00B0" w:rsidRDefault="004F59E7" w:rsidP="001D3CDB">
            <w:pPr>
              <w:pStyle w:val="TableParagraph"/>
              <w:spacing w:before="95"/>
              <w:ind w:left="80" w:right="181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Omics</w:t>
            </w:r>
          </w:p>
        </w:tc>
        <w:tc>
          <w:tcPr>
            <w:tcW w:w="1057" w:type="dxa"/>
          </w:tcPr>
          <w:p w14:paraId="12A03013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0.6670</w:t>
            </w:r>
          </w:p>
        </w:tc>
        <w:tc>
          <w:tcPr>
            <w:tcW w:w="4092" w:type="dxa"/>
          </w:tcPr>
          <w:p w14:paraId="26611255" w14:textId="77777777" w:rsidR="004F59E7" w:rsidRPr="00CC00B0" w:rsidRDefault="004F59E7" w:rsidP="001D3CDB">
            <w:pPr>
              <w:pStyle w:val="TableParagraph"/>
              <w:spacing w:before="114" w:line="268" w:lineRule="auto"/>
              <w:ind w:left="324" w:right="78" w:hanging="225"/>
              <w:jc w:val="both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Sorlie,T. et al. (2003) Repeated observation of breast tumor subtypes</w:t>
            </w:r>
            <w:r w:rsidRPr="00CC00B0">
              <w:rPr>
                <w:spacing w:val="-3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in independent gene expression data sets. Proc. Natl. Acad. Sci.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U.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S. A., 100, 8418–8423.</w:t>
            </w:r>
          </w:p>
        </w:tc>
      </w:tr>
      <w:tr w:rsidR="004F59E7" w:rsidRPr="00CC00B0" w14:paraId="5C74CC73" w14:textId="77777777" w:rsidTr="001D3CDB">
        <w:trPr>
          <w:trHeight w:val="740"/>
        </w:trPr>
        <w:tc>
          <w:tcPr>
            <w:tcW w:w="1541" w:type="dxa"/>
          </w:tcPr>
          <w:p w14:paraId="7A4483FF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GE-_4</w:t>
            </w:r>
          </w:p>
        </w:tc>
        <w:tc>
          <w:tcPr>
            <w:tcW w:w="1180" w:type="dxa"/>
          </w:tcPr>
          <w:p w14:paraId="3188BD0E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116</w:t>
            </w:r>
          </w:p>
        </w:tc>
        <w:tc>
          <w:tcPr>
            <w:tcW w:w="865" w:type="dxa"/>
          </w:tcPr>
          <w:p w14:paraId="65C99FD2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107272">
              <w:rPr>
                <w:color w:val="0070C0"/>
                <w:sz w:val="18"/>
                <w:szCs w:val="18"/>
              </w:rPr>
              <w:t>6285</w:t>
            </w:r>
          </w:p>
        </w:tc>
        <w:tc>
          <w:tcPr>
            <w:tcW w:w="820" w:type="dxa"/>
          </w:tcPr>
          <w:p w14:paraId="03051E0C" w14:textId="77777777" w:rsidR="004F59E7" w:rsidRPr="00CC00B0" w:rsidRDefault="004F59E7" w:rsidP="001D3CDB">
            <w:pPr>
              <w:pStyle w:val="TableParagraph"/>
              <w:spacing w:before="95"/>
              <w:ind w:left="80" w:right="181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Omics</w:t>
            </w:r>
          </w:p>
        </w:tc>
        <w:tc>
          <w:tcPr>
            <w:tcW w:w="1057" w:type="dxa"/>
          </w:tcPr>
          <w:p w14:paraId="765E7544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0.5641</w:t>
            </w:r>
          </w:p>
        </w:tc>
        <w:tc>
          <w:tcPr>
            <w:tcW w:w="4092" w:type="dxa"/>
          </w:tcPr>
          <w:p w14:paraId="20C5B9C7" w14:textId="77777777" w:rsidR="004F59E7" w:rsidRPr="00CC00B0" w:rsidRDefault="004F59E7" w:rsidP="001D3CDB">
            <w:pPr>
              <w:pStyle w:val="TableParagraph"/>
              <w:spacing w:before="114" w:line="268" w:lineRule="auto"/>
              <w:ind w:left="324" w:right="83" w:hanging="225"/>
              <w:jc w:val="both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van de Vijver,M.J. et al. (2002) A gene-expression signature as a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pacing w:val="-1"/>
                <w:sz w:val="18"/>
                <w:szCs w:val="18"/>
              </w:rPr>
              <w:t>predictor</w:t>
            </w:r>
            <w:r w:rsidRPr="00CC00B0">
              <w:rPr>
                <w:spacing w:val="-7"/>
                <w:sz w:val="18"/>
                <w:szCs w:val="18"/>
              </w:rPr>
              <w:t xml:space="preserve"> </w:t>
            </w:r>
            <w:r w:rsidRPr="00CC00B0">
              <w:rPr>
                <w:spacing w:val="-1"/>
                <w:sz w:val="18"/>
                <w:szCs w:val="18"/>
              </w:rPr>
              <w:t>of</w:t>
            </w:r>
            <w:r w:rsidRPr="00CC00B0">
              <w:rPr>
                <w:spacing w:val="-12"/>
                <w:sz w:val="18"/>
                <w:szCs w:val="18"/>
              </w:rPr>
              <w:t xml:space="preserve"> </w:t>
            </w:r>
            <w:r w:rsidRPr="00CC00B0">
              <w:rPr>
                <w:spacing w:val="-1"/>
                <w:sz w:val="18"/>
                <w:szCs w:val="18"/>
              </w:rPr>
              <w:t>survival</w:t>
            </w:r>
            <w:r w:rsidRPr="00CC00B0">
              <w:rPr>
                <w:spacing w:val="-8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in</w:t>
            </w:r>
            <w:r w:rsidRPr="00CC00B0">
              <w:rPr>
                <w:spacing w:val="-10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breast</w:t>
            </w:r>
            <w:r w:rsidRPr="00CC00B0">
              <w:rPr>
                <w:spacing w:val="-8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cancer.</w:t>
            </w:r>
            <w:r w:rsidRPr="00CC00B0">
              <w:rPr>
                <w:spacing w:val="-10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N.</w:t>
            </w:r>
            <w:r w:rsidRPr="00CC00B0">
              <w:rPr>
                <w:spacing w:val="-5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Engl.</w:t>
            </w:r>
            <w:r w:rsidRPr="00CC00B0">
              <w:rPr>
                <w:spacing w:val="-10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J.</w:t>
            </w:r>
            <w:r w:rsidRPr="00CC00B0">
              <w:rPr>
                <w:spacing w:val="-5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Med.,</w:t>
            </w:r>
            <w:r w:rsidRPr="00CC00B0">
              <w:rPr>
                <w:spacing w:val="-6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347,</w:t>
            </w:r>
            <w:r w:rsidRPr="00CC00B0">
              <w:rPr>
                <w:spacing w:val="-9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1999–</w:t>
            </w:r>
            <w:r w:rsidRPr="00CC00B0">
              <w:rPr>
                <w:spacing w:val="-3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2009.</w:t>
            </w:r>
          </w:p>
        </w:tc>
      </w:tr>
      <w:tr w:rsidR="004F59E7" w:rsidRPr="00CC00B0" w14:paraId="1719B46C" w14:textId="77777777" w:rsidTr="001D3CDB">
        <w:trPr>
          <w:trHeight w:val="560"/>
        </w:trPr>
        <w:tc>
          <w:tcPr>
            <w:tcW w:w="1541" w:type="dxa"/>
          </w:tcPr>
          <w:p w14:paraId="07D44AB9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Veteran</w:t>
            </w:r>
          </w:p>
        </w:tc>
        <w:tc>
          <w:tcPr>
            <w:tcW w:w="1180" w:type="dxa"/>
          </w:tcPr>
          <w:p w14:paraId="764340BE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137</w:t>
            </w:r>
          </w:p>
        </w:tc>
        <w:tc>
          <w:tcPr>
            <w:tcW w:w="865" w:type="dxa"/>
          </w:tcPr>
          <w:p w14:paraId="0D17B94E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8</w:t>
            </w:r>
          </w:p>
        </w:tc>
        <w:tc>
          <w:tcPr>
            <w:tcW w:w="820" w:type="dxa"/>
          </w:tcPr>
          <w:p w14:paraId="622C979C" w14:textId="77777777" w:rsidR="004F59E7" w:rsidRPr="00CC00B0" w:rsidRDefault="004F59E7" w:rsidP="001D3CDB">
            <w:pPr>
              <w:pStyle w:val="TableParagraph"/>
              <w:spacing w:before="95"/>
              <w:ind w:left="80" w:right="94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Clinical</w:t>
            </w:r>
          </w:p>
        </w:tc>
        <w:tc>
          <w:tcPr>
            <w:tcW w:w="1057" w:type="dxa"/>
          </w:tcPr>
          <w:p w14:paraId="63C1374D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0.0657</w:t>
            </w:r>
          </w:p>
        </w:tc>
        <w:tc>
          <w:tcPr>
            <w:tcW w:w="4092" w:type="dxa"/>
          </w:tcPr>
          <w:p w14:paraId="067379F1" w14:textId="77777777" w:rsidR="004F59E7" w:rsidRPr="00CC00B0" w:rsidRDefault="004F59E7" w:rsidP="001D3CDB">
            <w:pPr>
              <w:pStyle w:val="TableParagraph"/>
              <w:spacing w:before="114" w:line="268" w:lineRule="auto"/>
              <w:ind w:left="324" w:hanging="22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Kalbfleisch,J.D.</w:t>
            </w:r>
            <w:r w:rsidRPr="00CC00B0">
              <w:rPr>
                <w:spacing w:val="6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and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Prentice,R.L.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(2002)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The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Statistical</w:t>
            </w:r>
            <w:r w:rsidRPr="00CC00B0">
              <w:rPr>
                <w:spacing w:val="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Analysis</w:t>
            </w:r>
            <w:r w:rsidRPr="00CC00B0">
              <w:rPr>
                <w:spacing w:val="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of</w:t>
            </w:r>
            <w:r w:rsidRPr="00CC00B0">
              <w:rPr>
                <w:spacing w:val="-3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Failure</w:t>
            </w:r>
            <w:r w:rsidRPr="00CC00B0">
              <w:rPr>
                <w:spacing w:val="-5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Time</w:t>
            </w:r>
            <w:r w:rsidRPr="00CC00B0">
              <w:rPr>
                <w:spacing w:val="-4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Data.</w:t>
            </w:r>
            <w:r w:rsidRPr="00CC00B0">
              <w:rPr>
                <w:spacing w:val="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Wiley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Series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in</w:t>
            </w:r>
            <w:r w:rsidRPr="00CC00B0">
              <w:rPr>
                <w:spacing w:val="-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Probability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and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Statistics.</w:t>
            </w:r>
          </w:p>
        </w:tc>
      </w:tr>
      <w:tr w:rsidR="004F59E7" w:rsidRPr="00CC00B0" w14:paraId="6E45D80C" w14:textId="77777777" w:rsidTr="001D3CDB">
        <w:trPr>
          <w:trHeight w:val="520"/>
        </w:trPr>
        <w:tc>
          <w:tcPr>
            <w:tcW w:w="1541" w:type="dxa"/>
          </w:tcPr>
          <w:p w14:paraId="502B4A9B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Ovarian_1</w:t>
            </w:r>
          </w:p>
        </w:tc>
        <w:tc>
          <w:tcPr>
            <w:tcW w:w="1180" w:type="dxa"/>
          </w:tcPr>
          <w:p w14:paraId="27D9FF11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194</w:t>
            </w:r>
          </w:p>
        </w:tc>
        <w:tc>
          <w:tcPr>
            <w:tcW w:w="865" w:type="dxa"/>
          </w:tcPr>
          <w:p w14:paraId="711AF216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16050</w:t>
            </w:r>
          </w:p>
        </w:tc>
        <w:tc>
          <w:tcPr>
            <w:tcW w:w="820" w:type="dxa"/>
          </w:tcPr>
          <w:p w14:paraId="31C617B3" w14:textId="77777777" w:rsidR="004F59E7" w:rsidRPr="00CC00B0" w:rsidRDefault="004F59E7" w:rsidP="001D3CDB">
            <w:pPr>
              <w:pStyle w:val="TableParagraph"/>
              <w:spacing w:before="95"/>
              <w:ind w:left="80" w:right="181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Omics</w:t>
            </w:r>
          </w:p>
        </w:tc>
        <w:tc>
          <w:tcPr>
            <w:tcW w:w="1057" w:type="dxa"/>
          </w:tcPr>
          <w:p w14:paraId="17880279" w14:textId="77777777" w:rsidR="004F59E7" w:rsidRPr="00CC00B0" w:rsidRDefault="004F59E7" w:rsidP="001D3CDB">
            <w:pPr>
              <w:pStyle w:val="TableParagraph"/>
              <w:spacing w:before="9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0.7062</w:t>
            </w:r>
          </w:p>
        </w:tc>
        <w:tc>
          <w:tcPr>
            <w:tcW w:w="4092" w:type="dxa"/>
          </w:tcPr>
          <w:p w14:paraId="57D3AAA1" w14:textId="77777777" w:rsidR="004F59E7" w:rsidRPr="00CC00B0" w:rsidRDefault="004F59E7" w:rsidP="001D3CDB">
            <w:pPr>
              <w:pStyle w:val="TableParagraph"/>
              <w:spacing w:before="99"/>
              <w:ind w:left="99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Ganzfried,B.F.</w:t>
            </w:r>
            <w:r w:rsidRPr="00CC00B0">
              <w:rPr>
                <w:spacing w:val="-6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et</w:t>
            </w:r>
            <w:r w:rsidRPr="00CC00B0">
              <w:rPr>
                <w:spacing w:val="-5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al.</w:t>
            </w:r>
            <w:r w:rsidRPr="00CC00B0">
              <w:rPr>
                <w:spacing w:val="-6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(2013)</w:t>
            </w:r>
            <w:r w:rsidRPr="00CC00B0">
              <w:rPr>
                <w:spacing w:val="-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curatedOvarianData:</w:t>
            </w:r>
            <w:r w:rsidRPr="00CC00B0">
              <w:rPr>
                <w:spacing w:val="-5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clinically</w:t>
            </w:r>
            <w:r w:rsidRPr="00CC00B0">
              <w:rPr>
                <w:spacing w:val="-6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annotated</w:t>
            </w:r>
            <w:r w:rsidRPr="00CC00B0">
              <w:rPr>
                <w:spacing w:val="-3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data</w:t>
            </w:r>
            <w:r w:rsidRPr="00CC00B0">
              <w:rPr>
                <w:spacing w:val="-4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for</w:t>
            </w:r>
            <w:r w:rsidRPr="00CC00B0">
              <w:rPr>
                <w:spacing w:val="-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the</w:t>
            </w:r>
            <w:r w:rsidRPr="00CC00B0">
              <w:rPr>
                <w:spacing w:val="-4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ovarian</w:t>
            </w:r>
            <w:r w:rsidRPr="00CC00B0">
              <w:rPr>
                <w:spacing w:val="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cancer</w:t>
            </w:r>
            <w:r w:rsidRPr="00CC00B0">
              <w:rPr>
                <w:spacing w:val="-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transcriptome.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Database,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2013.</w:t>
            </w:r>
          </w:p>
        </w:tc>
      </w:tr>
      <w:tr w:rsidR="004F59E7" w:rsidRPr="00CC00B0" w14:paraId="0C071A41" w14:textId="77777777" w:rsidTr="001D3CDB">
        <w:trPr>
          <w:trHeight w:val="739"/>
        </w:trPr>
        <w:tc>
          <w:tcPr>
            <w:tcW w:w="1541" w:type="dxa"/>
          </w:tcPr>
          <w:p w14:paraId="087E4457" w14:textId="77777777" w:rsidR="004F59E7" w:rsidRPr="00CC00B0" w:rsidRDefault="004F59E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Lung</w:t>
            </w:r>
          </w:p>
        </w:tc>
        <w:tc>
          <w:tcPr>
            <w:tcW w:w="1180" w:type="dxa"/>
          </w:tcPr>
          <w:p w14:paraId="6F107A5F" w14:textId="77777777" w:rsidR="004F59E7" w:rsidRPr="00CC00B0" w:rsidRDefault="004F59E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228</w:t>
            </w:r>
          </w:p>
        </w:tc>
        <w:tc>
          <w:tcPr>
            <w:tcW w:w="865" w:type="dxa"/>
          </w:tcPr>
          <w:p w14:paraId="66337443" w14:textId="77777777" w:rsidR="004F59E7" w:rsidRPr="00CC00B0" w:rsidRDefault="004F59E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9</w:t>
            </w:r>
          </w:p>
        </w:tc>
        <w:tc>
          <w:tcPr>
            <w:tcW w:w="820" w:type="dxa"/>
          </w:tcPr>
          <w:p w14:paraId="5F0021F4" w14:textId="77777777" w:rsidR="004F59E7" w:rsidRPr="00CC00B0" w:rsidRDefault="004F59E7" w:rsidP="001D3CDB">
            <w:pPr>
              <w:pStyle w:val="TableParagraph"/>
              <w:spacing w:before="100"/>
              <w:ind w:left="80" w:right="94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Clinical</w:t>
            </w:r>
          </w:p>
        </w:tc>
        <w:tc>
          <w:tcPr>
            <w:tcW w:w="1057" w:type="dxa"/>
          </w:tcPr>
          <w:p w14:paraId="232371E6" w14:textId="77777777" w:rsidR="004F59E7" w:rsidRPr="00CC00B0" w:rsidRDefault="004F59E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0.2763</w:t>
            </w:r>
          </w:p>
        </w:tc>
        <w:tc>
          <w:tcPr>
            <w:tcW w:w="4092" w:type="dxa"/>
          </w:tcPr>
          <w:p w14:paraId="21D53962" w14:textId="77777777" w:rsidR="004F59E7" w:rsidRPr="00CC00B0" w:rsidRDefault="004F59E7" w:rsidP="001D3CDB">
            <w:pPr>
              <w:pStyle w:val="TableParagraph"/>
              <w:spacing w:before="114" w:line="268" w:lineRule="auto"/>
              <w:ind w:left="324" w:right="78" w:hanging="225"/>
              <w:jc w:val="both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Loprinzi,C.L.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et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al.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(1994)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Prospective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evaluation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of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prognostic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variables from patient-completed questionnaires. North Central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Cancer</w:t>
            </w:r>
            <w:r w:rsidRPr="00CC00B0">
              <w:rPr>
                <w:spacing w:val="-3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Treatment Group.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J. Clin.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Oncol., 12,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601–607.</w:t>
            </w:r>
          </w:p>
        </w:tc>
      </w:tr>
      <w:tr w:rsidR="004F59E7" w:rsidRPr="00CC00B0" w14:paraId="45BCC9B0" w14:textId="77777777" w:rsidTr="001D3CDB">
        <w:trPr>
          <w:trHeight w:val="1100"/>
        </w:trPr>
        <w:tc>
          <w:tcPr>
            <w:tcW w:w="1541" w:type="dxa"/>
          </w:tcPr>
          <w:p w14:paraId="0786E531" w14:textId="77777777" w:rsidR="004F59E7" w:rsidRPr="00CC00B0" w:rsidRDefault="004F59E7" w:rsidP="001D3CDB">
            <w:pPr>
              <w:pStyle w:val="TableParagraph"/>
              <w:spacing w:before="101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lastRenderedPageBreak/>
              <w:t>GE_6</w:t>
            </w:r>
          </w:p>
        </w:tc>
        <w:tc>
          <w:tcPr>
            <w:tcW w:w="1180" w:type="dxa"/>
          </w:tcPr>
          <w:p w14:paraId="5D133768" w14:textId="77777777" w:rsidR="004F59E7" w:rsidRPr="00CC00B0" w:rsidRDefault="004F59E7" w:rsidP="001D3CDB">
            <w:pPr>
              <w:pStyle w:val="TableParagraph"/>
              <w:spacing w:before="101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240</w:t>
            </w:r>
          </w:p>
        </w:tc>
        <w:tc>
          <w:tcPr>
            <w:tcW w:w="865" w:type="dxa"/>
          </w:tcPr>
          <w:p w14:paraId="454169DF" w14:textId="77777777" w:rsidR="004F59E7" w:rsidRPr="00CC00B0" w:rsidRDefault="004F59E7" w:rsidP="001D3CDB">
            <w:pPr>
              <w:pStyle w:val="TableParagraph"/>
              <w:spacing w:before="101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7401</w:t>
            </w:r>
          </w:p>
        </w:tc>
        <w:tc>
          <w:tcPr>
            <w:tcW w:w="820" w:type="dxa"/>
          </w:tcPr>
          <w:p w14:paraId="798768B9" w14:textId="77777777" w:rsidR="004F59E7" w:rsidRPr="00CC00B0" w:rsidRDefault="004F59E7" w:rsidP="001D3CDB">
            <w:pPr>
              <w:pStyle w:val="TableParagraph"/>
              <w:spacing w:before="101"/>
              <w:ind w:left="80" w:right="181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Omics</w:t>
            </w:r>
          </w:p>
        </w:tc>
        <w:tc>
          <w:tcPr>
            <w:tcW w:w="1057" w:type="dxa"/>
          </w:tcPr>
          <w:p w14:paraId="5AC983CE" w14:textId="77777777" w:rsidR="004F59E7" w:rsidRPr="00CC00B0" w:rsidRDefault="004F59E7" w:rsidP="001D3CDB">
            <w:pPr>
              <w:pStyle w:val="TableParagraph"/>
              <w:spacing w:before="101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0.4250</w:t>
            </w:r>
          </w:p>
        </w:tc>
        <w:tc>
          <w:tcPr>
            <w:tcW w:w="4092" w:type="dxa"/>
          </w:tcPr>
          <w:p w14:paraId="7FD266C0" w14:textId="77777777" w:rsidR="004F59E7" w:rsidRPr="00CC00B0" w:rsidRDefault="004F59E7" w:rsidP="001D3CDB">
            <w:pPr>
              <w:pStyle w:val="TableParagraph"/>
              <w:spacing w:before="114" w:line="268" w:lineRule="auto"/>
              <w:ind w:left="324" w:right="81" w:hanging="225"/>
              <w:jc w:val="both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Van Houwelingen,H.C. (2004) The Elements of Statistical Learning,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Data Mining, Inference, and Prediction. Trevor Hastie, Robert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Tibshirani and Jerome Friedman, Springer, New York, 2001. No.</w:t>
            </w:r>
            <w:r w:rsidRPr="00CC00B0">
              <w:rPr>
                <w:spacing w:val="-3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of pages: xvi 533. ISBN 0-387-95284-5. Statistics in Medicine,</w:t>
            </w:r>
            <w:r w:rsidRPr="00CC00B0">
              <w:rPr>
                <w:spacing w:val="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23, 528–529.</w:t>
            </w:r>
          </w:p>
        </w:tc>
      </w:tr>
      <w:tr w:rsidR="004F59E7" w:rsidRPr="00CC00B0" w14:paraId="1A6A54CA" w14:textId="77777777" w:rsidTr="001D3CDB">
        <w:trPr>
          <w:trHeight w:val="560"/>
        </w:trPr>
        <w:tc>
          <w:tcPr>
            <w:tcW w:w="1541" w:type="dxa"/>
          </w:tcPr>
          <w:p w14:paraId="76923B2D" w14:textId="77777777" w:rsidR="004F59E7" w:rsidRPr="00CC00B0" w:rsidRDefault="004F59E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GE_2</w:t>
            </w:r>
          </w:p>
        </w:tc>
        <w:tc>
          <w:tcPr>
            <w:tcW w:w="1180" w:type="dxa"/>
          </w:tcPr>
          <w:p w14:paraId="62F5302C" w14:textId="77777777" w:rsidR="004F59E7" w:rsidRPr="00CC00B0" w:rsidRDefault="004F59E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295</w:t>
            </w:r>
          </w:p>
        </w:tc>
        <w:tc>
          <w:tcPr>
            <w:tcW w:w="865" w:type="dxa"/>
          </w:tcPr>
          <w:p w14:paraId="7345E784" w14:textId="77777777" w:rsidR="004F59E7" w:rsidRPr="00CC00B0" w:rsidRDefault="004F59E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4921</w:t>
            </w:r>
          </w:p>
        </w:tc>
        <w:tc>
          <w:tcPr>
            <w:tcW w:w="820" w:type="dxa"/>
          </w:tcPr>
          <w:p w14:paraId="5BCFA37E" w14:textId="77777777" w:rsidR="004F59E7" w:rsidRPr="00CC00B0" w:rsidRDefault="004F59E7" w:rsidP="001D3CDB">
            <w:pPr>
              <w:pStyle w:val="TableParagraph"/>
              <w:spacing w:before="100"/>
              <w:ind w:left="80" w:right="181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Omics</w:t>
            </w:r>
          </w:p>
        </w:tc>
        <w:tc>
          <w:tcPr>
            <w:tcW w:w="1057" w:type="dxa"/>
          </w:tcPr>
          <w:p w14:paraId="47C01262" w14:textId="77777777" w:rsidR="004F59E7" w:rsidRPr="00CC00B0" w:rsidRDefault="004F59E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0.7322</w:t>
            </w:r>
          </w:p>
        </w:tc>
        <w:tc>
          <w:tcPr>
            <w:tcW w:w="4092" w:type="dxa"/>
          </w:tcPr>
          <w:p w14:paraId="2E8E0BE0" w14:textId="77777777" w:rsidR="004F59E7" w:rsidRPr="00CC00B0" w:rsidRDefault="004F59E7" w:rsidP="001D3CDB">
            <w:pPr>
              <w:pStyle w:val="TableParagraph"/>
              <w:spacing w:before="114" w:line="268" w:lineRule="auto"/>
              <w:ind w:left="324" w:hanging="22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Beer,D.G.</w:t>
            </w:r>
            <w:r w:rsidRPr="00CC00B0">
              <w:rPr>
                <w:spacing w:val="9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et</w:t>
            </w:r>
            <w:r w:rsidRPr="00CC00B0">
              <w:rPr>
                <w:spacing w:val="1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al.</w:t>
            </w:r>
            <w:r w:rsidRPr="00CC00B0">
              <w:rPr>
                <w:spacing w:val="9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(2002)</w:t>
            </w:r>
            <w:r w:rsidRPr="00CC00B0">
              <w:rPr>
                <w:spacing w:val="10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Gene-expression</w:t>
            </w:r>
            <w:r w:rsidRPr="00CC00B0">
              <w:rPr>
                <w:spacing w:val="9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profiles</w:t>
            </w:r>
            <w:r w:rsidRPr="00CC00B0">
              <w:rPr>
                <w:spacing w:val="1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predict</w:t>
            </w:r>
            <w:r w:rsidRPr="00CC00B0">
              <w:rPr>
                <w:spacing w:val="10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survival</w:t>
            </w:r>
            <w:r w:rsidRPr="00CC00B0">
              <w:rPr>
                <w:spacing w:val="1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of</w:t>
            </w:r>
            <w:r w:rsidRPr="00CC00B0">
              <w:rPr>
                <w:spacing w:val="-3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patients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with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lung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adenocarcinoma.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Nat.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Med.,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8,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816–824.</w:t>
            </w:r>
          </w:p>
        </w:tc>
      </w:tr>
      <w:tr w:rsidR="004F59E7" w:rsidRPr="00CC00B0" w14:paraId="4D9C580F" w14:textId="77777777" w:rsidTr="001D3CDB">
        <w:trPr>
          <w:trHeight w:val="560"/>
        </w:trPr>
        <w:tc>
          <w:tcPr>
            <w:tcW w:w="1541" w:type="dxa"/>
          </w:tcPr>
          <w:p w14:paraId="7C4376A3" w14:textId="77777777" w:rsidR="004F59E7" w:rsidRPr="00CC00B0" w:rsidRDefault="004F59E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PBC</w:t>
            </w:r>
          </w:p>
        </w:tc>
        <w:tc>
          <w:tcPr>
            <w:tcW w:w="1180" w:type="dxa"/>
          </w:tcPr>
          <w:p w14:paraId="432B4054" w14:textId="77777777" w:rsidR="004F59E7" w:rsidRPr="00CC00B0" w:rsidRDefault="004F59E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312</w:t>
            </w:r>
          </w:p>
        </w:tc>
        <w:tc>
          <w:tcPr>
            <w:tcW w:w="865" w:type="dxa"/>
          </w:tcPr>
          <w:p w14:paraId="6D4FACC1" w14:textId="77777777" w:rsidR="004F59E7" w:rsidRPr="00CC00B0" w:rsidRDefault="004F59E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7</w:t>
            </w:r>
          </w:p>
        </w:tc>
        <w:tc>
          <w:tcPr>
            <w:tcW w:w="820" w:type="dxa"/>
          </w:tcPr>
          <w:p w14:paraId="24A36AF1" w14:textId="77777777" w:rsidR="004F59E7" w:rsidRPr="00CC00B0" w:rsidRDefault="004F59E7" w:rsidP="001D3CDB">
            <w:pPr>
              <w:pStyle w:val="TableParagraph"/>
              <w:spacing w:before="100"/>
              <w:ind w:left="80" w:right="94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Clinical</w:t>
            </w:r>
          </w:p>
        </w:tc>
        <w:tc>
          <w:tcPr>
            <w:tcW w:w="1057" w:type="dxa"/>
          </w:tcPr>
          <w:p w14:paraId="2C4A58B9" w14:textId="77777777" w:rsidR="004F59E7" w:rsidRPr="00CC00B0" w:rsidRDefault="004F59E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0.5994</w:t>
            </w:r>
          </w:p>
        </w:tc>
        <w:tc>
          <w:tcPr>
            <w:tcW w:w="4092" w:type="dxa"/>
          </w:tcPr>
          <w:p w14:paraId="3B3A7B63" w14:textId="77777777" w:rsidR="004F59E7" w:rsidRPr="00CC00B0" w:rsidRDefault="004F59E7" w:rsidP="001D3CDB">
            <w:pPr>
              <w:pStyle w:val="TableParagraph"/>
              <w:spacing w:before="114" w:line="268" w:lineRule="auto"/>
              <w:ind w:left="324" w:hanging="225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Fleming,T.R.</w:t>
            </w:r>
            <w:r w:rsidRPr="00CC00B0">
              <w:rPr>
                <w:spacing w:val="26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and</w:t>
            </w:r>
            <w:r w:rsidRPr="00CC00B0">
              <w:rPr>
                <w:spacing w:val="27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Harrington,D.P.</w:t>
            </w:r>
            <w:r w:rsidRPr="00CC00B0">
              <w:rPr>
                <w:spacing w:val="27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(2005)</w:t>
            </w:r>
            <w:r w:rsidRPr="00CC00B0">
              <w:rPr>
                <w:spacing w:val="26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Counting</w:t>
            </w:r>
            <w:r w:rsidRPr="00CC00B0">
              <w:rPr>
                <w:spacing w:val="26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Processes</w:t>
            </w:r>
            <w:r w:rsidRPr="00CC00B0">
              <w:rPr>
                <w:spacing w:val="28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and</w:t>
            </w:r>
            <w:r w:rsidRPr="00CC00B0">
              <w:rPr>
                <w:spacing w:val="-3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Survival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Analysis.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Wiley</w:t>
            </w:r>
            <w:r w:rsidRPr="00CC00B0">
              <w:rPr>
                <w:spacing w:val="-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Series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in</w:t>
            </w:r>
            <w:r w:rsidRPr="00CC00B0">
              <w:rPr>
                <w:spacing w:val="-1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Probability</w:t>
            </w:r>
            <w:r w:rsidRPr="00CC00B0">
              <w:rPr>
                <w:spacing w:val="-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and</w:t>
            </w:r>
            <w:r w:rsidRPr="00CC00B0">
              <w:rPr>
                <w:spacing w:val="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Statistics.</w:t>
            </w:r>
          </w:p>
        </w:tc>
      </w:tr>
      <w:tr w:rsidR="004F59E7" w:rsidRPr="00CC00B0" w14:paraId="6F06E979" w14:textId="77777777" w:rsidTr="001D3CDB">
        <w:trPr>
          <w:trHeight w:val="385"/>
        </w:trPr>
        <w:tc>
          <w:tcPr>
            <w:tcW w:w="1541" w:type="dxa"/>
          </w:tcPr>
          <w:p w14:paraId="01EB2227" w14:textId="77777777" w:rsidR="004F59E7" w:rsidRPr="00CC00B0" w:rsidRDefault="004F59E7" w:rsidP="001D3CDB">
            <w:pPr>
              <w:pStyle w:val="TableParagraph"/>
              <w:spacing w:before="101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UNOS_Kidney</w:t>
            </w:r>
          </w:p>
        </w:tc>
        <w:tc>
          <w:tcPr>
            <w:tcW w:w="1180" w:type="dxa"/>
          </w:tcPr>
          <w:p w14:paraId="3489D875" w14:textId="77777777" w:rsidR="004F59E7" w:rsidRPr="00CC00B0" w:rsidRDefault="004F59E7" w:rsidP="001D3CDB">
            <w:pPr>
              <w:pStyle w:val="TableParagraph"/>
              <w:spacing w:before="101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3000</w:t>
            </w:r>
          </w:p>
        </w:tc>
        <w:tc>
          <w:tcPr>
            <w:tcW w:w="865" w:type="dxa"/>
          </w:tcPr>
          <w:p w14:paraId="2741D361" w14:textId="77777777" w:rsidR="004F59E7" w:rsidRPr="00CC00B0" w:rsidRDefault="004F59E7" w:rsidP="001D3CDB">
            <w:pPr>
              <w:pStyle w:val="TableParagraph"/>
              <w:spacing w:before="101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101</w:t>
            </w:r>
          </w:p>
        </w:tc>
        <w:tc>
          <w:tcPr>
            <w:tcW w:w="820" w:type="dxa"/>
          </w:tcPr>
          <w:p w14:paraId="2356F6AC" w14:textId="77777777" w:rsidR="004F59E7" w:rsidRPr="00CC00B0" w:rsidRDefault="004F59E7" w:rsidP="001D3CDB">
            <w:pPr>
              <w:pStyle w:val="TableParagraph"/>
              <w:spacing w:before="101"/>
              <w:ind w:left="80" w:right="94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Clinical</w:t>
            </w:r>
          </w:p>
        </w:tc>
        <w:tc>
          <w:tcPr>
            <w:tcW w:w="1057" w:type="dxa"/>
          </w:tcPr>
          <w:p w14:paraId="5A41F46E" w14:textId="77777777" w:rsidR="004F59E7" w:rsidRPr="00CC00B0" w:rsidRDefault="004F59E7" w:rsidP="001D3CDB">
            <w:pPr>
              <w:pStyle w:val="TableParagraph"/>
              <w:spacing w:before="101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0.7350</w:t>
            </w:r>
          </w:p>
        </w:tc>
        <w:tc>
          <w:tcPr>
            <w:tcW w:w="4092" w:type="dxa"/>
          </w:tcPr>
          <w:p w14:paraId="2F4B18E6" w14:textId="77777777" w:rsidR="004F59E7" w:rsidRPr="00BA0A15" w:rsidRDefault="004F59E7" w:rsidP="001D3CDB">
            <w:pPr>
              <w:pStyle w:val="TableParagraph"/>
              <w:spacing w:before="101"/>
              <w:ind w:left="99"/>
              <w:rPr>
                <w:sz w:val="18"/>
                <w:szCs w:val="18"/>
                <w:lang w:val="en-AU"/>
              </w:rPr>
            </w:pPr>
            <w:r w:rsidRPr="00CC00B0">
              <w:rPr>
                <w:sz w:val="18"/>
                <w:szCs w:val="18"/>
              </w:rPr>
              <w:t>OPTN</w:t>
            </w:r>
            <w:r w:rsidRPr="00CC00B0">
              <w:rPr>
                <w:spacing w:val="-2"/>
                <w:sz w:val="18"/>
                <w:szCs w:val="18"/>
              </w:rPr>
              <w:t xml:space="preserve"> </w:t>
            </w:r>
            <w:r w:rsidRPr="00CC00B0"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 xml:space="preserve"> (</w:t>
            </w:r>
            <w:r w:rsidRPr="00BA0A15">
              <w:rPr>
                <w:sz w:val="18"/>
                <w:szCs w:val="18"/>
              </w:rPr>
              <w:t>https://optn.transplant.hrsa.gov/</w:t>
            </w:r>
            <w:r>
              <w:rPr>
                <w:sz w:val="18"/>
                <w:szCs w:val="18"/>
              </w:rPr>
              <w:t>)</w:t>
            </w:r>
          </w:p>
        </w:tc>
      </w:tr>
      <w:tr w:rsidR="004F59E7" w:rsidRPr="00CC00B0" w14:paraId="7C020799" w14:textId="77777777" w:rsidTr="001D3CDB">
        <w:trPr>
          <w:trHeight w:val="384"/>
        </w:trPr>
        <w:tc>
          <w:tcPr>
            <w:tcW w:w="1541" w:type="dxa"/>
          </w:tcPr>
          <w:p w14:paraId="7737B074" w14:textId="77777777" w:rsidR="004F59E7" w:rsidRPr="00CC00B0" w:rsidRDefault="004F59E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ANZ</w:t>
            </w:r>
          </w:p>
        </w:tc>
        <w:tc>
          <w:tcPr>
            <w:tcW w:w="1180" w:type="dxa"/>
          </w:tcPr>
          <w:p w14:paraId="2E7948C1" w14:textId="77777777" w:rsidR="004F59E7" w:rsidRPr="00CC00B0" w:rsidRDefault="004F59E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3323</w:t>
            </w:r>
          </w:p>
        </w:tc>
        <w:tc>
          <w:tcPr>
            <w:tcW w:w="865" w:type="dxa"/>
          </w:tcPr>
          <w:p w14:paraId="7DE8DC44" w14:textId="77777777" w:rsidR="004F59E7" w:rsidRPr="00CC00B0" w:rsidRDefault="004F59E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40</w:t>
            </w:r>
          </w:p>
        </w:tc>
        <w:tc>
          <w:tcPr>
            <w:tcW w:w="820" w:type="dxa"/>
          </w:tcPr>
          <w:p w14:paraId="695719D5" w14:textId="77777777" w:rsidR="004F59E7" w:rsidRPr="00CC00B0" w:rsidRDefault="004F59E7" w:rsidP="001D3CDB">
            <w:pPr>
              <w:pStyle w:val="TableParagraph"/>
              <w:spacing w:before="100"/>
              <w:ind w:left="80" w:right="94"/>
              <w:jc w:val="center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Clinical</w:t>
            </w:r>
          </w:p>
        </w:tc>
        <w:tc>
          <w:tcPr>
            <w:tcW w:w="1057" w:type="dxa"/>
          </w:tcPr>
          <w:p w14:paraId="4D86E768" w14:textId="77777777" w:rsidR="004F59E7" w:rsidRPr="00CC00B0" w:rsidRDefault="004F59E7" w:rsidP="001D3CDB">
            <w:pPr>
              <w:pStyle w:val="TableParagraph"/>
              <w:spacing w:before="100"/>
              <w:rPr>
                <w:sz w:val="18"/>
                <w:szCs w:val="18"/>
              </w:rPr>
            </w:pPr>
            <w:r w:rsidRPr="00CC00B0">
              <w:rPr>
                <w:sz w:val="18"/>
                <w:szCs w:val="18"/>
              </w:rPr>
              <w:t>0.8739</w:t>
            </w:r>
          </w:p>
        </w:tc>
        <w:tc>
          <w:tcPr>
            <w:tcW w:w="4092" w:type="dxa"/>
          </w:tcPr>
          <w:p w14:paraId="4B685141" w14:textId="77777777" w:rsidR="004F59E7" w:rsidRPr="00BA0A15" w:rsidRDefault="004F59E7" w:rsidP="001D3CDB">
            <w:pPr>
              <w:pStyle w:val="TableParagraph"/>
              <w:spacing w:before="100"/>
              <w:ind w:left="99"/>
              <w:rPr>
                <w:sz w:val="18"/>
                <w:szCs w:val="18"/>
                <w:lang w:val="en-AU"/>
              </w:rPr>
            </w:pPr>
            <w:r w:rsidRPr="00CC00B0">
              <w:rPr>
                <w:sz w:val="18"/>
                <w:szCs w:val="18"/>
              </w:rPr>
              <w:t>ANZDATA</w:t>
            </w:r>
            <w:r>
              <w:rPr>
                <w:sz w:val="18"/>
                <w:szCs w:val="18"/>
              </w:rPr>
              <w:t xml:space="preserve"> (</w:t>
            </w:r>
            <w:r w:rsidRPr="00BA0A15">
              <w:rPr>
                <w:sz w:val="18"/>
                <w:szCs w:val="18"/>
              </w:rPr>
              <w:t>https://www.anzdata.org.au/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5C650BB1" w14:textId="77777777" w:rsidR="004F59E7" w:rsidRPr="00CC00B0" w:rsidRDefault="004F59E7" w:rsidP="004F59E7">
      <w:pPr>
        <w:pStyle w:val="BodyText"/>
        <w:spacing w:before="94" w:line="261" w:lineRule="auto"/>
        <w:ind w:left="100" w:right="1388"/>
        <w:rPr>
          <w:sz w:val="22"/>
          <w:szCs w:val="22"/>
        </w:rPr>
      </w:pPr>
      <w:r w:rsidRPr="00CC00B0">
        <w:rPr>
          <w:sz w:val="22"/>
          <w:szCs w:val="22"/>
        </w:rPr>
        <w:t>Data table showing the names of datasets used in this paper in the first column. Censoring rate</w:t>
      </w:r>
      <w:r w:rsidRPr="00CC00B0">
        <w:rPr>
          <w:spacing w:val="-1"/>
          <w:sz w:val="22"/>
          <w:szCs w:val="22"/>
        </w:rPr>
        <w:t xml:space="preserve"> </w:t>
      </w:r>
      <w:r w:rsidRPr="00CC00B0">
        <w:rPr>
          <w:sz w:val="22"/>
          <w:szCs w:val="22"/>
        </w:rPr>
        <w:t>is</w:t>
      </w:r>
      <w:r w:rsidRPr="00CC00B0">
        <w:rPr>
          <w:spacing w:val="-4"/>
          <w:sz w:val="22"/>
          <w:szCs w:val="22"/>
        </w:rPr>
        <w:t xml:space="preserve"> </w:t>
      </w:r>
      <w:r w:rsidRPr="00CC00B0">
        <w:rPr>
          <w:sz w:val="22"/>
          <w:szCs w:val="22"/>
        </w:rPr>
        <w:t>rounded</w:t>
      </w:r>
      <w:r w:rsidRPr="00CC00B0">
        <w:rPr>
          <w:spacing w:val="-1"/>
          <w:sz w:val="22"/>
          <w:szCs w:val="22"/>
        </w:rPr>
        <w:t xml:space="preserve"> </w:t>
      </w:r>
      <w:r w:rsidRPr="00CC00B0">
        <w:rPr>
          <w:sz w:val="22"/>
          <w:szCs w:val="22"/>
        </w:rPr>
        <w:t>to 4</w:t>
      </w:r>
      <w:r w:rsidRPr="00CC00B0">
        <w:rPr>
          <w:spacing w:val="-1"/>
          <w:sz w:val="22"/>
          <w:szCs w:val="22"/>
        </w:rPr>
        <w:t xml:space="preserve"> </w:t>
      </w:r>
      <w:r w:rsidRPr="00CC00B0">
        <w:rPr>
          <w:sz w:val="22"/>
          <w:szCs w:val="22"/>
        </w:rPr>
        <w:t>decimal places.</w:t>
      </w:r>
    </w:p>
    <w:p w14:paraId="658D08F3" w14:textId="77777777" w:rsidR="0064095C" w:rsidRPr="004F59E7" w:rsidRDefault="004F59E7" w:rsidP="004F59E7">
      <w:bookmarkStart w:id="0" w:name="_GoBack"/>
      <w:bookmarkEnd w:id="0"/>
    </w:p>
    <w:sectPr w:rsidR="0064095C" w:rsidRPr="004F59E7" w:rsidSect="00551A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8A"/>
    <w:rsid w:val="000C15EA"/>
    <w:rsid w:val="00127284"/>
    <w:rsid w:val="001D0190"/>
    <w:rsid w:val="00214B8A"/>
    <w:rsid w:val="004F59E7"/>
    <w:rsid w:val="00551AEE"/>
    <w:rsid w:val="0064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E609"/>
  <w15:chartTrackingRefBased/>
  <w15:docId w15:val="{D4EE5B3F-4716-534C-A0DD-5E4E9D8B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3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33B7"/>
    <w:pPr>
      <w:widowControl w:val="0"/>
      <w:autoSpaceDE w:val="0"/>
      <w:autoSpaceDN w:val="0"/>
    </w:pPr>
    <w:rPr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433B7"/>
    <w:rPr>
      <w:rFonts w:ascii="Times New Roman" w:eastAsia="Times New Roman" w:hAnsi="Times New Roman" w:cs="Times New Roman"/>
      <w:sz w:val="16"/>
      <w:szCs w:val="1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6433B7"/>
    <w:pPr>
      <w:widowControl w:val="0"/>
      <w:autoSpaceDE w:val="0"/>
      <w:autoSpaceDN w:val="0"/>
      <w:spacing w:before="19"/>
      <w:ind w:left="100"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01/2020.12.09.415927" TargetMode="External"/><Relationship Id="rId5" Type="http://schemas.openxmlformats.org/officeDocument/2006/relationships/hyperlink" Target="https://doi.org/10.1101/2020.12.09.415927" TargetMode="External"/><Relationship Id="rId4" Type="http://schemas.openxmlformats.org/officeDocument/2006/relationships/hyperlink" Target="https://doi.org/10.1101/2020.12.09.4159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Yunwei Zhang</dc:creator>
  <cp:keywords/>
  <dc:description/>
  <cp:lastModifiedBy>Yunwei Zhang</cp:lastModifiedBy>
  <cp:revision>5</cp:revision>
  <dcterms:created xsi:type="dcterms:W3CDTF">2022-05-26T00:21:00Z</dcterms:created>
  <dcterms:modified xsi:type="dcterms:W3CDTF">2022-05-26T21:14:00Z</dcterms:modified>
</cp:coreProperties>
</file>