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FFFFFF"/>
          <w:sz w:val="44"/>
          <w:szCs w:val="44"/>
          <w:shd w:fill="1E3A5F" w:val="clear"/>
        </w:rPr>
        <w:t xml:space="preserve">Data Validation Report</w:t>
      </w:r>
    </w:p>
    <w:p>
      <w:pPr>
        <w:spacing w:after="40" w:before="0"/>
      </w:pPr>
      <w:r>
        <w:rPr>
          <w:color w:val="FFFFFF"/>
          <w:sz w:val="22"/>
          <w:szCs w:val="22"/>
          <w:shd w:fill="1E3A5F" w:val="clear"/>
        </w:rPr>
        <w:t xml:space="preserve">transparency.duckdb  ·  Healthcare Price Transparency (MRF)</w:t>
      </w:r>
    </w:p>
    <w:p>
      <w:pPr>
        <w:spacing w:after="200" w:before="0"/>
      </w:pPr>
      <w:r>
        <w:rPr>
          <w:color w:val="DBEAFE"/>
          <w:sz w:val="18"/>
          <w:szCs w:val="18"/>
          <w:shd w:fill="1E3A5F" w:val="clear"/>
        </w:rPr>
        <w:t xml:space="preserve">Ingested 2026-08-21  ·  Source: UHC / UMR in-network rate files</w:t>
      </w:r>
    </w:p>
    <w:p>
      <w:pPr>
        <w:pStyle w:val="Heading1"/>
        <w:spacing w:after="80" w:before="280"/>
      </w:pPr>
      <w:r>
        <w:rPr>
          <w:b/>
          <w:bCs/>
          <w:color w:val="1E3A5F"/>
          <w:sz w:val="28"/>
          <w:szCs w:val="28"/>
        </w:rPr>
        <w:t xml:space="preserve">1. Executive summary</w:t>
      </w:r>
    </w:p>
    <w:p>
      <w:pPr>
        <w:spacing w:after="80" w:before="0"/>
      </w:pPr>
      <w:r>
        <w:rPr>
          <w:color w:val="374151"/>
          <w:sz w:val="20"/>
          <w:szCs w:val="20"/>
        </w:rPr>
        <w:t xml:space="preserve">This report summarises the output of validate_data.py run against transparency.duckdb on 21 August 2026. The database holds four tables — payers (724 rows), billing_codes (20,506), negotiated_rates (2,407,681), and providers (735,130) — populated from UHC and UMR Machine-Readable File (MRF) exports published under the Transparency in Coverage rule.</w:t>
      </w:r>
    </w:p>
    <w:p>
      <w:pPr>
        <w:spacing w:after="80" w:before="0"/>
      </w:pPr>
      <w:r>
        <w:rPr>
          <w:color w:val="374151"/>
          <w:sz w:val="20"/>
          <w:szCs w:val="20"/>
        </w:rPr>
        <w:t xml:space="preserve">40 checks were executed across seven categories: structure, referential integrity, completeness, domain values, format, duplicates, and coverage. The pipeline is structurally sound — all foreign keys resolve, all required columns are present, and all enumerated domain values are valid. One error and nine warnings were raised, detailed in sections 2 and 3 below.</w:t>
      </w:r>
    </w:p>
    <w:p>
      <w:pPr>
        <w:spacing w:after="10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color w:val="065F46"/>
                <w:sz w:val="18"/>
                <w:szCs w:val="18"/>
              </w:rPr>
              <w:t xml:space="preserve">Checks passed</w:t>
            </w:r>
          </w:p>
          <w:p>
            <w:pPr>
              <w:spacing w:after="0" w:before="0"/>
            </w:pPr>
            <w:r>
              <w:rPr>
                <w:b/>
                <w:bCs/>
                <w:color w:val="065F46"/>
                <w:sz w:val="40"/>
                <w:szCs w:val="40"/>
              </w:rPr>
              <w:t xml:space="preserve">30</w:t>
            </w:r>
          </w:p>
        </w:tc>
        <w:tc>
          <w:tcPr>
            <w:tcW w:type="dxa" w:w="2520"/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color w:val="92400E"/>
                <w:sz w:val="18"/>
                <w:szCs w:val="18"/>
              </w:rPr>
              <w:t xml:space="preserve">Warnings</w:t>
            </w:r>
          </w:p>
          <w:p>
            <w:pPr>
              <w:spacing w:after="0" w:before="0"/>
            </w:pPr>
            <w:r>
              <w:rPr>
                <w:b/>
                <w:bCs/>
                <w:color w:val="92400E"/>
                <w:sz w:val="40"/>
                <w:szCs w:val="40"/>
              </w:rPr>
              <w:t xml:space="preserve">9</w:t>
            </w:r>
          </w:p>
        </w:tc>
        <w:tc>
          <w:tcPr>
            <w:tcW w:type="dxa" w:w="2520"/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color w:val="B91C1C"/>
                <w:sz w:val="18"/>
                <w:szCs w:val="18"/>
              </w:rPr>
              <w:t xml:space="preserve">Errors</w:t>
            </w:r>
          </w:p>
          <w:p>
            <w:pPr>
              <w:spacing w:after="0" w:before="0"/>
            </w:pPr>
            <w:r>
              <w:rPr>
                <w:b/>
                <w:bCs/>
                <w:color w:val="B91C1C"/>
                <w:sz w:val="40"/>
                <w:szCs w:val="40"/>
              </w:rPr>
              <w:t xml:space="preserve">1</w:t>
            </w:r>
          </w:p>
        </w:tc>
        <w:tc>
          <w:tcPr>
            <w:tcW w:type="dxa" w:w="2520"/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color w:val="1E3A5F"/>
                <w:sz w:val="18"/>
                <w:szCs w:val="18"/>
              </w:rPr>
              <w:t xml:space="preserve">Total records</w:t>
            </w:r>
          </w:p>
          <w:p>
            <w:pPr>
              <w:spacing w:after="0" w:before="0"/>
            </w:pPr>
            <w:r>
              <w:rPr>
                <w:b/>
                <w:bCs/>
                <w:color w:val="1E3A5F"/>
                <w:sz w:val="40"/>
                <w:szCs w:val="40"/>
              </w:rPr>
              <w:t xml:space="preserve">2,407,681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1E3A5F"/>
          <w:sz w:val="28"/>
          <w:szCs w:val="28"/>
        </w:rPr>
        <w:t xml:space="preserve">2. Issues identified</w:t>
      </w:r>
    </w:p>
    <w:p>
      <w:pPr>
        <w:spacing w:after="80" w:before="0"/>
      </w:pPr>
      <w:r>
        <w:rPr>
          <w:color w:val="374151"/>
          <w:sz w:val="20"/>
          <w:szCs w:val="20"/>
        </w:rPr>
        <w:t xml:space="preserve">All checks that did not pass, ranked by percentage of bad rows.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300"/>
        <w:gridCol w:w="760"/>
        <w:gridCol w:w="680"/>
        <w:gridCol w:w="3660"/>
      </w:tblGrid>
      <w:tr>
        <w:trPr>
          <w:tblHeader/>
        </w:trPr>
        <w:tc>
          <w:tcPr>
            <w:tcW w:type="dxa" w:w="68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3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76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Bad rows</w:t>
            </w:r>
          </w:p>
        </w:tc>
        <w:tc>
          <w:tcPr>
            <w:tcW w:type="dxa" w:w="68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bad</w:t>
            </w:r>
          </w:p>
        </w:tc>
        <w:tc>
          <w:tcPr>
            <w:tcW w:type="dxa" w:w="366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80"/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  <w:shd w:fill="B91C1C" w:val="clear"/>
              </w:rPr>
              <w:t xml:space="preserve">ERROR</w:t>
            </w:r>
          </w:p>
        </w:tc>
        <w:tc>
          <w:tcPr>
            <w:tcW w:type="dxa" w:w="2300"/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Dollar rates ≤ $0 in negotiated_rates</w:t>
            </w:r>
          </w:p>
        </w:tc>
        <w:tc>
          <w:tcPr>
            <w:tcW w:type="dxa" w:w="760"/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552</w:t>
            </w:r>
          </w:p>
        </w:tc>
        <w:tc>
          <w:tcPr>
            <w:tcW w:type="dxa" w:w="680"/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0.03%</w:t>
            </w:r>
          </w:p>
        </w:tc>
        <w:tc>
          <w:tcPr>
            <w:tcW w:type="dxa" w:w="3660"/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All from UMR Oklahoma source file</w:t>
            </w:r>
          </w:p>
        </w:tc>
      </w:tr>
      <w:tr>
        <w:tc>
          <w:tcPr>
            <w:tcW w:type="dxa" w:w="68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WARN</w:t>
            </w:r>
          </w:p>
        </w:tc>
        <w:tc>
          <w:tcPr>
            <w:tcW w:type="dxa" w:w="23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Fully-duplicate rows in negotiated_rates</w:t>
            </w:r>
          </w:p>
        </w:tc>
        <w:tc>
          <w:tcPr>
            <w:tcW w:type="dxa" w:w="76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358,264</w:t>
            </w:r>
          </w:p>
        </w:tc>
        <w:tc>
          <w:tcPr>
            <w:tcW w:type="dxa" w:w="68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14.88%</w:t>
            </w:r>
          </w:p>
        </w:tc>
        <w:tc>
          <w:tcPr>
            <w:tcW w:type="dxa" w:w="366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UMR Oklahoma, groups of 970 identical rows</w:t>
            </w:r>
          </w:p>
        </w:tc>
      </w:tr>
      <w:tr>
        <w:tc>
          <w:tcPr>
            <w:tcW w:type="dxa" w:w="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WARN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Dollar rate outliers above $250,000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49,571</w:t>
            </w:r>
          </w:p>
        </w:tc>
        <w:tc>
          <w:tcPr>
            <w:tcW w:type="dxa" w:w="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2.62%</w:t>
            </w:r>
          </w:p>
        </w:tc>
        <w:tc>
          <w:tcPr>
            <w:tcW w:type="dxa" w:w="36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Legitimate for inpatient DRGs; spot-check recommended</w:t>
            </w:r>
          </w:p>
        </w:tc>
      </w:tr>
      <w:tr>
        <w:tc>
          <w:tcPr>
            <w:tcW w:type="dxa" w:w="68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WARN</w:t>
            </w:r>
          </w:p>
        </w:tc>
        <w:tc>
          <w:tcPr>
            <w:tcW w:type="dxa" w:w="23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CPT codes with non-standard format</w:t>
            </w:r>
          </w:p>
        </w:tc>
        <w:tc>
          <w:tcPr>
            <w:tcW w:type="dxa" w:w="76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169</w:t>
            </w:r>
          </w:p>
        </w:tc>
        <w:tc>
          <w:tcPr>
            <w:tcW w:type="dxa" w:w="68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1.40%</w:t>
            </w:r>
          </w:p>
        </w:tc>
        <w:tc>
          <w:tcPr>
            <w:tcW w:type="dxa" w:w="366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Compound codes ("29888 AND 29882") and wildcards ("CSTM-00")</w:t>
            </w:r>
          </w:p>
        </w:tc>
      </w:tr>
      <w:tr>
        <w:tc>
          <w:tcPr>
            <w:tcW w:type="dxa" w:w="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WARN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Billing codes with trailing whitespace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175</w:t>
            </w:r>
          </w:p>
        </w:tc>
        <w:tc>
          <w:tcPr>
            <w:tcW w:type="dxa" w:w="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0.85%</w:t>
            </w:r>
          </w:p>
        </w:tc>
        <w:tc>
          <w:tcPr>
            <w:tcW w:type="dxa" w:w="36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RC codes — trim on insert in stream_parser.py</w:t>
            </w:r>
          </w:p>
        </w:tc>
      </w:tr>
      <w:tr>
        <w:tc>
          <w:tcPr>
            <w:tcW w:type="dxa" w:w="68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WARN</w:t>
            </w:r>
          </w:p>
        </w:tc>
        <w:tc>
          <w:tcPr>
            <w:tcW w:type="dxa" w:w="23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TIN values with malformed format</w:t>
            </w:r>
          </w:p>
        </w:tc>
        <w:tc>
          <w:tcPr>
            <w:tcW w:type="dxa" w:w="76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1,228</w:t>
            </w:r>
          </w:p>
        </w:tc>
        <w:tc>
          <w:tcPr>
            <w:tcW w:type="dxa" w:w="68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0.17%</w:t>
            </w:r>
          </w:p>
        </w:tc>
        <w:tc>
          <w:tcPr>
            <w:tcW w:type="dxa" w:w="366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Dropped leading zeros; upstream integer-parsing bug</w:t>
            </w:r>
          </w:p>
        </w:tc>
      </w:tr>
      <w:tr>
        <w:tc>
          <w:tcPr>
            <w:tcW w:type="dxa" w:w="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WARN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Percentage-type rates at or below 0%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66</w:t>
            </w:r>
          </w:p>
        </w:tc>
        <w:tc>
          <w:tcPr>
            <w:tcW w:type="dxa" w:w="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0.01%</w:t>
            </w:r>
          </w:p>
        </w:tc>
        <w:tc>
          <w:tcPr>
            <w:tcW w:type="dxa" w:w="36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May be legitimate (fully covered); spot-check</w:t>
            </w:r>
          </w:p>
        </w:tc>
      </w:tr>
      <w:tr>
        <w:tc>
          <w:tcPr>
            <w:tcW w:type="dxa" w:w="68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WARN</w:t>
            </w:r>
          </w:p>
        </w:tc>
        <w:tc>
          <w:tcPr>
            <w:tcW w:type="dxa" w:w="23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Invalid NPI values (format / check-digit)</w:t>
            </w:r>
          </w:p>
        </w:tc>
        <w:tc>
          <w:tcPr>
            <w:tcW w:type="dxa" w:w="76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68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&lt;0.01%</w:t>
            </w:r>
          </w:p>
        </w:tc>
        <w:tc>
          <w:tcPr>
            <w:tcW w:type="dxa" w:w="366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Mix of wrong digit count and failed Luhn check</w:t>
            </w:r>
          </w:p>
        </w:tc>
      </w:tr>
      <w:tr>
        <w:tc>
          <w:tcPr>
            <w:tcW w:type="dxa" w:w="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  <w:shd w:fill="92400E" w:val="clear"/>
              </w:rPr>
              <w:t xml:space="preserve">WARN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Billing code missing description</w:t>
            </w:r>
          </w:p>
        </w:tc>
        <w:tc>
          <w:tcPr>
            <w:tcW w:type="dxa" w:w="7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&lt;0.01%</w:t>
            </w:r>
          </w:p>
        </w:tc>
        <w:tc>
          <w:tcPr>
            <w:tcW w:type="dxa" w:w="36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CPT code 22552 — no description or name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1E3A5F"/>
          <w:sz w:val="28"/>
          <w:szCs w:val="28"/>
        </w:rPr>
        <w:t xml:space="preserve">3. Priority actions</w:t>
      </w:r>
    </w:p>
    <w:p>
      <w:pPr>
        <w:spacing w:after="80" w:before="0"/>
      </w:pPr>
      <w:r>
        <w:rPr>
          <w:color w:val="374151"/>
          <w:sz w:val="20"/>
          <w:szCs w:val="20"/>
        </w:rPr>
        <w:t xml:space="preserve">The four issues below are recommended for resolution, in priority order.</w:t>
      </w:r>
    </w:p>
    <w:p>
      <w:pPr>
        <w:spacing w:after="60" w:before="180"/>
      </w:pPr>
      <w:r>
        <w:rPr>
          <w:b/>
          <w:bCs/>
          <w:color w:val="1E3A5F"/>
          <w:sz w:val="20"/>
          <w:szCs w:val="20"/>
        </w:rPr>
        <w:t xml:space="preserve">1.  Deduplicate negotiated_rates  (14.88% of rows affected — largest issue by volume)</w:t>
      </w:r>
    </w:p>
    <w:p>
      <w:pPr>
        <w:spacing w:after="60" w:before="30"/>
        <w:ind w:left="360" w:hanging="220"/>
      </w:pPr>
      <w:r>
        <w:rPr>
          <w:color w:val="1E3A5F"/>
          <w:sz w:val="20"/>
          <w:szCs w:val="20"/>
        </w:rPr>
        <w:t xml:space="preserve">•  </w:t>
      </w:r>
      <w:r>
        <w:rPr>
          <w:color w:val="374151"/>
          <w:sz w:val="20"/>
          <w:szCs w:val="20"/>
        </w:rPr>
        <w:t xml:space="preserve">358,264 rows are fully-duplicate (identical on every column except ingested_at). The UMR Oklahoma source file accounts for most of the duplication, with groups of 970 identical rows per code/payer combination.</w:t>
      </w:r>
    </w:p>
    <w:p>
      <w:pPr>
        <w:spacing w:after="60" w:before="30"/>
        <w:ind w:left="360" w:hanging="220"/>
      </w:pPr>
      <w:r>
        <w:rPr>
          <w:color w:val="1E3A5F"/>
          <w:sz w:val="20"/>
          <w:szCs w:val="20"/>
        </w:rPr>
        <w:t xml:space="preserve">•  </w:t>
      </w:r>
      <w:r>
        <w:rPr>
          <w:color w:val="374151"/>
          <w:sz w:val="20"/>
          <w:szCs w:val="20"/>
        </w:rPr>
        <w:t xml:space="preserve">Root cause: stream_parser.py or runner.py is re-inserting rows without a dedup guard. Fix by adding INSERT OR IGNORE / ON CONFLICT DO NOTHING, or run a post-ingest migration (DELETE WHERE rowid NOT IN (SELECT MIN(rowid) ...)).</w:t>
      </w:r>
    </w:p>
    <w:p>
      <w:pPr>
        <w:spacing w:after="60" w:before="180"/>
      </w:pPr>
      <w:r>
        <w:rPr>
          <w:b/>
          <w:bCs/>
          <w:color w:val="1E3A5F"/>
          <w:sz w:val="20"/>
          <w:szCs w:val="20"/>
        </w:rPr>
        <w:t xml:space="preserve">2.  Investigate $0.00 negotiated rates  — ERROR  (must fix before CI gate passes)</w:t>
      </w:r>
    </w:p>
    <w:p>
      <w:pPr>
        <w:spacing w:after="60" w:before="30"/>
        <w:ind w:left="360" w:hanging="220"/>
      </w:pPr>
      <w:r>
        <w:rPr>
          <w:color w:val="1E3A5F"/>
          <w:sz w:val="20"/>
          <w:szCs w:val="20"/>
        </w:rPr>
        <w:t xml:space="preserve">•  </w:t>
      </w:r>
      <w:r>
        <w:rPr>
          <w:color w:val="374151"/>
          <w:sz w:val="20"/>
          <w:szCs w:val="20"/>
        </w:rPr>
        <w:t xml:space="preserve">552 rows have negotiated_rate = $0.00 for negotiated_type = 'negotiated'. A dollar rate of zero is almost always a parsing artefact, not a real contract value.</w:t>
      </w:r>
    </w:p>
    <w:p>
      <w:pPr>
        <w:spacing w:after="60" w:before="30"/>
        <w:ind w:left="360" w:hanging="220"/>
      </w:pPr>
      <w:r>
        <w:rPr>
          <w:color w:val="1E3A5F"/>
          <w:sz w:val="20"/>
          <w:szCs w:val="20"/>
        </w:rPr>
        <w:t xml:space="preserve">•  </w:t>
      </w:r>
      <w:r>
        <w:rPr>
          <w:color w:val="374151"/>
          <w:sz w:val="20"/>
          <w:szCs w:val="20"/>
        </w:rPr>
        <w:t xml:space="preserve">All examples trace to the UMR Oklahoma source file. Recommended: pull the raw JSON from the source MRF for these rows and confirm whether $0 appears in the source or was introduced during parsing.</w:t>
      </w:r>
    </w:p>
    <w:p>
      <w:pPr>
        <w:spacing w:after="60" w:before="180"/>
      </w:pPr>
      <w:r>
        <w:rPr>
          <w:b/>
          <w:bCs/>
          <w:color w:val="1E3A5F"/>
          <w:sz w:val="20"/>
          <w:szCs w:val="20"/>
        </w:rPr>
        <w:t xml:space="preserve">3.  Fix TIN and billing code whitespace in stream_parser.py</w:t>
      </w:r>
    </w:p>
    <w:p>
      <w:pPr>
        <w:spacing w:after="60" w:before="30"/>
        <w:ind w:left="360" w:hanging="220"/>
      </w:pPr>
      <w:r>
        <w:rPr>
          <w:color w:val="1E3A5F"/>
          <w:sz w:val="20"/>
          <w:szCs w:val="20"/>
        </w:rPr>
        <w:t xml:space="preserve">•  </w:t>
      </w:r>
      <w:r>
        <w:rPr>
          <w:color w:val="374151"/>
          <w:sz w:val="20"/>
          <w:szCs w:val="20"/>
        </w:rPr>
        <w:t xml:space="preserve">175 RC billing codes have trailing spaces (e.g. '918      '). This causes silent join/lookup failures downstream because string equality checks will not match the trimmed form. Fix: trim billing_code on insert.</w:t>
      </w:r>
    </w:p>
    <w:p>
      <w:pPr>
        <w:spacing w:after="60" w:before="30"/>
        <w:ind w:left="360" w:hanging="220"/>
      </w:pPr>
      <w:r>
        <w:rPr>
          <w:color w:val="1E3A5F"/>
          <w:sz w:val="20"/>
          <w:szCs w:val="20"/>
        </w:rPr>
        <w:t xml:space="preserve">•  </w:t>
      </w:r>
      <w:r>
        <w:rPr>
          <w:color w:val="374151"/>
          <w:sz w:val="20"/>
          <w:szCs w:val="20"/>
        </w:rPr>
        <w:t xml:space="preserve">1,228 provider TIN values are malformed — most are 8-digit EINs where a leading zero was dropped by treating the value as an integer. Fix: zero-pad EIN/SSN values to 9 digits on insert.</w:t>
      </w:r>
    </w:p>
    <w:p>
      <w:pPr>
        <w:spacing w:after="60" w:before="180"/>
      </w:pPr>
      <w:r>
        <w:rPr>
          <w:b/>
          <w:bCs/>
          <w:color w:val="1E3A5F"/>
          <w:sz w:val="20"/>
          <w:szCs w:val="20"/>
        </w:rPr>
        <w:t xml:space="preserve">4.  Define a handling policy for non-standard CPT codes</w:t>
      </w:r>
    </w:p>
    <w:p>
      <w:pPr>
        <w:spacing w:after="60" w:before="30"/>
        <w:ind w:left="360" w:hanging="220"/>
      </w:pPr>
      <w:r>
        <w:rPr>
          <w:color w:val="1E3A5F"/>
          <w:sz w:val="20"/>
          <w:szCs w:val="20"/>
        </w:rPr>
        <w:t xml:space="preserve">•  </w:t>
      </w:r>
      <w:r>
        <w:rPr>
          <w:color w:val="374151"/>
          <w:sz w:val="20"/>
          <w:szCs w:val="20"/>
        </w:rPr>
        <w:t xml:space="preserve">169 CPT codes (1.40%) do not match the standard 5-digit format. Two sub-types: compound codes ('29888 AND 29882') and placeholders/wildcards ('CSTM-00', 'CSTM'). Some payers use these intentionally.</w:t>
      </w:r>
    </w:p>
    <w:p>
      <w:pPr>
        <w:spacing w:after="60" w:before="30"/>
        <w:ind w:left="360" w:hanging="220"/>
      </w:pPr>
      <w:r>
        <w:rPr>
          <w:color w:val="1E3A5F"/>
          <w:sz w:val="20"/>
          <w:szCs w:val="20"/>
        </w:rPr>
        <w:t xml:space="preserve">•  </w:t>
      </w:r>
      <w:r>
        <w:rPr>
          <w:color w:val="374151"/>
          <w:sz w:val="20"/>
          <w:szCs w:val="20"/>
        </w:rPr>
        <w:t xml:space="preserve">A blanket rejection would silently drop valid rate rows. Recommended: create an explicit allowlist or secondary code_type category and document the decision in the pipeline README.</w:t>
      </w:r>
    </w:p>
    <w:p>
      <w:pPr>
        <w:spacing w:after="80" w:before="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1E3A5F"/>
          <w:sz w:val="28"/>
          <w:szCs w:val="28"/>
        </w:rPr>
        <w:t xml:space="preserve">4. Checks that passed</w:t>
      </w:r>
    </w:p>
    <w:p>
      <w:pPr>
        <w:spacing w:after="80" w:before="0"/>
      </w:pPr>
      <w:r>
        <w:rPr>
          <w:color w:val="374151"/>
          <w:sz w:val="20"/>
          <w:szCs w:val="20"/>
        </w:rPr>
        <w:t xml:space="preserve">The following checks passed with zero bad rows across all tables.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rPr>
          <w:tblHeader/>
        </w:trPr>
        <w:tc>
          <w:tcPr>
            <w:tcW w:type="dxa" w:w="768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4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Records examined</w:t>
            </w:r>
          </w:p>
        </w:tc>
      </w:tr>
      <w:tr>
        <w:tc>
          <w:tcPr>
            <w:tcW w:type="dxa" w:w="7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foreign keys resolve (payer_id, code_id, provider_reference_ids)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2,407,681</w:t>
            </w:r>
          </w:p>
        </w:tc>
      </w:tr>
      <w:tr>
        <w:tc>
          <w:tcPr>
            <w:tcW w:type="dxa" w:w="768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required tables and columns present</w:t>
            </w:r>
          </w:p>
        </w:tc>
        <w:tc>
          <w:tcPr>
            <w:tcW w:type="dxa" w:w="24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negotiated rates populated for 'negotiated' type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1,470,592</w:t>
            </w:r>
          </w:p>
        </w:tc>
      </w:tr>
      <w:tr>
        <w:tc>
          <w:tcPr>
            <w:tcW w:type="dxa" w:w="768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providers have at least one identifying field</w:t>
            </w:r>
          </w:p>
        </w:tc>
        <w:tc>
          <w:tcPr>
            <w:tcW w:type="dxa" w:w="24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735,130</w:t>
            </w:r>
          </w:p>
        </w:tc>
      </w:tr>
      <w:tr>
        <w:tc>
          <w:tcPr>
            <w:tcW w:type="dxa" w:w="7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payer entity names populated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724</w:t>
            </w:r>
          </w:p>
        </w:tc>
      </w:tr>
      <w:tr>
        <w:tc>
          <w:tcPr>
            <w:tcW w:type="dxa" w:w="768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Negotiated type, setting, billing class, reporting entity type all valid</w:t>
            </w:r>
          </w:p>
        </w:tc>
        <w:tc>
          <w:tcPr>
            <w:tcW w:type="dxa" w:w="24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2,407,681</w:t>
            </w:r>
          </w:p>
        </w:tc>
      </w:tr>
      <w:tr>
        <w:tc>
          <w:tcPr>
            <w:tcW w:type="dxa" w:w="7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HCPCS, NDC, APC, and RC billing code formats correct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7,156</w:t>
            </w:r>
          </w:p>
        </w:tc>
      </w:tr>
      <w:tr>
        <w:tc>
          <w:tcPr>
            <w:tcW w:type="dxa" w:w="768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expiration dates parseable (or sentinel 9999-12-31)</w:t>
            </w:r>
          </w:p>
        </w:tc>
        <w:tc>
          <w:tcPr>
            <w:tcW w:type="dxa" w:w="24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2,407,681</w:t>
            </w:r>
          </w:p>
        </w:tc>
      </w:tr>
      <w:tr>
        <w:tc>
          <w:tcPr>
            <w:tcW w:type="dxa" w:w="7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 duplicate billing codes or provider NPI pairs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735,130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1E3A5F"/>
          <w:sz w:val="28"/>
          <w:szCs w:val="28"/>
        </w:rPr>
        <w:t xml:space="preserve">5. Coverage — top 5 source files by row count</w:t>
      </w:r>
    </w:p>
    <w:p>
      <w:pPr>
        <w:spacing w:after="80" w:before="0"/>
      </w:pPr>
      <w:r>
        <w:rPr>
          <w:color w:val="374151"/>
          <w:sz w:val="20"/>
          <w:szCs w:val="20"/>
        </w:rPr>
        <w:t xml:space="preserve">Each file contributes rates from one payer. Note the UMR Oklahoma file shows a minimum rate of $0.00, consistent with the dollar_rate_not_positive error in Section 2.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800"/>
        <w:gridCol w:w="800"/>
        <w:gridCol w:w="2040"/>
        <w:gridCol w:w="204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(abbreviated)</w:t>
            </w:r>
          </w:p>
        </w:tc>
        <w:tc>
          <w:tcPr>
            <w:tcW w:type="dxa" w:w="12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8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Payers</w:t>
            </w:r>
          </w:p>
        </w:tc>
        <w:tc>
          <w:tcPr>
            <w:tcW w:type="dxa" w:w="8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Codes</w:t>
            </w:r>
          </w:p>
        </w:tc>
        <w:tc>
          <w:tcPr>
            <w:tcW w:type="dxa" w:w="204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 rate</w:t>
            </w:r>
          </w:p>
        </w:tc>
        <w:tc>
          <w:tcPr>
            <w:tcW w:type="dxa" w:w="204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 rate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UMR / STATE-OF-OK-SWIFT-MD-DCI / HEALTHCHOICE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274,287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12,478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$0.00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$584,436</w:t>
            </w:r>
          </w:p>
        </w:tc>
      </w:tr>
      <w:tr>
        <w:tc>
          <w:tcPr>
            <w:tcW w:type="dxa" w:w="32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United HealthCare / Texas Health Resources / GSP-901-C008</w:t>
            </w:r>
          </w:p>
        </w:tc>
        <w:tc>
          <w:tcPr>
            <w:tcW w:type="dxa" w:w="12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136,942</w:t>
            </w:r>
          </w:p>
        </w:tc>
        <w:tc>
          <w:tcPr>
            <w:tcW w:type="dxa" w:w="8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7,747</w:t>
            </w:r>
          </w:p>
        </w:tc>
        <w:tc>
          <w:tcPr>
            <w:tcW w:type="dxa" w:w="204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$0.18</w:t>
            </w:r>
          </w:p>
        </w:tc>
        <w:tc>
          <w:tcPr>
            <w:tcW w:type="dxa" w:w="204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$880,843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United HealthCare / Dinsmore &amp; Shohl / GSP-811-C775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121,907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7,723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$11.34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$993,291</w:t>
            </w:r>
          </w:p>
        </w:tc>
      </w:tr>
      <w:tr>
        <w:tc>
          <w:tcPr>
            <w:tcW w:type="dxa" w:w="32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United HealthCare / Children's Hospital Colorado / CSP-914</w:t>
            </w:r>
          </w:p>
        </w:tc>
        <w:tc>
          <w:tcPr>
            <w:tcW w:type="dxa" w:w="12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90,101</w:t>
            </w:r>
          </w:p>
        </w:tc>
        <w:tc>
          <w:tcPr>
            <w:tcW w:type="dxa" w:w="8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7,692</w:t>
            </w:r>
          </w:p>
        </w:tc>
        <w:tc>
          <w:tcPr>
            <w:tcW w:type="dxa" w:w="204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$24.00</w:t>
            </w:r>
          </w:p>
        </w:tc>
        <w:tc>
          <w:tcPr>
            <w:tcW w:type="dxa" w:w="2040"/>
            <w:shd w:fill="F0F4F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$806,957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UMR / DOCTOR-ON-DEMAND / MEDICAL COLLEGE OF WISCONSIN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89,355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6,802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$0.00</w:t>
            </w:r>
          </w:p>
        </w:tc>
        <w:tc>
          <w:tcPr>
            <w:tcW w:type="dxa" w:w="20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$37,850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80" w:before="280"/>
      </w:pPr>
      <w:r>
        <w:rPr>
          <w:b/>
          <w:bCs/>
          <w:color w:val="1E3A5F"/>
          <w:sz w:val="28"/>
          <w:szCs w:val="28"/>
        </w:rPr>
        <w:t xml:space="preserve">6. Appendix — validation script</w:t>
      </w:r>
    </w:p>
    <w:p>
      <w:pPr>
        <w:spacing w:after="80" w:before="0"/>
      </w:pPr>
      <w:r>
        <w:rPr>
          <w:color w:val="374151"/>
          <w:sz w:val="20"/>
          <w:szCs w:val="20"/>
        </w:rPr>
        <w:t xml:space="preserve">Validation was performed by validate_data.py with the following invocation:</w:t>
      </w:r>
    </w:p>
    <w:p>
      <w:pPr>
        <w:spacing w:after="80" w:before="6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  <w:shd w:fill="F3F4F6" w:val="clear"/>
        </w:rPr>
        <w:t xml:space="preserve">python validate_data.py --db transparency.duckdb --txt report.txt --sample 5</w:t>
      </w:r>
    </w:p>
    <w:p>
      <w:pPr>
        <w:spacing w:after="80" w:before="0"/>
      </w:pPr>
      <w:r>
        <w:rPr>
          <w:color w:val="374151"/>
          <w:sz w:val="20"/>
          <w:szCs w:val="20"/>
        </w:rPr>
        <w:t xml:space="preserve">Checks cover structure (A), referential integrity (B), completeness (C), domain/enumerated values (D), format (E), duplicates (F), and a coverage summary (G). Exit code is non-zero when any error-level check fails — suitable as a CI gate. Use --fast to skip O(n) array-explode checks; --fail-on warn to treat warnings as failures.</w:t>
      </w:r>
    </w:p>
    <w:p>
      <w:pPr>
        <w:spacing w:after="80" w:before="0"/>
      </w:pPr>
      <w:r>
        <w:t xml:space="preserve"/>
      </w:r>
    </w:p>
    <w:p>
      <w:pPr>
        <w:pBdr>
          <w:top w:val="single" w:color="D1D5DB" w:sz="4"/>
        </w:pBdr>
        <w:spacing w:after="0" w:before="60"/>
        <w:jc w:val="right"/>
      </w:pPr>
      <w:r>
        <w:rPr>
          <w:color w:val="6B7280"/>
          <w:sz w:val="16"/>
          <w:szCs w:val="16"/>
        </w:rPr>
        <w:t xml:space="preserve">Generated by validate_data.py · transparency.duckdb · 2026-08-21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after="0" w:before="60"/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spacing w:after="60" w:before="0"/>
      <w:jc w:val="right"/>
    </w:pPr>
    <w:r>
      <w:rPr>
        <w:color w:val="6B7280"/>
        <w:sz w:val="16"/>
        <w:szCs w:val="16"/>
      </w:rPr>
      <w:t xml:space="preserve">Data Validation Report — transparency.duckdb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Validation Report — transparency.duckdb</dc:title>
  <dc:creator>Data Engineering</dc:creator>
  <cp:lastModifiedBy>Un-named</cp:lastModifiedBy>
  <cp:revision>1</cp:revision>
  <dcterms:created xsi:type="dcterms:W3CDTF">2026-08-23T17:40:55.568Z</dcterms:created>
  <dcterms:modified xsi:type="dcterms:W3CDTF">2026-08-23T17:40:55.569Z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