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00"/>
      </w:pPr>
      <w:r>
        <w:rPr>
          <w:rFonts w:ascii="Calibri" w:hAnsi="Calibri" w:eastAsia="Calibri"/>
          <w:b/>
          <w:color w:val="2A7F9E"/>
          <w:sz w:val="20"/>
        </w:rPr>
        <w:t>TECHNICAL PRODUCT &amp; ARCHITECTURE SPECIFICATION</w:t>
      </w:r>
    </w:p>
    <w:p>
      <w:pPr>
        <w:spacing w:after="120"/>
      </w:pPr>
      <w:r>
        <w:rPr>
          <w:rFonts w:ascii="Calibri" w:hAnsi="Calibri" w:eastAsia="Calibri"/>
          <w:b/>
          <w:color w:val="0B2545"/>
          <w:sz w:val="62"/>
        </w:rPr>
        <w:t>SettleFlow</w:t>
      </w:r>
    </w:p>
    <w:p>
      <w:pPr>
        <w:spacing w:after="600"/>
      </w:pPr>
      <w:r>
        <w:rPr>
          <w:rFonts w:ascii="Calibri" w:hAnsi="Calibri" w:eastAsia="Calibri"/>
          <w:color w:val="1F4D78"/>
          <w:sz w:val="30"/>
        </w:rPr>
        <w:t>Open-Source Merchant Payment, Ledger, Settlement, and Reconciliation Platform</w:t>
      </w:r>
    </w:p>
    <w:p>
      <w:pPr>
        <w:spacing w:before="120" w:after="160" w:line="264" w:lineRule="auto"/>
        <w:ind w:left="173" w:right="115"/>
        <w:shd w:fill="EDF6F7"/>
        <w:keepNext w:val="0"/>
        <w:keepLines/>
        <w:pBdr>
          <w:left w:val="single" w:sz="14" w:space="6" w:color="2A7F9E"/>
        </w:pBdr>
      </w:pPr>
      <w:r>
        <w:rPr>
          <w:rFonts w:ascii="Calibri" w:hAnsi="Calibri" w:eastAsia="Calibri"/>
          <w:b/>
          <w:color w:val="2A7F9E"/>
        </w:rPr>
        <w:t xml:space="preserve">Implementation posture: </w:t>
      </w:r>
      <w:r>
        <w:rPr>
          <w:rFonts w:ascii="Calibri" w:hAnsi="Calibri" w:eastAsia="Calibri"/>
          <w:color w:val="1F2933"/>
        </w:rPr>
        <w:t>A finance-grade simulation and engineering case study. The baseline is intentionally deep in correctness, auditability, failure recovery, and operational proof; it is not authorized to process real funds or store cardholder data.</w:t>
      </w:r>
    </w:p>
    <w:p>
      <w:pPr>
        <w:spacing w:after="60"/>
      </w:pPr>
      <w:r>
        <w:rPr>
          <w:rFonts w:ascii="Calibri" w:hAnsi="Calibri" w:eastAsia="Calibri"/>
          <w:b/>
          <w:color w:val="5F6B76"/>
          <w:sz w:val="20"/>
        </w:rPr>
        <w:t xml:space="preserve">Version: </w:t>
      </w:r>
      <w:r>
        <w:rPr>
          <w:rFonts w:ascii="Calibri" w:hAnsi="Calibri" w:eastAsia="Calibri"/>
          <w:color w:val="1F2933"/>
          <w:sz w:val="20"/>
        </w:rPr>
        <w:t>1.0</w:t>
      </w:r>
    </w:p>
    <w:p>
      <w:pPr>
        <w:spacing w:after="60"/>
      </w:pPr>
      <w:r>
        <w:rPr>
          <w:rFonts w:ascii="Calibri" w:hAnsi="Calibri" w:eastAsia="Calibri"/>
          <w:b/>
          <w:color w:val="5F6B76"/>
          <w:sz w:val="20"/>
        </w:rPr>
        <w:t xml:space="preserve">Status: </w:t>
      </w:r>
      <w:r>
        <w:rPr>
          <w:rFonts w:ascii="Calibri" w:hAnsi="Calibri" w:eastAsia="Calibri"/>
          <w:color w:val="1F2933"/>
          <w:sz w:val="20"/>
        </w:rPr>
        <w:t>Proposed implementation baseline</w:t>
      </w:r>
    </w:p>
    <w:p>
      <w:pPr>
        <w:spacing w:after="60"/>
      </w:pPr>
      <w:r>
        <w:rPr>
          <w:rFonts w:ascii="Calibri" w:hAnsi="Calibri" w:eastAsia="Calibri"/>
          <w:b/>
          <w:color w:val="5F6B76"/>
          <w:sz w:val="20"/>
        </w:rPr>
        <w:t xml:space="preserve">Document owner: </w:t>
      </w:r>
      <w:r>
        <w:rPr>
          <w:rFonts w:ascii="Calibri" w:hAnsi="Calibri" w:eastAsia="Calibri"/>
          <w:color w:val="1F2933"/>
          <w:sz w:val="20"/>
        </w:rPr>
        <w:t>SettleFlow Project</w:t>
      </w:r>
    </w:p>
    <w:p>
      <w:pPr>
        <w:spacing w:after="60"/>
      </w:pPr>
      <w:r>
        <w:rPr>
          <w:rFonts w:ascii="Calibri" w:hAnsi="Calibri" w:eastAsia="Calibri"/>
          <w:b/>
          <w:color w:val="5F6B76"/>
          <w:sz w:val="20"/>
        </w:rPr>
        <w:t xml:space="preserve">Date: </w:t>
      </w:r>
      <w:r>
        <w:rPr>
          <w:rFonts w:ascii="Calibri" w:hAnsi="Calibri" w:eastAsia="Calibri"/>
          <w:color w:val="1F2933"/>
          <w:sz w:val="20"/>
        </w:rPr>
        <w:t>31 July 2026</w:t>
      </w:r>
    </w:p>
    <w:p>
      <w:pPr>
        <w:spacing w:after="60"/>
      </w:pPr>
      <w:r>
        <w:rPr>
          <w:rFonts w:ascii="Calibri" w:hAnsi="Calibri" w:eastAsia="Calibri"/>
          <w:b/>
          <w:color w:val="5F6B76"/>
          <w:sz w:val="20"/>
        </w:rPr>
        <w:t xml:space="preserve">Primary audience: </w:t>
      </w:r>
      <w:r>
        <w:rPr>
          <w:rFonts w:ascii="Calibri" w:hAnsi="Calibri" w:eastAsia="Calibri"/>
          <w:color w:val="1F2933"/>
          <w:sz w:val="20"/>
        </w:rPr>
        <w:t>Backend engineers, technical reviewers, hiring managers, and open-source contributors</w:t>
      </w:r>
    </w:p>
    <w:p>
      <w:pPr>
        <w:pStyle w:val="Heading1"/>
        <w:pageBreakBefore/>
      </w:pPr>
      <w:r>
        <w:t>Document Control</w:t>
      </w:r>
    </w:p>
    <w:p>
      <w:pPr>
        <w:keepNext w:val="0"/>
        <w:keepLines w:val="0"/>
      </w:pPr>
      <w:r>
        <w:rPr>
          <w:rFonts w:ascii="Calibri" w:hAnsi="Calibri" w:eastAsia="Calibri"/>
          <w:i w:val="0"/>
          <w:color w:val="1F2933"/>
        </w:rPr>
        <w:t>This specification converts the initial SettleFlow case-study blueprint into a controlled implementation baseline. It governs the first public release unless a recorded architecture decision or approved change explicitly supersedes it.</w:t>
      </w:r>
    </w:p>
    <w:p>
      <w:pPr>
        <w:pStyle w:val="Caption"/>
        <w:keepNext/>
        <w:keepLines w:val="0"/>
      </w:pPr>
      <w:r>
        <w:t>Table 1. Document metadata</w:t>
      </w:r>
    </w:p>
    <w:tbl>
      <w:tblPr>
        <w:tblW w:type="dxa" w:w="9360"/>
        <w:tblLayout w:type="fixed"/>
        <w:tblLook w:firstColumn="1" w:firstRow="1" w:lastColumn="0" w:lastRow="0" w:noHBand="0" w:noVBand="1" w:val="04A0"/>
        <w:jc w:val="left"/>
        <w:tblInd w:w="120" w:type="dxa"/>
      </w:tblPr>
      <w:tblGrid>
        <w:gridCol w:w="2200"/>
        <w:gridCol w:w="7160"/>
      </w:tblGrid>
      <w:tr>
        <w:trPr>
          <w:tblHeader w:val="true"/>
          <w:cantSplit w:val="true"/>
        </w:trPr>
        <w:tc>
          <w:tcPr>
            <w:tcW w:type="dxa" w:w="2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Field</w:t>
            </w:r>
          </w:p>
        </w:tc>
        <w:tc>
          <w:tcPr>
            <w:tcW w:type="dxa" w:w="71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Value</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Document identifier</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SF-TPS-001</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Version</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1.0</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Status</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Proposed implementation baseline</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Owner</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SettleFlow Project</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Review cadence</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At each milestone exit and before public release</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Source baseline</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SettleFlow Case Study Blueprint for an Employer-Impressive Open Source Backend</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Change control</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Material scope, invariant, contract, or security changes require an ADR and version update</w:t>
            </w:r>
          </w:p>
        </w:tc>
      </w:tr>
    </w:tbl>
    <w:p>
      <w:pPr>
        <w:spacing w:after="40"/>
      </w:pPr>
    </w:p>
    <w:p>
      <w:pPr>
        <w:pStyle w:val="Caption"/>
        <w:keepNext/>
        <w:keepLines w:val="0"/>
      </w:pPr>
      <w:r>
        <w:t>Table 2. Revision history</w:t>
      </w:r>
    </w:p>
    <w:tbl>
      <w:tblPr>
        <w:tblW w:type="dxa" w:w="9360"/>
        <w:tblLayout w:type="fixed"/>
        <w:tblLook w:firstColumn="1" w:firstRow="1" w:lastColumn="0" w:lastRow="0" w:noHBand="0" w:noVBand="1" w:val="04A0"/>
        <w:jc w:val="left"/>
        <w:tblInd w:w="120" w:type="dxa"/>
      </w:tblPr>
      <w:tblGrid>
        <w:gridCol w:w="900"/>
        <w:gridCol w:w="1350"/>
        <w:gridCol w:w="5700"/>
        <w:gridCol w:w="1410"/>
      </w:tblGrid>
      <w:tr>
        <w:trPr>
          <w:tblHeader w:val="true"/>
          <w:cantSplit w:val="true"/>
        </w:trPr>
        <w:tc>
          <w:tcPr>
            <w:tcW w:type="dxa" w:w="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jc w:val="center"/>
            </w:pPr>
            <w:r>
              <w:rPr>
                <w:rFonts w:ascii="Calibri" w:hAnsi="Calibri" w:eastAsia="Calibri"/>
                <w:b/>
                <w:color w:val="0B2545"/>
                <w:sz w:val="18"/>
              </w:rPr>
              <w:t>Version</w:t>
            </w:r>
          </w:p>
        </w:tc>
        <w:tc>
          <w:tcPr>
            <w:tcW w:type="dxa" w:w="13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jc w:val="center"/>
            </w:pPr>
            <w:r>
              <w:rPr>
                <w:rFonts w:ascii="Calibri" w:hAnsi="Calibri" w:eastAsia="Calibri"/>
                <w:b/>
                <w:color w:val="0B2545"/>
                <w:sz w:val="18"/>
              </w:rPr>
              <w:t>Date</w:t>
            </w:r>
          </w:p>
        </w:tc>
        <w:tc>
          <w:tcPr>
            <w:tcW w:type="dxa" w:w="57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jc w:val="left"/>
            </w:pPr>
            <w:r>
              <w:rPr>
                <w:rFonts w:ascii="Calibri" w:hAnsi="Calibri" w:eastAsia="Calibri"/>
                <w:b/>
                <w:color w:val="0B2545"/>
                <w:sz w:val="18"/>
              </w:rPr>
              <w:t>Change</w:t>
            </w:r>
          </w:p>
        </w:tc>
        <w:tc>
          <w:tcPr>
            <w:tcW w:type="dxa" w:w="14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jc w:val="center"/>
            </w:pPr>
            <w:r>
              <w:rPr>
                <w:rFonts w:ascii="Calibri" w:hAnsi="Calibri" w:eastAsia="Calibri"/>
                <w:b/>
                <w:color w:val="0B2545"/>
                <w:sz w:val="18"/>
              </w:rPr>
              <w:t>Status</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8"/>
              </w:rPr>
              <w:t>0.1</w:t>
            </w:r>
          </w:p>
        </w:tc>
        <w:tc>
          <w:tcPr>
            <w:tcW w:type="dxa" w:w="1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8"/>
              </w:rPr>
              <w:t>30 Jul 2026</w:t>
            </w:r>
          </w:p>
        </w:tc>
        <w:tc>
          <w:tcPr>
            <w:tcW w:type="dxa" w:w="5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8"/>
              </w:rPr>
              <w:t>Initial case-study blueprint</w:t>
            </w:r>
          </w:p>
        </w:tc>
        <w:tc>
          <w:tcPr>
            <w:tcW w:type="dxa" w:w="1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8"/>
              </w:rPr>
              <w:t>Source input</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8"/>
              </w:rPr>
              <w:t>1.0</w:t>
            </w:r>
          </w:p>
        </w:tc>
        <w:tc>
          <w:tcPr>
            <w:tcW w:type="dxa" w:w="1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8"/>
              </w:rPr>
              <w:t>31 Jul 2026</w:t>
            </w:r>
          </w:p>
        </w:tc>
        <w:tc>
          <w:tcPr>
            <w:tcW w:type="dxa" w:w="5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8"/>
              </w:rPr>
              <w:t>Formalized requirements, corrected state model, security and operations baseline, release gates</w:t>
            </w:r>
          </w:p>
        </w:tc>
        <w:tc>
          <w:tcPr>
            <w:tcW w:type="dxa" w:w="1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8"/>
              </w:rPr>
              <w:t>Proposed</w:t>
            </w:r>
          </w:p>
        </w:tc>
      </w:tr>
    </w:tbl>
    <w:p>
      <w:pPr>
        <w:spacing w:after="40"/>
      </w:pPr>
    </w:p>
    <w:p>
      <w:pPr>
        <w:spacing w:before="120" w:after="160" w:line="264" w:lineRule="auto"/>
        <w:ind w:left="173" w:right="115"/>
        <w:shd w:fill="FFF8E8"/>
        <w:keepNext w:val="0"/>
        <w:keepLines/>
        <w:pBdr>
          <w:left w:val="single" w:sz="14" w:space="6" w:color="8A6500"/>
        </w:pBdr>
      </w:pPr>
      <w:r>
        <w:rPr>
          <w:rFonts w:ascii="Calibri" w:hAnsi="Calibri" w:eastAsia="Calibri"/>
          <w:b/>
          <w:color w:val="8A6500"/>
        </w:rPr>
        <w:t xml:space="preserve">Authority: </w:t>
      </w:r>
      <w:r>
        <w:rPr>
          <w:rFonts w:ascii="Calibri" w:hAnsi="Calibri" w:eastAsia="Calibri"/>
          <w:color w:val="1F2933"/>
        </w:rPr>
        <w:t>This is a design and delivery specification, not a legal, regulatory, accounting, or production payment-processing authorization. Production use would require independent security, compliance, financial, and operational review.</w:t>
      </w:r>
    </w:p>
    <w:p>
      <w:pPr>
        <w:pStyle w:val="Heading1"/>
        <w:pageBreakBefore/>
      </w:pPr>
      <w:r>
        <w:t>Executive Summary</w:t>
      </w:r>
    </w:p>
    <w:p>
      <w:pPr>
        <w:keepNext w:val="0"/>
        <w:keepLines w:val="0"/>
      </w:pPr>
      <w:r>
        <w:rPr>
          <w:rFonts w:ascii="Calibri" w:hAnsi="Calibri" w:eastAsia="Calibri"/>
          <w:i w:val="0"/>
          <w:color w:val="1F2933"/>
        </w:rPr>
        <w:t>SettleFlow will be an open-source backend that simulates a merchant payment platform from payment intent through capture, refund, ledger posting, event publication, signed webhook delivery, settlement batching, and provider-statement reconciliation. Its purpose is to demonstrate senior backend engineering through verifiable guarantees rather than feature count.</w:t>
      </w:r>
    </w:p>
    <w:p>
      <w:pPr>
        <w:keepNext w:val="0"/>
        <w:keepLines w:val="0"/>
      </w:pPr>
      <w:r>
        <w:rPr>
          <w:rFonts w:ascii="Calibri" w:hAnsi="Calibri" w:eastAsia="Calibri"/>
          <w:i w:val="0"/>
          <w:color w:val="1F2933"/>
        </w:rPr>
        <w:t>The recommended solution is a NestJS modular monolith with two independently deployable processes: an HTTP API and an asynchronous worker. Both use PostgreSQL as the source of truth. RabbitMQ provides durable asynchronous delivery, while a transactional outbox prevents unsafe database-and-broker dual writes. The architecture keeps financial state changes inside one database transaction and treats every asynchronous message as at-least-once, requiring explicit deduplication. PostgreSQL transaction isolation and row locking support the consistency model; RabbitMQ publisher confirms and consumer acknowledgements support the delivery model. [R1–R4]</w:t>
      </w:r>
    </w:p>
    <w:p>
      <w:pPr>
        <w:spacing w:before="120" w:after="160" w:line="264" w:lineRule="auto"/>
        <w:ind w:left="173" w:right="115"/>
        <w:shd w:fill="EDF6F1"/>
        <w:keepNext w:val="0"/>
        <w:keepLines/>
        <w:pBdr>
          <w:left w:val="single" w:sz="14" w:space="6" w:color="2F6B4F"/>
        </w:pBdr>
      </w:pPr>
      <w:r>
        <w:rPr>
          <w:rFonts w:ascii="Calibri" w:hAnsi="Calibri" w:eastAsia="Calibri"/>
          <w:b/>
          <w:color w:val="2F6B4F"/>
        </w:rPr>
        <w:t xml:space="preserve">Primary decision: </w:t>
      </w:r>
      <w:r>
        <w:rPr>
          <w:rFonts w:ascii="Calibri" w:hAnsi="Calibri" w:eastAsia="Calibri"/>
          <w:color w:val="1F2933"/>
        </w:rPr>
        <w:t>Build one strongly bounded codebase and database first. Use asynchronous processes where they add operational value, but do not split financial invariants across microservices for the first release.</w:t>
      </w:r>
    </w:p>
    <w:p>
      <w:pPr>
        <w:pStyle w:val="Caption"/>
        <w:keepNext/>
        <w:keepLines w:val="0"/>
      </w:pPr>
      <w:r>
        <w:t>Table 3. Executive outcomes</w:t>
      </w:r>
    </w:p>
    <w:tbl>
      <w:tblPr>
        <w:tblW w:type="dxa" w:w="9360"/>
        <w:tblLayout w:type="fixed"/>
        <w:tblLook w:firstColumn="1" w:firstRow="1" w:lastColumn="0" w:lastRow="0" w:noHBand="0" w:noVBand="1" w:val="04A0"/>
        <w:jc w:val="left"/>
        <w:tblInd w:w="120" w:type="dxa"/>
      </w:tblPr>
      <w:tblGrid>
        <w:gridCol w:w="2500"/>
        <w:gridCol w:w="6860"/>
      </w:tblGrid>
      <w:tr>
        <w:trPr>
          <w:tblHeader w:val="true"/>
          <w:cantSplit w:val="true"/>
        </w:trPr>
        <w:tc>
          <w:tcPr>
            <w:tcW w:type="dxa" w:w="25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Outcome</w:t>
            </w:r>
          </w:p>
        </w:tc>
        <w:tc>
          <w:tcPr>
            <w:tcW w:type="dxa" w:w="68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Evidence in the finished repository</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Financial correctness</w:t>
            </w:r>
          </w:p>
        </w:tc>
        <w:tc>
          <w:tcPr>
            <w:tcW w:type="dxa" w:w="6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Immutable balanced ledger, reversal-based corrections, database constraints, and invariant tests</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Concurrency safety</w:t>
            </w:r>
          </w:p>
        </w:tc>
        <w:tc>
          <w:tcPr>
            <w:tcW w:type="dxa" w:w="6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Single-winner capture/refund behavior, idempotent replays, disjoint settlement claims, and race-condition tests</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Reliable integration</w:t>
            </w:r>
          </w:p>
        </w:tc>
        <w:tc>
          <w:tcPr>
            <w:tcW w:type="dxa" w:w="6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Transactional outbox, publisher confirms, inbox deduplication, signed webhooks, retries, dead-lettering, and replay</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Operational maturity</w:t>
            </w:r>
          </w:p>
        </w:tc>
        <w:tc>
          <w:tcPr>
            <w:tcW w:type="dxa" w:w="6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Metrics, traces, health probes, runbooks, backup verification, and documented failure recovery</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Reviewability</w:t>
            </w:r>
          </w:p>
        </w:tc>
        <w:tc>
          <w:tcPr>
            <w:tcW w:type="dxa" w:w="6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OpenAPI, ADRs, ERD/domain documentation, deterministic seed data, CI evidence, and a concise demo</w:t>
            </w:r>
          </w:p>
        </w:tc>
      </w:tr>
    </w:tbl>
    <w:p>
      <w:pPr>
        <w:spacing w:after="40"/>
      </w:pPr>
    </w:p>
    <w:p>
      <w:pPr>
        <w:keepNext w:val="0"/>
        <w:keepLines w:val="0"/>
      </w:pPr>
      <w:r>
        <w:rPr>
          <w:rFonts w:ascii="Calibri" w:hAnsi="Calibri" w:eastAsia="Calibri"/>
          <w:i w:val="0"/>
          <w:color w:val="1F2933"/>
        </w:rPr>
        <w:t>The specification deliberately corrects several ambiguities in the source blueprint. Payment lifecycle and settlement lifecycle are modeled separately; Redis is not a baseline dependency; post-settlement refunds create settlement adjustments instead of inventing an undefined payment state; webhook endpoints are treated as an SSRF boundary; and the outbox publisher uses a short lease/claim transaction rather than holding database locks during broker network calls.</w:t>
      </w:r>
    </w:p>
    <w:p>
      <w:pPr>
        <w:pageBreakBefore/>
        <w:spacing w:after="280"/>
      </w:pPr>
      <w:r>
        <w:rPr>
          <w:rFonts w:ascii="Calibri" w:hAnsi="Calibri" w:eastAsia="Calibri"/>
          <w:b/>
          <w:color w:val="0B2545"/>
          <w:sz w:val="40"/>
        </w:rPr>
        <w:t>Contents</w:t>
      </w:r>
    </w:p>
    <w:p>
      <w:pPr>
        <w:pStyle w:val="Caption"/>
        <w:keepNext/>
        <w:keepLines w:val="0"/>
      </w:pPr>
      <w:r>
        <w:t>Table 4. Document map</w:t>
      </w:r>
    </w:p>
    <w:tbl>
      <w:tblPr>
        <w:tblW w:type="dxa" w:w="9360"/>
        <w:tblLayout w:type="fixed"/>
        <w:tblLook w:firstColumn="1" w:firstRow="1" w:lastColumn="0" w:lastRow="0" w:noHBand="0" w:noVBand="1" w:val="04A0"/>
        <w:jc w:val="left"/>
        <w:tblInd w:w="120" w:type="dxa"/>
      </w:tblPr>
      <w:tblGrid>
        <w:gridCol w:w="2700"/>
        <w:gridCol w:w="6000"/>
        <w:gridCol w:w="660"/>
      </w:tblGrid>
      <w:tr>
        <w:trPr>
          <w:tblHeader w:val="true"/>
          <w:cantSplit w:val="true"/>
        </w:trPr>
        <w:tc>
          <w:tcPr>
            <w:tcW w:type="dxa" w:w="27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jc w:val="left"/>
            </w:pPr>
            <w:r>
              <w:rPr>
                <w:rFonts w:ascii="Calibri" w:hAnsi="Calibri" w:eastAsia="Calibri"/>
                <w:b/>
                <w:color w:val="0B2545"/>
                <w:sz w:val="18"/>
              </w:rPr>
              <w:t>Section</w:t>
            </w:r>
          </w:p>
        </w:tc>
        <w:tc>
          <w:tcPr>
            <w:tcW w:type="dxa" w:w="60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jc w:val="left"/>
            </w:pPr>
            <w:r>
              <w:rPr>
                <w:rFonts w:ascii="Calibri" w:hAnsi="Calibri" w:eastAsia="Calibri"/>
                <w:b/>
                <w:color w:val="0B2545"/>
                <w:sz w:val="18"/>
              </w:rPr>
              <w:t>What the reader will find</w:t>
            </w:r>
          </w:p>
        </w:tc>
        <w:tc>
          <w:tcPr>
            <w:tcW w:type="dxa" w:w="6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jc w:val="center"/>
            </w:pPr>
            <w:r>
              <w:rPr>
                <w:rFonts w:ascii="Calibri" w:hAnsi="Calibri" w:eastAsia="Calibri"/>
                <w:b/>
                <w:color w:val="0B2545"/>
                <w:sz w:val="18"/>
              </w:rPr>
              <w:t>Page</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Document Control</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Ownership, status, revision history, and governing assumptions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2</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Executive Summary</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Recommended solution, outcomes, and implementation posture</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3</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Purpose and Decision Context</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Problem statement, audience, principles, and baseline decisions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4</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Goals, Scope, and Success Criteria</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Priorities, exclusions, constraints, and measurable exit conditions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6</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Stakeholders and System Actors</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People, systems, permissions, and trust boundaries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8</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Domain Model and Financial Semantics</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Module boundaries, money rules, lifecycles, ledger, and events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9</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Functional Requirements</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Traceable product and operator capabilities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12</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Architecture and Technical Design</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Processes, integrations, consistency, deployment, and ADRs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14</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Data Architecture and Integrity Controls</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Entities, constraints, indexes, migrations, and retention</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18</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API and Integration Contracts</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HTTP conventions, endpoints, webhooks, and statement imports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20</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Security and Threat Model</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Assets, threats, controls, and verification evidence</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23</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Reliability and Operational Design</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SLOs, observability, failure recovery, and runbooks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25</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Verification and Quality Strategy</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Tests, concurrency proof, performance, and release gates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27</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Delivery and Repository Plan</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Milestones, repository structure, CI/CD, and case-study evidence</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28</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Risks, Decisions, and Open Questions</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Delivery risks, architecture decisions, and deferred choices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31</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Acceptance Baseline</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Definition of done and release approval checklist</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32</w:t>
            </w:r>
          </w:p>
        </w:tc>
      </w:tr>
      <w:tr>
        <w:trPr>
          <w:cantSplit w:val="true"/>
        </w:trPr>
        <w:tc>
          <w:tcPr>
            <w:tcW w:type="dxa" w:w="2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Appendices</w:t>
            </w:r>
          </w:p>
        </w:tc>
        <w:tc>
          <w:tcPr>
            <w:tcW w:type="dxa" w:w="6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left"/>
            </w:pPr>
            <w:r>
              <w:rPr>
                <w:rFonts w:ascii="Calibri" w:hAnsi="Calibri" w:eastAsia="Calibri"/>
                <w:color w:val="1F2933"/>
                <w:sz w:val="17"/>
              </w:rPr>
              <w:t>Traceability, contract samples, glossary, and official references</w:t>
            </w:r>
          </w:p>
        </w:tc>
        <w:tc>
          <w:tcPr>
            <w:tcW w:type="dxa" w:w="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jc w:val="center"/>
            </w:pPr>
            <w:r>
              <w:rPr>
                <w:rFonts w:ascii="Calibri" w:hAnsi="Calibri" w:eastAsia="Calibri"/>
                <w:color w:val="1F2933"/>
                <w:sz w:val="17"/>
              </w:rPr>
              <w:t>33</w:t>
            </w:r>
          </w:p>
        </w:tc>
      </w:tr>
    </w:tbl>
    <w:p>
      <w:pPr>
        <w:spacing w:after="40"/>
      </w:pPr>
    </w:p>
    <w:p>
      <w:pPr>
        <w:pStyle w:val="Heading1"/>
      </w:pPr>
      <w:r>
        <w:t>Purpose and Decision Context</w:t>
      </w:r>
    </w:p>
    <w:p>
      <w:pPr>
        <w:pStyle w:val="Heading2"/>
      </w:pPr>
      <w:r>
        <w:t>Purpose</w:t>
      </w:r>
    </w:p>
    <w:p>
      <w:pPr>
        <w:keepNext w:val="0"/>
        <w:keepLines w:val="0"/>
      </w:pPr>
      <w:r>
        <w:rPr>
          <w:rFonts w:ascii="Calibri" w:hAnsi="Calibri" w:eastAsia="Calibri"/>
          <w:i w:val="0"/>
          <w:color w:val="1F2933"/>
        </w:rPr>
        <w:t>This document defines what SettleFlow must do, how its critical guarantees will be implemented, what is excluded, and how completion will be proven. It is intended to guide implementation, code review, testing, public documentation, and release decisions.</w:t>
      </w:r>
    </w:p>
    <w:p>
      <w:pPr>
        <w:pStyle w:val="Heading2"/>
      </w:pPr>
      <w:r>
        <w:t>Product statement</w:t>
      </w:r>
    </w:p>
    <w:p>
      <w:pPr>
        <w:spacing w:before="120" w:after="160" w:line="264" w:lineRule="auto"/>
        <w:ind w:left="173" w:right="115"/>
        <w:shd w:fill="EDF6F7"/>
        <w:keepNext w:val="0"/>
        <w:keepLines/>
        <w:pBdr>
          <w:left w:val="single" w:sz="14" w:space="6" w:color="2A7F9E"/>
        </w:pBdr>
      </w:pPr>
      <w:r>
        <w:rPr>
          <w:rFonts w:ascii="Calibri" w:hAnsi="Calibri" w:eastAsia="Calibri"/>
          <w:b/>
          <w:color w:val="2A7F9E"/>
        </w:rPr>
        <w:t xml:space="preserve">SettleFlow: </w:t>
      </w:r>
      <w:r>
        <w:rPr>
          <w:rFonts w:ascii="Calibri" w:hAnsi="Calibri" w:eastAsia="Calibri"/>
          <w:color w:val="1F2933"/>
        </w:rPr>
        <w:t>A merchant payment and settlement engine that accepts idempotent payment commands, records each financial movement in an immutable double-entry ledger, delivers signed domain events to merchant endpoints, batches eligible balances for settlement, and reconciles platform records against mock provider statements.</w:t>
      </w:r>
    </w:p>
    <w:p>
      <w:pPr>
        <w:pStyle w:val="Heading2"/>
      </w:pPr>
      <w:r>
        <w:t>Problem and opportunity</w:t>
      </w:r>
    </w:p>
    <w:p>
      <w:pPr>
        <w:keepNext w:val="0"/>
        <w:keepLines w:val="0"/>
      </w:pPr>
      <w:r>
        <w:rPr>
          <w:rFonts w:ascii="Calibri" w:hAnsi="Calibri" w:eastAsia="Calibri"/>
          <w:i w:val="0"/>
          <w:color w:val="1F2933"/>
        </w:rPr>
        <w:t>Many portfolio backends demonstrate CRUD, authentication, and basic messaging but do not prove behavior when requests are retried, workers crash, messages are duplicated, or two jobs race for the same financial record. SettleFlow addresses that gap by making correctness and recoverability observable. A reviewer should be able to locate an invariant, see how it is enforced, run the corresponding test, and inspect the operational signal that would detect failure.</w:t>
      </w:r>
    </w:p>
    <w:p>
      <w:pPr>
        <w:pStyle w:val="Heading2"/>
      </w:pPr>
      <w:r>
        <w:t>Intended readers</w:t>
      </w:r>
    </w:p>
    <w:p>
      <w:pPr>
        <w:keepNext w:val="0"/>
        <w:keepLines/>
        <w:numPr>
          <w:ilvl w:val="0"/>
          <w:numId w:val="10"/>
        </w:numPr>
      </w:pPr>
      <w:r>
        <w:rPr>
          <w:rFonts w:ascii="Calibri" w:hAnsi="Calibri" w:eastAsia="Calibri"/>
          <w:color w:val="1F2933"/>
        </w:rPr>
        <w:t>Implementers who need authoritative module boundaries, data rules, contracts, and acceptance criteria.</w:t>
      </w:r>
    </w:p>
    <w:p>
      <w:pPr>
        <w:keepNext w:val="0"/>
        <w:keepLines/>
        <w:numPr>
          <w:ilvl w:val="0"/>
          <w:numId w:val="10"/>
        </w:numPr>
      </w:pPr>
      <w:r>
        <w:rPr>
          <w:rFonts w:ascii="Calibri" w:hAnsi="Calibri" w:eastAsia="Calibri"/>
          <w:color w:val="1F2933"/>
        </w:rPr>
        <w:t>Reviewers who need to evaluate architecture trade-offs, failure semantics, security posture, and proof quality.</w:t>
      </w:r>
    </w:p>
    <w:p>
      <w:pPr>
        <w:keepNext w:val="0"/>
        <w:keepLines/>
        <w:numPr>
          <w:ilvl w:val="0"/>
          <w:numId w:val="10"/>
        </w:numPr>
      </w:pPr>
      <w:r>
        <w:rPr>
          <w:rFonts w:ascii="Calibri" w:hAnsi="Calibri" w:eastAsia="Calibri"/>
          <w:color w:val="1F2933"/>
        </w:rPr>
        <w:t>Open-source contributors who need scope boundaries, contribution expectations, and a stable behavioral baseline.</w:t>
      </w:r>
    </w:p>
    <w:p>
      <w:pPr>
        <w:keepNext w:val="0"/>
        <w:keepLines/>
        <w:numPr>
          <w:ilvl w:val="0"/>
          <w:numId w:val="10"/>
        </w:numPr>
      </w:pPr>
      <w:r>
        <w:rPr>
          <w:rFonts w:ascii="Calibri" w:hAnsi="Calibri" w:eastAsia="Calibri"/>
          <w:color w:val="1F2933"/>
        </w:rPr>
        <w:t>Hiring managers and senior engineers who need a concise but technically credible case-study narrative.</w:t>
      </w:r>
    </w:p>
    <w:p>
      <w:pPr>
        <w:pStyle w:val="Heading2"/>
      </w:pPr>
      <w:r>
        <w:t>Design principles</w:t>
      </w:r>
    </w:p>
    <w:p>
      <w:pPr>
        <w:pStyle w:val="Caption"/>
        <w:keepNext/>
        <w:keepLines w:val="0"/>
      </w:pPr>
      <w:r>
        <w:t>Table 5. Design principles</w:t>
      </w:r>
    </w:p>
    <w:tbl>
      <w:tblPr>
        <w:tblW w:type="dxa" w:w="9360"/>
        <w:tblLayout w:type="fixed"/>
        <w:tblLook w:firstColumn="1" w:firstRow="1" w:lastColumn="0" w:lastRow="0" w:noHBand="0" w:noVBand="1" w:val="04A0"/>
        <w:jc w:val="left"/>
        <w:tblInd w:w="120" w:type="dxa"/>
      </w:tblPr>
      <w:tblGrid>
        <w:gridCol w:w="2550"/>
        <w:gridCol w:w="6810"/>
      </w:tblGrid>
      <w:tr>
        <w:trPr>
          <w:tblHeader w:val="true"/>
          <w:cantSplit w:val="true"/>
        </w:trPr>
        <w:tc>
          <w:tcPr>
            <w:tcW w:type="dxa" w:w="25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Principle</w:t>
            </w:r>
          </w:p>
        </w:tc>
        <w:tc>
          <w:tcPr>
            <w:tcW w:type="dxa" w:w="68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Implication</w:t>
            </w:r>
          </w:p>
        </w:tc>
      </w:tr>
      <w:tr>
        <w:trPr>
          <w:cantSplit w:val="true"/>
        </w:trPr>
        <w:tc>
          <w:tcPr>
            <w:tcW w:type="dxa" w:w="2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Correctness before distribution</w:t>
            </w:r>
          </w:p>
        </w:tc>
        <w:tc>
          <w:tcPr>
            <w:tcW w:type="dxa" w:w="68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Keep money-changing invariants inside one PostgreSQL transaction boundary.</w:t>
            </w:r>
          </w:p>
        </w:tc>
      </w:tr>
      <w:tr>
        <w:trPr>
          <w:cantSplit w:val="true"/>
        </w:trPr>
        <w:tc>
          <w:tcPr>
            <w:tcW w:type="dxa" w:w="2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At-least-once is explicit</w:t>
            </w:r>
          </w:p>
        </w:tc>
        <w:tc>
          <w:tcPr>
            <w:tcW w:type="dxa" w:w="68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Assume broker and webhook duplicates; every consumer must be idempotent.</w:t>
            </w:r>
          </w:p>
        </w:tc>
      </w:tr>
      <w:tr>
        <w:trPr>
          <w:cantSplit w:val="true"/>
        </w:trPr>
        <w:tc>
          <w:tcPr>
            <w:tcW w:type="dxa" w:w="2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The ledger is append-only</w:t>
            </w:r>
          </w:p>
        </w:tc>
        <w:tc>
          <w:tcPr>
            <w:tcW w:type="dxa" w:w="68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Corrections use reversing transactions; posted entries are never edited or deleted.</w:t>
            </w:r>
          </w:p>
        </w:tc>
      </w:tr>
      <w:tr>
        <w:trPr>
          <w:cantSplit w:val="true"/>
        </w:trPr>
        <w:tc>
          <w:tcPr>
            <w:tcW w:type="dxa" w:w="2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Database constraints are executable design</w:t>
            </w:r>
          </w:p>
        </w:tc>
        <w:tc>
          <w:tcPr>
            <w:tcW w:type="dxa" w:w="68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Use checks, uniqueness, foreign keys, and deferred triggers for cross-row rules.</w:t>
            </w:r>
          </w:p>
        </w:tc>
      </w:tr>
      <w:tr>
        <w:trPr>
          <w:cantSplit w:val="true"/>
        </w:trPr>
        <w:tc>
          <w:tcPr>
            <w:tcW w:type="dxa" w:w="2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Operational behavior is part of the product</w:t>
            </w:r>
          </w:p>
        </w:tc>
        <w:tc>
          <w:tcPr>
            <w:tcW w:type="dxa" w:w="68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Metrics, traces, health, alerts, and runbooks ship with the feature.</w:t>
            </w:r>
          </w:p>
        </w:tc>
      </w:tr>
      <w:tr>
        <w:trPr>
          <w:cantSplit w:val="true"/>
        </w:trPr>
        <w:tc>
          <w:tcPr>
            <w:tcW w:type="dxa" w:w="2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Public reviewability is a requirement</w:t>
            </w:r>
          </w:p>
        </w:tc>
        <w:tc>
          <w:tcPr>
            <w:tcW w:type="dxa" w:w="68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Decisions, contracts, test evidence, seed data, and demo flows stay inspectable.</w:t>
            </w:r>
          </w:p>
        </w:tc>
      </w:tr>
      <w:tr>
        <w:trPr>
          <w:cantSplit w:val="true"/>
        </w:trPr>
        <w:tc>
          <w:tcPr>
            <w:tcW w:type="dxa" w:w="2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Scope is a control</w:t>
            </w:r>
          </w:p>
        </w:tc>
        <w:tc>
          <w:tcPr>
            <w:tcW w:type="dxa" w:w="68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Exclude real payment rails, card data, KYC, subscriptions, and a rich admin UI from the baseline.</w:t>
            </w:r>
          </w:p>
        </w:tc>
      </w:tr>
    </w:tbl>
    <w:p>
      <w:pPr>
        <w:spacing w:after="40"/>
      </w:pPr>
    </w:p>
    <w:p>
      <w:pPr>
        <w:pStyle w:val="Heading2"/>
      </w:pPr>
      <w:r>
        <w:t>Baseline decisions</w:t>
      </w:r>
    </w:p>
    <w:p>
      <w:pPr>
        <w:pStyle w:val="Caption"/>
        <w:keepNext/>
        <w:keepLines w:val="0"/>
      </w:pPr>
      <w:r>
        <w:t>Table 6. Architecture decision summary</w:t>
      </w:r>
    </w:p>
    <w:tbl>
      <w:tblPr>
        <w:tblW w:type="dxa" w:w="9360"/>
        <w:tblLayout w:type="fixed"/>
        <w:tblLook w:firstColumn="1" w:firstRow="1" w:lastColumn="0" w:lastRow="0" w:noHBand="0" w:noVBand="1" w:val="04A0"/>
        <w:jc w:val="left"/>
        <w:tblInd w:w="120" w:type="dxa"/>
      </w:tblPr>
      <w:tblGrid>
        <w:gridCol w:w="1700"/>
        <w:gridCol w:w="2100"/>
        <w:gridCol w:w="5560"/>
      </w:tblGrid>
      <w:tr>
        <w:trPr>
          <w:tblHeader w:val="true"/>
          <w:cantSplit w:val="true"/>
        </w:trPr>
        <w:tc>
          <w:tcPr>
            <w:tcW w:type="dxa" w:w="17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Decision</w:t>
            </w:r>
          </w:p>
        </w:tc>
        <w:tc>
          <w:tcPr>
            <w:tcW w:type="dxa" w:w="21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Baseline</w:t>
            </w:r>
          </w:p>
        </w:tc>
        <w:tc>
          <w:tcPr>
            <w:tcW w:type="dxa" w:w="55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Rationale</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Architecture</w:t>
            </w:r>
          </w:p>
        </w:tc>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Modular monolith</w:t>
            </w:r>
          </w:p>
        </w:tc>
        <w:tc>
          <w:tcPr>
            <w:tcW w:type="dxa" w:w="5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Strong transaction boundary, lower delivery risk, clear module ownership</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Deployables</w:t>
            </w:r>
          </w:p>
        </w:tc>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API + worker</w:t>
            </w:r>
          </w:p>
        </w:tc>
        <w:tc>
          <w:tcPr>
            <w:tcW w:type="dxa" w:w="5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Independent scaling and failure isolation without duplicated domain logic</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Source of truth</w:t>
            </w:r>
          </w:p>
        </w:tc>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PostgreSQL</w:t>
            </w:r>
          </w:p>
        </w:tc>
        <w:tc>
          <w:tcPr>
            <w:tcW w:type="dxa" w:w="5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Transactions, constraints, locks, indexes, and transparent SQL behavior</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Data access</w:t>
            </w:r>
          </w:p>
        </w:tc>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Prisma + reviewed raw SQL</w:t>
            </w:r>
          </w:p>
        </w:tc>
        <w:tc>
          <w:tcPr>
            <w:tcW w:type="dxa" w:w="5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Productivity for routine paths; exact SQL for locking, claims, and advanced constraints</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Messaging</w:t>
            </w:r>
          </w:p>
        </w:tc>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RabbitMQ</w:t>
            </w:r>
          </w:p>
        </w:tc>
        <w:tc>
          <w:tcPr>
            <w:tcW w:type="dxa" w:w="5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Publisher confirms, manual acknowledgements, dead-lettering, and backpressure controls</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Async consistency</w:t>
            </w:r>
          </w:p>
        </w:tc>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Transactional outbox + inbox</w:t>
            </w:r>
          </w:p>
        </w:tc>
        <w:tc>
          <w:tcPr>
            <w:tcW w:type="dxa" w:w="5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Eliminates unsafe dual writes and makes duplicates manageable</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API style</w:t>
            </w:r>
          </w:p>
        </w:tc>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Versioned REST + OpenAPI</w:t>
            </w:r>
          </w:p>
        </w:tc>
        <w:tc>
          <w:tcPr>
            <w:tcW w:type="dxa" w:w="5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Easy inspection, contract testing, and demoability</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Deployment</w:t>
            </w:r>
          </w:p>
        </w:tc>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Docker Compose locally; separate containers in production-like environments</w:t>
            </w:r>
          </w:p>
        </w:tc>
        <w:tc>
          <w:tcPr>
            <w:tcW w:type="dxa" w:w="5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One-command review with a credible operational topology</w:t>
            </w:r>
          </w:p>
        </w:tc>
      </w:tr>
    </w:tbl>
    <w:p>
      <w:pPr>
        <w:spacing w:after="40"/>
      </w:pPr>
    </w:p>
    <w:p>
      <w:pPr>
        <w:pStyle w:val="Heading1"/>
      </w:pPr>
      <w:r>
        <w:t>Goals, Scope, and Success Criteria</w:t>
      </w:r>
    </w:p>
    <w:p>
      <w:pPr>
        <w:pStyle w:val="Heading2"/>
      </w:pPr>
      <w:r>
        <w:t>Goals</w:t>
      </w:r>
    </w:p>
    <w:p>
      <w:pPr>
        <w:keepNext w:val="0"/>
        <w:keepLines/>
        <w:numPr>
          <w:ilvl w:val="0"/>
          <w:numId w:val="10"/>
        </w:numPr>
      </w:pPr>
      <w:r>
        <w:rPr>
          <w:rFonts w:ascii="Calibri" w:hAnsi="Calibri" w:eastAsia="Calibri"/>
          <w:color w:val="1F2933"/>
        </w:rPr>
        <w:t>Demonstrate safe handling of retries, duplicate messages, concurrent commands, and partial infrastructure failure.</w:t>
      </w:r>
    </w:p>
    <w:p>
      <w:pPr>
        <w:keepNext w:val="0"/>
        <w:keepLines/>
        <w:numPr>
          <w:ilvl w:val="0"/>
          <w:numId w:val="10"/>
        </w:numPr>
      </w:pPr>
      <w:r>
        <w:rPr>
          <w:rFonts w:ascii="Calibri" w:hAnsi="Calibri" w:eastAsia="Calibri"/>
          <w:color w:val="1F2933"/>
        </w:rPr>
        <w:t>Make financial invariants visible in the schema, services, tests, metrics, and documentation.</w:t>
      </w:r>
    </w:p>
    <w:p>
      <w:pPr>
        <w:keepNext w:val="0"/>
        <w:keepLines/>
        <w:numPr>
          <w:ilvl w:val="0"/>
          <w:numId w:val="10"/>
        </w:numPr>
      </w:pPr>
      <w:r>
        <w:rPr>
          <w:rFonts w:ascii="Calibri" w:hAnsi="Calibri" w:eastAsia="Calibri"/>
          <w:color w:val="1F2933"/>
        </w:rPr>
        <w:t>Provide an end-to-end local demo that a reviewer can run without external payment accounts.</w:t>
      </w:r>
    </w:p>
    <w:p>
      <w:pPr>
        <w:keepNext w:val="0"/>
        <w:keepLines/>
        <w:numPr>
          <w:ilvl w:val="0"/>
          <w:numId w:val="10"/>
        </w:numPr>
      </w:pPr>
      <w:r>
        <w:rPr>
          <w:rFonts w:ascii="Calibri" w:hAnsi="Calibri" w:eastAsia="Calibri"/>
          <w:color w:val="1F2933"/>
        </w:rPr>
        <w:t>Produce reusable engineering artifacts: OpenAPI, ADRs, schema documentation, runbooks, reports, performance tests, and CI evidence.</w:t>
      </w:r>
    </w:p>
    <w:p>
      <w:pPr>
        <w:keepNext w:val="0"/>
        <w:keepLines/>
        <w:numPr>
          <w:ilvl w:val="0"/>
          <w:numId w:val="10"/>
        </w:numPr>
      </w:pPr>
      <w:r>
        <w:rPr>
          <w:rFonts w:ascii="Calibri" w:hAnsi="Calibri" w:eastAsia="Calibri"/>
          <w:color w:val="1F2933"/>
        </w:rPr>
        <w:t>Keep the first release small enough for one engineer to finish and maintain at production-like quality.</w:t>
      </w:r>
    </w:p>
    <w:p>
      <w:pPr>
        <w:pStyle w:val="Heading2"/>
      </w:pPr>
      <w:r>
        <w:t>Prioritized scope</w:t>
      </w:r>
    </w:p>
    <w:p>
      <w:pPr>
        <w:pStyle w:val="Caption"/>
        <w:keepNext/>
        <w:keepLines w:val="0"/>
      </w:pPr>
      <w:r>
        <w:t>Table 7. Release scope by priority</w:t>
      </w:r>
    </w:p>
    <w:tbl>
      <w:tblPr>
        <w:tblW w:type="dxa" w:w="9360"/>
        <w:tblLayout w:type="fixed"/>
        <w:tblLook w:firstColumn="1" w:firstRow="1" w:lastColumn="0" w:lastRow="0" w:noHBand="0" w:noVBand="1" w:val="04A0"/>
        <w:jc w:val="left"/>
        <w:tblInd w:w="120" w:type="dxa"/>
      </w:tblPr>
      <w:tblGrid>
        <w:gridCol w:w="1450"/>
        <w:gridCol w:w="5900"/>
        <w:gridCol w:w="2010"/>
      </w:tblGrid>
      <w:tr>
        <w:trPr>
          <w:tblHeader w:val="true"/>
          <w:cantSplit w:val="true"/>
        </w:trPr>
        <w:tc>
          <w:tcPr>
            <w:tcW w:type="dxa" w:w="14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Priority</w:t>
            </w:r>
          </w:p>
        </w:tc>
        <w:tc>
          <w:tcPr>
            <w:tcW w:type="dxa" w:w="5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Capabilities</w:t>
            </w:r>
          </w:p>
        </w:tc>
        <w:tc>
          <w:tcPr>
            <w:tcW w:type="dxa" w:w="20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Release treatment</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P0 — mandatory</w:t>
            </w:r>
          </w:p>
        </w:tc>
        <w:tc>
          <w:tcPr>
            <w:tcW w:type="dxa" w:w="5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 API keys; payment intents; direct capture; refunds; idempotency; immutable ledger; outbox/inbox; signed webhooks; settlement batches; CSV reconciliation; OpenAPI; tests; health; metrics; CI; Docker</w:t>
            </w:r>
          </w:p>
        </w:tc>
        <w:tc>
          <w:tcPr>
            <w:tcW w:type="dxa" w:w="2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Required for v1.0</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P1 — hardening</w:t>
            </w:r>
          </w:p>
        </w:tc>
        <w:tc>
          <w:tcPr>
            <w:tcW w:type="dxa" w:w="5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Separate authorization step; webhook secret rotation overlap; richer operator queries; distributed traces; example dashboards; backup-restore automation</w:t>
            </w:r>
          </w:p>
        </w:tc>
        <w:tc>
          <w:tcPr>
            <w:tcW w:type="dxa" w:w="2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Include if P0 gates are green</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P2 — extension</w:t>
            </w:r>
          </w:p>
        </w:tc>
        <w:tc>
          <w:tcPr>
            <w:tcW w:type="dxa" w:w="5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Disputes, chargebacks, partial capture, CDC outbox, multi-region design, richer admin UI</w:t>
            </w:r>
          </w:p>
        </w:tc>
        <w:tc>
          <w:tcPr>
            <w:tcW w:type="dxa" w:w="2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Document only; implement after v1.0</w:t>
            </w:r>
          </w:p>
        </w:tc>
      </w:tr>
    </w:tbl>
    <w:p>
      <w:pPr>
        <w:spacing w:after="40"/>
      </w:pPr>
    </w:p>
    <w:p>
      <w:pPr>
        <w:pStyle w:val="Heading2"/>
      </w:pPr>
      <w:r>
        <w:t>Out of scope</w:t>
      </w:r>
    </w:p>
    <w:p>
      <w:pPr>
        <w:keepNext w:val="0"/>
        <w:keepLines/>
        <w:numPr>
          <w:ilvl w:val="0"/>
          <w:numId w:val="10"/>
        </w:numPr>
      </w:pPr>
      <w:r>
        <w:rPr>
          <w:rFonts w:ascii="Calibri" w:hAnsi="Calibri" w:eastAsia="Calibri"/>
          <w:color w:val="1F2933"/>
        </w:rPr>
        <w:t>Real card, bank, mobile-money, or cryptocurrency processing; no live funds may move through the project.</w:t>
      </w:r>
    </w:p>
    <w:p>
      <w:pPr>
        <w:keepNext w:val="0"/>
        <w:keepLines/>
        <w:numPr>
          <w:ilvl w:val="0"/>
          <w:numId w:val="10"/>
        </w:numPr>
      </w:pPr>
      <w:r>
        <w:rPr>
          <w:rFonts w:ascii="Calibri" w:hAnsi="Calibri" w:eastAsia="Calibri"/>
          <w:color w:val="1F2933"/>
        </w:rPr>
        <w:t>Collection or storage of PAN, CVV, bank credentials, identity documents, or other regulated payment-authentication data.</w:t>
      </w:r>
    </w:p>
    <w:p>
      <w:pPr>
        <w:keepNext w:val="0"/>
        <w:keepLines/>
        <w:numPr>
          <w:ilvl w:val="0"/>
          <w:numId w:val="10"/>
        </w:numPr>
      </w:pPr>
      <w:r>
        <w:rPr>
          <w:rFonts w:ascii="Calibri" w:hAnsi="Calibri" w:eastAsia="Calibri"/>
          <w:color w:val="1F2933"/>
        </w:rPr>
        <w:t>KYC/AML workflows, customer wallets, subscriptions, invoicing, tax calculation, disputes, and chargebacks in v1.0.</w:t>
      </w:r>
    </w:p>
    <w:p>
      <w:pPr>
        <w:keepNext w:val="0"/>
        <w:keepLines/>
        <w:numPr>
          <w:ilvl w:val="0"/>
          <w:numId w:val="10"/>
        </w:numPr>
      </w:pPr>
      <w:r>
        <w:rPr>
          <w:rFonts w:ascii="Calibri" w:hAnsi="Calibri" w:eastAsia="Calibri"/>
          <w:color w:val="1F2933"/>
        </w:rPr>
        <w:t>A production certification claim, regulatory compliance claim, or guarantee that the reference design is suitable for a regulated deployment.</w:t>
      </w:r>
    </w:p>
    <w:p>
      <w:pPr>
        <w:keepNext w:val="0"/>
        <w:keepLines/>
        <w:numPr>
          <w:ilvl w:val="0"/>
          <w:numId w:val="10"/>
        </w:numPr>
      </w:pPr>
      <w:r>
        <w:rPr>
          <w:rFonts w:ascii="Calibri" w:hAnsi="Calibri" w:eastAsia="Calibri"/>
          <w:color w:val="1F2933"/>
        </w:rPr>
        <w:t>A rich web administration console, Kubernetes platform, service mesh, or multi-region active-active deployment.</w:t>
      </w:r>
    </w:p>
    <w:p>
      <w:pPr>
        <w:pStyle w:val="Heading2"/>
      </w:pPr>
      <w:r>
        <w:t>Assumptions and constraints</w:t>
      </w:r>
    </w:p>
    <w:p>
      <w:pPr>
        <w:pStyle w:val="Caption"/>
        <w:keepNext/>
        <w:keepLines w:val="0"/>
      </w:pPr>
      <w:r>
        <w:t>Table 8. Assumptions and constraints</w:t>
      </w:r>
    </w:p>
    <w:tbl>
      <w:tblPr>
        <w:tblW w:type="dxa" w:w="9360"/>
        <w:tblLayout w:type="fixed"/>
        <w:tblLook w:firstColumn="1" w:firstRow="1" w:lastColumn="0" w:lastRow="0" w:noHBand="0" w:noVBand="1" w:val="04A0"/>
        <w:jc w:val="left"/>
        <w:tblInd w:w="120" w:type="dxa"/>
      </w:tblPr>
      <w:tblGrid>
        <w:gridCol w:w="850"/>
        <w:gridCol w:w="4250"/>
        <w:gridCol w:w="4260"/>
      </w:tblGrid>
      <w:tr>
        <w:trPr>
          <w:tblHeader w:val="true"/>
          <w:cantSplit w:val="true"/>
        </w:trPr>
        <w:tc>
          <w:tcPr>
            <w:tcW w:type="dxa" w:w="8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ID</w:t>
            </w:r>
          </w:p>
        </w:tc>
        <w:tc>
          <w:tcPr>
            <w:tcW w:type="dxa" w:w="42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Statement</w:t>
            </w:r>
          </w:p>
        </w:tc>
        <w:tc>
          <w:tcPr>
            <w:tcW w:type="dxa" w:w="42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Design consequence</w:t>
            </w:r>
          </w:p>
        </w:tc>
      </w:tr>
      <w:tr>
        <w:trPr>
          <w:cantSplit w:val="true"/>
        </w:trPr>
        <w:tc>
          <w:tcPr>
            <w:tcW w:type="dxa" w:w="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A-01</w:t>
            </w:r>
          </w:p>
        </w:tc>
        <w:tc>
          <w:tcPr>
            <w:tcW w:type="dxa" w:w="42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One primary region and one PostgreSQL writer</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 cross-region write conflict model in v1.0</w:t>
            </w:r>
          </w:p>
        </w:tc>
      </w:tr>
      <w:tr>
        <w:trPr>
          <w:cantSplit w:val="true"/>
        </w:trPr>
        <w:tc>
          <w:tcPr>
            <w:tcW w:type="dxa" w:w="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A-02</w:t>
            </w:r>
          </w:p>
        </w:tc>
        <w:tc>
          <w:tcPr>
            <w:tcW w:type="dxa" w:w="42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Provider behavior is simulated</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Adapters use deterministic fixtures; no provider secrets are required</w:t>
            </w:r>
          </w:p>
        </w:tc>
      </w:tr>
      <w:tr>
        <w:trPr>
          <w:cantSplit w:val="true"/>
        </w:trPr>
        <w:tc>
          <w:tcPr>
            <w:tcW w:type="dxa" w:w="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A-03</w:t>
            </w:r>
          </w:p>
        </w:tc>
        <w:tc>
          <w:tcPr>
            <w:tcW w:type="dxa" w:w="42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One currency per ledger transaction and settlement batch</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Cross-currency conversion and FX accounting are excluded</w:t>
            </w:r>
          </w:p>
        </w:tc>
      </w:tr>
      <w:tr>
        <w:trPr>
          <w:cantSplit w:val="true"/>
        </w:trPr>
        <w:tc>
          <w:tcPr>
            <w:tcW w:type="dxa" w:w="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A-04</w:t>
            </w:r>
          </w:p>
        </w:tc>
        <w:tc>
          <w:tcPr>
            <w:tcW w:type="dxa" w:w="42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 systems can retry and receive duplicate webhooks</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 and delivery identifiers are mandatory</w:t>
            </w:r>
          </w:p>
        </w:tc>
      </w:tr>
      <w:tr>
        <w:trPr>
          <w:cantSplit w:val="true"/>
        </w:trPr>
        <w:tc>
          <w:tcPr>
            <w:tcW w:type="dxa" w:w="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A-05</w:t>
            </w:r>
          </w:p>
        </w:tc>
        <w:tc>
          <w:tcPr>
            <w:tcW w:type="dxa" w:w="42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The public repository contains no secrets or personal data</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Only synthetic seed data and example credentials are allowed</w:t>
            </w:r>
          </w:p>
        </w:tc>
      </w:tr>
      <w:tr>
        <w:trPr>
          <w:cantSplit w:val="true"/>
        </w:trPr>
        <w:tc>
          <w:tcPr>
            <w:tcW w:type="dxa" w:w="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C-01</w:t>
            </w:r>
          </w:p>
        </w:tc>
        <w:tc>
          <w:tcPr>
            <w:tcW w:type="dxa" w:w="42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Solo or small-team delivery</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Prefer a modular monolith and limit P0 surface area</w:t>
            </w:r>
          </w:p>
        </w:tc>
      </w:tr>
      <w:tr>
        <w:trPr>
          <w:cantSplit w:val="true"/>
        </w:trPr>
        <w:tc>
          <w:tcPr>
            <w:tcW w:type="dxa" w:w="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C-02</w:t>
            </w:r>
          </w:p>
        </w:tc>
        <w:tc>
          <w:tcPr>
            <w:tcW w:type="dxa" w:w="42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Local startup must be reproducible</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Docker Compose and deterministic migrations/seeds are release gates</w:t>
            </w:r>
          </w:p>
        </w:tc>
      </w:tr>
    </w:tbl>
    <w:p>
      <w:pPr>
        <w:spacing w:after="40"/>
      </w:pPr>
    </w:p>
    <w:p>
      <w:pPr>
        <w:pStyle w:val="Heading2"/>
      </w:pPr>
      <w:r>
        <w:t>Success measures</w:t>
      </w:r>
    </w:p>
    <w:p>
      <w:pPr>
        <w:pStyle w:val="Caption"/>
        <w:keepNext/>
        <w:keepLines w:val="0"/>
      </w:pPr>
      <w:r>
        <w:t>Table 9. Measurable success criteria</w:t>
      </w:r>
    </w:p>
    <w:tbl>
      <w:tblPr>
        <w:tblW w:type="dxa" w:w="9360"/>
        <w:tblLayout w:type="fixed"/>
        <w:tblLook w:firstColumn="1" w:firstRow="1" w:lastColumn="0" w:lastRow="0" w:noHBand="0" w:noVBand="1" w:val="04A0"/>
        <w:jc w:val="left"/>
        <w:tblInd w:w="120" w:type="dxa"/>
      </w:tblPr>
      <w:tblGrid>
        <w:gridCol w:w="2500"/>
        <w:gridCol w:w="3300"/>
        <w:gridCol w:w="3560"/>
      </w:tblGrid>
      <w:tr>
        <w:trPr>
          <w:tblHeader w:val="true"/>
          <w:cantSplit w:val="true"/>
        </w:trPr>
        <w:tc>
          <w:tcPr>
            <w:tcW w:type="dxa" w:w="25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Measure</w:t>
            </w:r>
          </w:p>
        </w:tc>
        <w:tc>
          <w:tcPr>
            <w:tcW w:type="dxa" w:w="33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Target</w:t>
            </w:r>
          </w:p>
        </w:tc>
        <w:tc>
          <w:tcPr>
            <w:tcW w:type="dxa" w:w="35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Proof</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Duplicate financial side effects</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Zero in defined retry and race tests</w:t>
            </w:r>
          </w:p>
        </w:tc>
        <w:tc>
          <w:tcPr>
            <w:tcW w:type="dxa" w:w="3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Concurrency integration suite</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Ledger imbalance</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Zero committed unbalanced transactions</w:t>
            </w:r>
          </w:p>
        </w:tc>
        <w:tc>
          <w:tcPr>
            <w:tcW w:type="dxa" w:w="3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Deferred database constraint + negative tests</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 duplication</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Zero payments in more than one batch</w:t>
            </w:r>
          </w:p>
        </w:tc>
        <w:tc>
          <w:tcPr>
            <w:tcW w:type="dxa" w:w="3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Unique constraint + dual-worker race test</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Webhook durability</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Event reaches delivered or dead-lettered terminal state</w:t>
            </w:r>
          </w:p>
        </w:tc>
        <w:tc>
          <w:tcPr>
            <w:tcW w:type="dxa" w:w="3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Failure-injection integration tests</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API latency</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p95 &lt; 300 ms for create/capture at reference local load, excluding cold start</w:t>
            </w:r>
          </w:p>
        </w:tc>
        <w:tc>
          <w:tcPr>
            <w:tcW w:type="dxa" w:w="3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k6 report with documented environment</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Availability signal</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Readiness fails when DB or broker is unavailable; liveness reflects process health</w:t>
            </w:r>
          </w:p>
        </w:tc>
        <w:tc>
          <w:tcPr>
            <w:tcW w:type="dxa" w:w="3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Health-check tests</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Reviewer setup</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Fresh clone to working demo in &lt;= 15 minutes on documented prerequisites</w:t>
            </w:r>
          </w:p>
        </w:tc>
        <w:tc>
          <w:tcPr>
            <w:tcW w:type="dxa" w:w="3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Recorded clean-room setup</w:t>
            </w:r>
          </w:p>
        </w:tc>
      </w:tr>
      <w:tr>
        <w:trPr>
          <w:cantSplit w:val="true"/>
        </w:trPr>
        <w:tc>
          <w:tcPr>
            <w:tcW w:type="dxa" w:w="25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Documentation</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All P0 endpoints, invariants, ADRs, runbooks, and demo steps present</w:t>
            </w:r>
          </w:p>
        </w:tc>
        <w:tc>
          <w:tcPr>
            <w:tcW w:type="dxa" w:w="35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Release checklist</w:t>
            </w:r>
          </w:p>
        </w:tc>
      </w:tr>
    </w:tbl>
    <w:p>
      <w:pPr>
        <w:spacing w:after="40"/>
      </w:pPr>
    </w:p>
    <w:p>
      <w:pPr>
        <w:pStyle w:val="Heading1"/>
      </w:pPr>
      <w:r>
        <w:t>Stakeholders and System Actors</w:t>
      </w:r>
    </w:p>
    <w:p>
      <w:pPr>
        <w:pStyle w:val="Heading2"/>
      </w:pPr>
      <w:r>
        <w:t>Stakeholders</w:t>
      </w:r>
    </w:p>
    <w:p>
      <w:pPr>
        <w:pStyle w:val="Caption"/>
        <w:keepNext/>
        <w:keepLines w:val="0"/>
      </w:pPr>
      <w:r>
        <w:t>Table 10. Stakeholder needs</w:t>
      </w:r>
    </w:p>
    <w:tbl>
      <w:tblPr>
        <w:tblW w:type="dxa" w:w="9360"/>
        <w:tblLayout w:type="fixed"/>
        <w:tblLook w:firstColumn="1" w:firstRow="1" w:lastColumn="0" w:lastRow="0" w:noHBand="0" w:noVBand="1" w:val="04A0"/>
        <w:jc w:val="left"/>
        <w:tblInd w:w="120" w:type="dxa"/>
      </w:tblPr>
      <w:tblGrid>
        <w:gridCol w:w="1900"/>
        <w:gridCol w:w="4300"/>
        <w:gridCol w:w="3160"/>
      </w:tblGrid>
      <w:tr>
        <w:trPr>
          <w:tblHeader w:val="true"/>
          <w:cantSplit w:val="true"/>
        </w:trPr>
        <w:tc>
          <w:tcPr>
            <w:tcW w:type="dxa" w:w="1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Stakeholder</w:t>
            </w:r>
          </w:p>
        </w:tc>
        <w:tc>
          <w:tcPr>
            <w:tcW w:type="dxa" w:w="43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Primary need</w:t>
            </w:r>
          </w:p>
        </w:tc>
        <w:tc>
          <w:tcPr>
            <w:tcW w:type="dxa" w:w="31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Success signal</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Merchant developer</w:t>
            </w:r>
          </w:p>
        </w:tc>
        <w:tc>
          <w:tcPr>
            <w:tcW w:type="dxa" w:w="4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Predictable, documented, safely retryable API and webhooks</w:t>
            </w:r>
          </w:p>
        </w:tc>
        <w:tc>
          <w:tcPr>
            <w:tcW w:type="dxa" w:w="3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Fast integration using OpenAPI and examples</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Merchant operator</w:t>
            </w:r>
          </w:p>
        </w:tc>
        <w:tc>
          <w:tcPr>
            <w:tcW w:type="dxa" w:w="4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Visibility into payments, deliveries, settlements, and reconciliation mismatches</w:t>
            </w:r>
          </w:p>
        </w:tc>
        <w:tc>
          <w:tcPr>
            <w:tcW w:type="dxa" w:w="3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Traceable records and controlled replay</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Platform operator</w:t>
            </w:r>
          </w:p>
        </w:tc>
        <w:tc>
          <w:tcPr>
            <w:tcW w:type="dxa" w:w="4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Health, backlog, errors, recovery actions, and audit history</w:t>
            </w:r>
          </w:p>
        </w:tc>
        <w:tc>
          <w:tcPr>
            <w:tcW w:type="dxa" w:w="3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Actionable metrics and runbooks</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Maintainer</w:t>
            </w:r>
          </w:p>
        </w:tc>
        <w:tc>
          <w:tcPr>
            <w:tcW w:type="dxa" w:w="4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Clear module ownership and low-risk changes</w:t>
            </w:r>
          </w:p>
        </w:tc>
        <w:tc>
          <w:tcPr>
            <w:tcW w:type="dxa" w:w="3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Boundary tests, ADRs, migrations, and CI</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Security reviewer</w:t>
            </w:r>
          </w:p>
        </w:tc>
        <w:tc>
          <w:tcPr>
            <w:tcW w:type="dxa" w:w="4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Known assets, trust boundaries, threats, and evidence</w:t>
            </w:r>
          </w:p>
        </w:tc>
        <w:tc>
          <w:tcPr>
            <w:tcW w:type="dxa" w:w="3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Threat-control-verification traceability</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Technical reviewer</w:t>
            </w:r>
          </w:p>
        </w:tc>
        <w:tc>
          <w:tcPr>
            <w:tcW w:type="dxa" w:w="4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Observable proof of system claims</w:t>
            </w:r>
          </w:p>
        </w:tc>
        <w:tc>
          <w:tcPr>
            <w:tcW w:type="dxa" w:w="3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Runnable tests and concise architecture narrative</w:t>
            </w:r>
          </w:p>
        </w:tc>
      </w:tr>
    </w:tbl>
    <w:p>
      <w:pPr>
        <w:spacing w:after="40"/>
      </w:pPr>
    </w:p>
    <w:p>
      <w:pPr>
        <w:pStyle w:val="Heading2"/>
      </w:pPr>
      <w:r>
        <w:t>System actors and permissions</w:t>
      </w:r>
    </w:p>
    <w:p>
      <w:pPr>
        <w:pStyle w:val="Caption"/>
        <w:keepNext/>
        <w:keepLines w:val="0"/>
      </w:pPr>
      <w:r>
        <w:t>Table 11. Actors and responsibilities</w:t>
      </w:r>
    </w:p>
    <w:tbl>
      <w:tblPr>
        <w:tblW w:type="dxa" w:w="9360"/>
        <w:tblLayout w:type="fixed"/>
        <w:tblLook w:firstColumn="1" w:firstRow="1" w:lastColumn="0" w:lastRow="0" w:noHBand="0" w:noVBand="1" w:val="04A0"/>
        <w:jc w:val="left"/>
        <w:tblInd w:w="120" w:type="dxa"/>
      </w:tblPr>
      <w:tblGrid>
        <w:gridCol w:w="1950"/>
        <w:gridCol w:w="4650"/>
        <w:gridCol w:w="2760"/>
      </w:tblGrid>
      <w:tr>
        <w:trPr>
          <w:tblHeader w:val="true"/>
          <w:cantSplit w:val="true"/>
        </w:trPr>
        <w:tc>
          <w:tcPr>
            <w:tcW w:type="dxa" w:w="19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Actor</w:t>
            </w:r>
          </w:p>
        </w:tc>
        <w:tc>
          <w:tcPr>
            <w:tcW w:type="dxa" w:w="46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Allowed actions</w:t>
            </w:r>
          </w:p>
        </w:tc>
        <w:tc>
          <w:tcPr>
            <w:tcW w:type="dxa" w:w="27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Trust boundary</w:t>
            </w:r>
          </w:p>
        </w:tc>
      </w:tr>
      <w:tr>
        <w:trPr>
          <w:cantSplit w:val="true"/>
        </w:trPr>
        <w:tc>
          <w:tcPr>
            <w:tcW w:type="dxa" w:w="19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 backend</w:t>
            </w:r>
          </w:p>
        </w:tc>
        <w:tc>
          <w:tcPr>
            <w:tcW w:type="dxa" w:w="4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Create/read payment intents, capture, refund, manage webhook endpoints, read owned settlements/reports</w:t>
            </w:r>
          </w:p>
        </w:tc>
        <w:tc>
          <w:tcPr>
            <w:tcW w:type="dxa" w:w="27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Untrusted client authenticated by scoped API key</w:t>
            </w:r>
          </w:p>
        </w:tc>
      </w:tr>
      <w:tr>
        <w:trPr>
          <w:cantSplit w:val="true"/>
        </w:trPr>
        <w:tc>
          <w:tcPr>
            <w:tcW w:type="dxa" w:w="19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Platform operator</w:t>
            </w:r>
          </w:p>
        </w:tc>
        <w:tc>
          <w:tcPr>
            <w:tcW w:type="dxa" w:w="4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Inspect operational records, trigger permitted replays/runs, view audit evidence</w:t>
            </w:r>
          </w:p>
        </w:tc>
        <w:tc>
          <w:tcPr>
            <w:tcW w:type="dxa" w:w="27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Privileged role; separate operator authentication</w:t>
            </w:r>
          </w:p>
        </w:tc>
      </w:tr>
      <w:tr>
        <w:trPr>
          <w:cantSplit w:val="true"/>
        </w:trPr>
        <w:tc>
          <w:tcPr>
            <w:tcW w:type="dxa" w:w="19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API process</w:t>
            </w:r>
          </w:p>
        </w:tc>
        <w:tc>
          <w:tcPr>
            <w:tcW w:type="dxa" w:w="4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Validate/authenticate commands and execute synchronous domain transactions</w:t>
            </w:r>
          </w:p>
        </w:tc>
        <w:tc>
          <w:tcPr>
            <w:tcW w:type="dxa" w:w="27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Trusted application process</w:t>
            </w:r>
          </w:p>
        </w:tc>
      </w:tr>
      <w:tr>
        <w:trPr>
          <w:cantSplit w:val="true"/>
        </w:trPr>
        <w:tc>
          <w:tcPr>
            <w:tcW w:type="dxa" w:w="19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Worker process</w:t>
            </w:r>
          </w:p>
        </w:tc>
        <w:tc>
          <w:tcPr>
            <w:tcW w:type="dxa" w:w="4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Publish outbox events, consume messages, deliver webhooks, run settlement and reconciliation jobs</w:t>
            </w:r>
          </w:p>
        </w:tc>
        <w:tc>
          <w:tcPr>
            <w:tcW w:type="dxa" w:w="27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Trusted application process with least-privilege queues</w:t>
            </w:r>
          </w:p>
        </w:tc>
      </w:tr>
      <w:tr>
        <w:trPr>
          <w:cantSplit w:val="true"/>
        </w:trPr>
        <w:tc>
          <w:tcPr>
            <w:tcW w:type="dxa" w:w="19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 webhook endpoint</w:t>
            </w:r>
          </w:p>
        </w:tc>
        <w:tc>
          <w:tcPr>
            <w:tcW w:type="dxa" w:w="4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Receive signed events and return HTTP status</w:t>
            </w:r>
          </w:p>
        </w:tc>
        <w:tc>
          <w:tcPr>
            <w:tcW w:type="dxa" w:w="27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Untrusted outbound network destination and SSRF boundary</w:t>
            </w:r>
          </w:p>
        </w:tc>
      </w:tr>
      <w:tr>
        <w:trPr>
          <w:cantSplit w:val="true"/>
        </w:trPr>
        <w:tc>
          <w:tcPr>
            <w:tcW w:type="dxa" w:w="19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Mock provider statement</w:t>
            </w:r>
          </w:p>
        </w:tc>
        <w:tc>
          <w:tcPr>
            <w:tcW w:type="dxa" w:w="4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Supply deterministic CSV transaction records</w:t>
            </w:r>
          </w:p>
        </w:tc>
        <w:tc>
          <w:tcPr>
            <w:tcW w:type="dxa" w:w="27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Untrusted file input</w:t>
            </w:r>
          </w:p>
        </w:tc>
      </w:tr>
      <w:tr>
        <w:trPr>
          <w:cantSplit w:val="true"/>
        </w:trPr>
        <w:tc>
          <w:tcPr>
            <w:tcW w:type="dxa" w:w="19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Reviewer</w:t>
            </w:r>
          </w:p>
        </w:tc>
        <w:tc>
          <w:tcPr>
            <w:tcW w:type="dxa" w:w="4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Run local environment and inspect synthetic data</w:t>
            </w:r>
          </w:p>
        </w:tc>
        <w:tc>
          <w:tcPr>
            <w:tcW w:type="dxa" w:w="27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 production credentials or data</w:t>
            </w:r>
          </w:p>
        </w:tc>
      </w:tr>
    </w:tbl>
    <w:p>
      <w:pPr>
        <w:spacing w:after="40"/>
      </w:pPr>
    </w:p>
    <w:p>
      <w:pPr>
        <w:spacing w:before="120" w:after="160" w:line="264" w:lineRule="auto"/>
        <w:ind w:left="173" w:right="115"/>
        <w:shd w:fill="FDF1F1"/>
        <w:keepNext w:val="0"/>
        <w:keepLines/>
        <w:pBdr>
          <w:left w:val="single" w:sz="14" w:space="6" w:color="9B1C1C"/>
        </w:pBdr>
      </w:pPr>
      <w:r>
        <w:rPr>
          <w:rFonts w:ascii="Calibri" w:hAnsi="Calibri" w:eastAsia="Calibri"/>
          <w:b/>
          <w:color w:val="9B1C1C"/>
        </w:rPr>
        <w:t xml:space="preserve">Authorization rule: </w:t>
      </w:r>
      <w:r>
        <w:rPr>
          <w:rFonts w:ascii="Calibri" w:hAnsi="Calibri" w:eastAsia="Calibri"/>
          <w:color w:val="1F2933"/>
        </w:rPr>
        <w:t>Every merchant-owned query and mutation must be scoped by the authenticated merchant identifier in the database predicate, not filtered only after retrieval.</w:t>
      </w:r>
    </w:p>
    <w:p>
      <w:pPr>
        <w:pStyle w:val="Heading1"/>
      </w:pPr>
      <w:r>
        <w:t>Domain Model and Financial Semantics</w:t>
      </w:r>
    </w:p>
    <w:p>
      <w:pPr>
        <w:pStyle w:val="Heading2"/>
      </w:pPr>
      <w:r>
        <w:t>Bounded modules</w:t>
      </w:r>
    </w:p>
    <w:p>
      <w:pPr>
        <w:pStyle w:val="Caption"/>
        <w:keepNext/>
        <w:keepLines w:val="0"/>
      </w:pPr>
      <w:r>
        <w:t>Table 12. Module ownership</w:t>
      </w:r>
    </w:p>
    <w:tbl>
      <w:tblPr>
        <w:tblW w:type="dxa" w:w="9360"/>
        <w:tblLayout w:type="fixed"/>
        <w:tblLook w:firstColumn="1" w:firstRow="1" w:lastColumn="0" w:lastRow="0" w:noHBand="0" w:noVBand="1" w:val="04A0"/>
        <w:jc w:val="left"/>
        <w:tblInd w:w="120" w:type="dxa"/>
      </w:tblPr>
      <w:tblGrid>
        <w:gridCol w:w="1650"/>
        <w:gridCol w:w="4620"/>
        <w:gridCol w:w="3090"/>
      </w:tblGrid>
      <w:tr>
        <w:trPr>
          <w:tblHeader w:val="true"/>
          <w:cantSplit w:val="true"/>
        </w:trPr>
        <w:tc>
          <w:tcPr>
            <w:tcW w:type="dxa" w:w="16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Module</w:t>
            </w:r>
          </w:p>
        </w:tc>
        <w:tc>
          <w:tcPr>
            <w:tcW w:type="dxa" w:w="462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Owns</w:t>
            </w:r>
          </w:p>
        </w:tc>
        <w:tc>
          <w:tcPr>
            <w:tcW w:type="dxa" w:w="309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May publish</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 Access</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merchants, api_keys, scopes</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merchant.disabled, api_key.rotated</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Payments</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payment_intents, refunds, payment transitions</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payment.created, payment.captured, payment.refunded</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Ledger</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ledger_accounts, ledger_transactions, ledger_entries</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ledger.transaction_posted</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idempotency_keys and response snapshots</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 public business event</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Eventing</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outbox_events, inbox_messages, publish leases</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Infrastructure delivery only</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Webhooks</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endpoints, deliveries, attempts, signing metadata</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webhook.delivered, webhook.dead_lettered</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Settlements</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batches, batch_items, adjustments</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settlement.finalized, settlement.exported</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Reconciliation</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imports, provider_rows, results</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reconciliation.completed</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Operations</w:t>
            </w:r>
          </w:p>
        </w:tc>
        <w:tc>
          <w:tcPr>
            <w:tcW w:type="dxa" w:w="462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audit_events, health, metrics, replay commands</w:t>
            </w:r>
          </w:p>
        </w:tc>
        <w:tc>
          <w:tcPr>
            <w:tcW w:type="dxa" w:w="309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operator.action_recorded</w:t>
            </w:r>
          </w:p>
        </w:tc>
      </w:tr>
    </w:tbl>
    <w:p>
      <w:pPr>
        <w:spacing w:after="40"/>
      </w:pPr>
    </w:p>
    <w:p>
      <w:pPr>
        <w:pStyle w:val="Heading2"/>
      </w:pPr>
      <w:r>
        <w:t>Money representation</w:t>
      </w:r>
    </w:p>
    <w:p>
      <w:pPr>
        <w:keepNext w:val="0"/>
        <w:keepLines/>
        <w:numPr>
          <w:ilvl w:val="0"/>
          <w:numId w:val="10"/>
        </w:numPr>
      </w:pPr>
      <w:r>
        <w:rPr>
          <w:rFonts w:ascii="Calibri" w:hAnsi="Calibri" w:eastAsia="Calibri"/>
          <w:color w:val="1F2933"/>
        </w:rPr>
        <w:t>Store amounts as signed or unsigned BIGINT minor units according to field meaning; never use binary floating point for financial values.</w:t>
      </w:r>
    </w:p>
    <w:p>
      <w:pPr>
        <w:keepNext w:val="0"/>
        <w:keepLines/>
        <w:numPr>
          <w:ilvl w:val="0"/>
          <w:numId w:val="10"/>
        </w:numPr>
      </w:pPr>
      <w:r>
        <w:rPr>
          <w:rFonts w:ascii="Calibri" w:hAnsi="Calibri" w:eastAsia="Calibri"/>
          <w:color w:val="1F2933"/>
        </w:rPr>
        <w:t>Use a three-letter uppercase currency code and require one currency per payment, ledger transaction, and settlement batch.</w:t>
      </w:r>
    </w:p>
    <w:p>
      <w:pPr>
        <w:keepNext w:val="0"/>
        <w:keepLines/>
        <w:numPr>
          <w:ilvl w:val="0"/>
          <w:numId w:val="10"/>
        </w:numPr>
      </w:pPr>
      <w:r>
        <w:rPr>
          <w:rFonts w:ascii="Calibri" w:hAnsi="Calibri" w:eastAsia="Calibri"/>
          <w:color w:val="1F2933"/>
        </w:rPr>
        <w:t>Reject arithmetic overflow, negative capture/refund requests, and currency mismatches before posting.</w:t>
      </w:r>
    </w:p>
    <w:p>
      <w:pPr>
        <w:keepNext w:val="0"/>
        <w:keepLines/>
        <w:numPr>
          <w:ilvl w:val="0"/>
          <w:numId w:val="10"/>
        </w:numPr>
      </w:pPr>
      <w:r>
        <w:rPr>
          <w:rFonts w:ascii="Calibri" w:hAnsi="Calibri" w:eastAsia="Calibri"/>
          <w:color w:val="1F2933"/>
        </w:rPr>
        <w:t>Derived totals may use generated columns where the expression is stable and improves integrity; authoritative ledger balances remain derived from entries. [R5a, R6–R7]</w:t>
      </w:r>
    </w:p>
    <w:p>
      <w:pPr>
        <w:pStyle w:val="Heading2"/>
      </w:pPr>
      <w:r>
        <w:t>Separate payment and settlement lifecycles</w:t>
      </w:r>
    </w:p>
    <w:p>
      <w:pPr>
        <w:keepNext w:val="0"/>
        <w:keepLines w:val="0"/>
      </w:pPr>
      <w:r>
        <w:rPr>
          <w:rFonts w:ascii="Calibri" w:hAnsi="Calibri" w:eastAsia="Calibri"/>
          <w:i w:val="0"/>
          <w:color w:val="1F2933"/>
        </w:rPr>
        <w:t>Payment status answers what happened to the customer-facing payment. Settlement status answers whether the merchant obligation has been batched and paid. Combining both into one status creates invalid transitions and makes post-settlement refunds unclear; SettleFlow therefore stores them separately.</w:t>
      </w:r>
    </w:p>
    <w:p>
      <w:pPr>
        <w:keepNext/>
        <w:keepLines w:val="0"/>
        <w:spacing w:before="80" w:after="40"/>
        <w:jc w:val="center"/>
      </w:pPr>
      <w:r>
        <w:drawing>
          <wp:inline xmlns:a="http://schemas.openxmlformats.org/drawingml/2006/main" xmlns:pic="http://schemas.openxmlformats.org/drawingml/2006/picture">
            <wp:extent cx="5806440" cy="2599428"/>
            <wp:docPr id="1" name="SettleFlow Figure 1" descr="Two coordinated state machines. Payment states move from Created to Captured, then optionally Partially Refunded or Refunded, with Failed and Voided terminal alternatives. Settlement states move from Not Eligible to Eligible, Batched, Settled, and Adjustment Pending for post-settlement refunds."/>
            <wp:cNvGraphicFramePr>
              <a:graphicFrameLocks noChangeAspect="1"/>
            </wp:cNvGraphicFramePr>
            <a:graphic>
              <a:graphicData uri="http://schemas.openxmlformats.org/drawingml/2006/picture">
                <pic:pic>
                  <pic:nvPicPr>
                    <pic:cNvPr id="0" name="state_model.png"/>
                    <pic:cNvPicPr/>
                  </pic:nvPicPr>
                  <pic:blipFill>
                    <a:blip r:embed="rId13"/>
                    <a:stretch>
                      <a:fillRect/>
                    </a:stretch>
                  </pic:blipFill>
                  <pic:spPr>
                    <a:xfrm>
                      <a:off x="0" y="0"/>
                      <a:ext cx="5806440" cy="2599428"/>
                    </a:xfrm>
                    <a:prstGeom prst="rect"/>
                  </pic:spPr>
                </pic:pic>
              </a:graphicData>
            </a:graphic>
          </wp:inline>
        </w:drawing>
      </w:r>
    </w:p>
    <w:p>
      <w:pPr>
        <w:pStyle w:val="Caption"/>
        <w:spacing w:after="160"/>
        <w:jc w:val="center"/>
      </w:pPr>
      <w:r>
        <w:t>Figure 1. Payment and settlement lifecycles are separate but coordinated.</w:t>
      </w:r>
    </w:p>
    <w:p>
      <w:pPr>
        <w:pStyle w:val="Caption"/>
        <w:keepNext/>
        <w:keepLines w:val="0"/>
      </w:pPr>
      <w:r>
        <w:t>Table 13. State transition rules</w:t>
      </w:r>
    </w:p>
    <w:tbl>
      <w:tblPr>
        <w:tblW w:type="dxa" w:w="9360"/>
        <w:tblLayout w:type="fixed"/>
        <w:tblLook w:firstColumn="1" w:firstRow="1" w:lastColumn="0" w:lastRow="0" w:noHBand="0" w:noVBand="1" w:val="04A0"/>
        <w:jc w:val="left"/>
        <w:tblInd w:w="120" w:type="dxa"/>
      </w:tblPr>
      <w:tblGrid>
        <w:gridCol w:w="1450"/>
        <w:gridCol w:w="2850"/>
        <w:gridCol w:w="5060"/>
      </w:tblGrid>
      <w:tr>
        <w:trPr>
          <w:tblHeader w:val="true"/>
          <w:cantSplit w:val="true"/>
        </w:trPr>
        <w:tc>
          <w:tcPr>
            <w:tcW w:type="dxa" w:w="14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Lifecycle</w:t>
            </w:r>
          </w:p>
        </w:tc>
        <w:tc>
          <w:tcPr>
            <w:tcW w:type="dxa" w:w="28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Transition</w:t>
            </w:r>
          </w:p>
        </w:tc>
        <w:tc>
          <w:tcPr>
            <w:tcW w:type="dxa" w:w="50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Preconditions and side effects</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CREATED → CAPTURED</w:t>
            </w:r>
          </w:p>
        </w:tc>
        <w:tc>
          <w:tcPr>
            <w:tcW w:type="dxa" w:w="5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Valid amount; idempotency acquired; row locked; capture ledger transaction and outbox event committed atomically</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CAPTURED → PARTIALLY_REFUNDED</w:t>
            </w:r>
          </w:p>
        </w:tc>
        <w:tc>
          <w:tcPr>
            <w:tcW w:type="dxa" w:w="5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Refund &gt; 0 and cumulative refunds &lt; capture; refund ledger transaction and event committed</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CAPTURED/PARTIALLY_REFUNDED → REFUNDED</w:t>
            </w:r>
          </w:p>
        </w:tc>
        <w:tc>
          <w:tcPr>
            <w:tcW w:type="dxa" w:w="5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Cumulative refunds equal captured amount</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CREATED/AUTHORIZED → VOIDED</w:t>
            </w:r>
          </w:p>
        </w:tc>
        <w:tc>
          <w:tcPr>
            <w:tcW w:type="dxa" w:w="5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 capture has posted; no settlement effect</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NOT_ELIGIBLE → ELIGIBLE</w:t>
            </w:r>
          </w:p>
        </w:tc>
        <w:tc>
          <w:tcPr>
            <w:tcW w:type="dxa" w:w="5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Captured, positive settleable amount, and availability date reached</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ELIGIBLE → BATCHED</w:t>
            </w:r>
          </w:p>
        </w:tc>
        <w:tc>
          <w:tcPr>
            <w:tcW w:type="dxa" w:w="5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Claimed by one batch under lock; unique batch item created</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BATCHED → SETTLED</w:t>
            </w:r>
          </w:p>
        </w:tc>
        <w:tc>
          <w:tcPr>
            <w:tcW w:type="dxa" w:w="5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Batch finalized/exported according to baseline policy</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SETTLED → ADJUSTMENT_PENDING</w:t>
            </w:r>
          </w:p>
        </w:tc>
        <w:tc>
          <w:tcPr>
            <w:tcW w:type="dxa" w:w="5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Post-settlement refund creates an adjustment for a future batch; payment state still reflects refund amount</w:t>
            </w:r>
          </w:p>
        </w:tc>
      </w:tr>
    </w:tbl>
    <w:p>
      <w:pPr>
        <w:spacing w:after="40"/>
      </w:pPr>
    </w:p>
    <w:p>
      <w:pPr>
        <w:pStyle w:val="Heading2"/>
      </w:pPr>
      <w:r>
        <w:t>Ledger model</w:t>
      </w:r>
    </w:p>
    <w:p>
      <w:pPr>
        <w:keepNext w:val="0"/>
        <w:keepLines w:val="0"/>
      </w:pPr>
      <w:r>
        <w:rPr>
          <w:rFonts w:ascii="Calibri" w:hAnsi="Calibri" w:eastAsia="Calibri"/>
          <w:i w:val="0"/>
          <w:color w:val="1F2933"/>
        </w:rPr>
        <w:t>The ledger is the accounting record of each value movement. Payment aggregate totals are operational projections; when they disagree with posted ledger entries, the discrepancy is an incident. Each ledger transaction contains at least two entries, debits equal credits, all entries use the transaction currency, and posted entries are immutable.</w:t>
      </w:r>
    </w:p>
    <w:p>
      <w:pPr>
        <w:pStyle w:val="Caption"/>
        <w:keepNext/>
        <w:keepLines w:val="0"/>
      </w:pPr>
      <w:r>
        <w:t>Table 14. Representative ledger postings</w:t>
      </w:r>
    </w:p>
    <w:tbl>
      <w:tblPr>
        <w:tblW w:type="dxa" w:w="9360"/>
        <w:tblLayout w:type="fixed"/>
        <w:tblLook w:firstColumn="1" w:firstRow="1" w:lastColumn="0" w:lastRow="0" w:noHBand="0" w:noVBand="1" w:val="04A0"/>
        <w:jc w:val="left"/>
        <w:tblInd w:w="120" w:type="dxa"/>
      </w:tblPr>
      <w:tblGrid>
        <w:gridCol w:w="1900"/>
        <w:gridCol w:w="2200"/>
        <w:gridCol w:w="2600"/>
        <w:gridCol w:w="2660"/>
      </w:tblGrid>
      <w:tr>
        <w:trPr>
          <w:tblHeader w:val="true"/>
          <w:cantSplit w:val="true"/>
        </w:trPr>
        <w:tc>
          <w:tcPr>
            <w:tcW w:type="dxa" w:w="1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Business event</w:t>
            </w:r>
          </w:p>
        </w:tc>
        <w:tc>
          <w:tcPr>
            <w:tcW w:type="dxa" w:w="2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Debit</w:t>
            </w:r>
          </w:p>
        </w:tc>
        <w:tc>
          <w:tcPr>
            <w:tcW w:type="dxa" w:w="26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Credit</w:t>
            </w:r>
          </w:p>
        </w:tc>
        <w:tc>
          <w:tcPr>
            <w:tcW w:type="dxa" w:w="26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Example</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Capture</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Provider clearing</w:t>
            </w:r>
          </w:p>
        </w:tc>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 payable</w:t>
            </w:r>
          </w:p>
        </w:tc>
        <w:tc>
          <w:tcPr>
            <w:tcW w:type="dxa" w:w="2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ETB 125,000 minor units on each side</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Refund before settlement</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 payable</w:t>
            </w:r>
          </w:p>
        </w:tc>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Provider clearing</w:t>
            </w:r>
          </w:p>
        </w:tc>
        <w:tc>
          <w:tcPr>
            <w:tcW w:type="dxa" w:w="2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Refund amount on each side</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 with fee</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 payable (gross)</w:t>
            </w:r>
          </w:p>
        </w:tc>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Fee revenue + settlement clearing (net)</w:t>
            </w:r>
          </w:p>
        </w:tc>
        <w:tc>
          <w:tcPr>
            <w:tcW w:type="dxa" w:w="2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Credits sum exactly to gross debit</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Correction</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Accounts determined by reversal</w:t>
            </w:r>
          </w:p>
        </w:tc>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Opposite of original entries</w:t>
            </w:r>
          </w:p>
        </w:tc>
        <w:tc>
          <w:tcPr>
            <w:tcW w:type="dxa" w:w="2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New reversing transaction references original</w:t>
            </w:r>
          </w:p>
        </w:tc>
      </w:tr>
    </w:tbl>
    <w:p>
      <w:pPr>
        <w:spacing w:after="40"/>
      </w:pPr>
    </w:p>
    <w:p>
      <w:pPr>
        <w:pStyle w:val="Caption"/>
        <w:keepNext/>
        <w:keepLines w:val="0"/>
      </w:pPr>
      <w:r>
        <w:t>Table 15. Normative financial invariants</w:t>
      </w:r>
    </w:p>
    <w:tbl>
      <w:tblPr>
        <w:tblW w:type="dxa" w:w="9360"/>
        <w:tblLayout w:type="fixed"/>
        <w:tblLook w:firstColumn="1" w:firstRow="1" w:lastColumn="0" w:lastRow="0" w:noHBand="0" w:noVBand="1" w:val="04A0"/>
        <w:jc w:val="left"/>
        <w:tblInd w:w="120" w:type="dxa"/>
      </w:tblPr>
      <w:tblGrid>
        <w:gridCol w:w="900"/>
        <w:gridCol w:w="5100"/>
        <w:gridCol w:w="3360"/>
      </w:tblGrid>
      <w:tr>
        <w:trPr>
          <w:tblHeader w:val="true"/>
          <w:cantSplit w:val="true"/>
        </w:trPr>
        <w:tc>
          <w:tcPr>
            <w:tcW w:type="dxa" w:w="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ID</w:t>
            </w:r>
          </w:p>
        </w:tc>
        <w:tc>
          <w:tcPr>
            <w:tcW w:type="dxa" w:w="51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Invariant</w:t>
            </w:r>
          </w:p>
        </w:tc>
        <w:tc>
          <w:tcPr>
            <w:tcW w:type="dxa" w:w="33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Primary enforcement</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INV-01</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Every ledger entry amount is greater than zero</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CHECK constraint</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INV-02</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Every posted ledger transaction has at least two entries</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Deferred constraint trigger</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INV-03</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Debits equal credits for every posted ledger transaction</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Deferred constraint trigger at commit</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INV-04</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Every entry currency equals its ledger transaction currency</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Deferred constraint trigger</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INV-05</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Posted ledger transactions and entries cannot be updated or deleted</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Database trigger + restricted DB role</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INV-06</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 correction is a new reversal, never mutation</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Unique reversal reference + service rule</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INV-07</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Cumulative refunds cannot exceed captured amount</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 row lock + CHECK constraint</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INV-08</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One payment can belong to at most one settlement batch at a time</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UNIQUE payment_intent_id on batch item</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INV-09</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 batch contains one merchant and one currency</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Foreign-key ownership + batch-item validation</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INV-10</w:t>
            </w:r>
          </w:p>
        </w:tc>
        <w:tc>
          <w:tcPr>
            <w:tcW w:type="dxa" w:w="5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 duplicate command cannot create a second financial side effect</w:t>
            </w:r>
          </w:p>
        </w:tc>
        <w:tc>
          <w:tcPr>
            <w:tcW w:type="dxa" w:w="3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 record + unique business keys</w:t>
            </w:r>
          </w:p>
        </w:tc>
      </w:tr>
    </w:tbl>
    <w:p>
      <w:pPr>
        <w:spacing w:after="40"/>
      </w:pPr>
    </w:p>
    <w:p>
      <w:pPr>
        <w:pStyle w:val="Heading2"/>
      </w:pPr>
      <w:r>
        <w:t>Domain events</w:t>
      </w:r>
    </w:p>
    <w:p>
      <w:pPr>
        <w:pStyle w:val="Caption"/>
        <w:keepNext/>
        <w:keepLines w:val="0"/>
      </w:pPr>
      <w:r>
        <w:t>Table 16. Initial event catalog</w:t>
      </w:r>
    </w:p>
    <w:tbl>
      <w:tblPr>
        <w:tblW w:type="dxa" w:w="9360"/>
        <w:tblLayout w:type="fixed"/>
        <w:tblLook w:firstColumn="1" w:firstRow="1" w:lastColumn="0" w:lastRow="0" w:noHBand="0" w:noVBand="1" w:val="04A0"/>
        <w:jc w:val="left"/>
        <w:tblInd w:w="120" w:type="dxa"/>
      </w:tblPr>
      <w:tblGrid>
        <w:gridCol w:w="2350"/>
        <w:gridCol w:w="1350"/>
        <w:gridCol w:w="2200"/>
        <w:gridCol w:w="3460"/>
      </w:tblGrid>
      <w:tr>
        <w:trPr>
          <w:tblHeader w:val="true"/>
          <w:cantSplit w:val="true"/>
        </w:trPr>
        <w:tc>
          <w:tcPr>
            <w:tcW w:type="dxa" w:w="23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Event</w:t>
            </w:r>
          </w:p>
        </w:tc>
        <w:tc>
          <w:tcPr>
            <w:tcW w:type="dxa" w:w="13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Producer</w:t>
            </w:r>
          </w:p>
        </w:tc>
        <w:tc>
          <w:tcPr>
            <w:tcW w:type="dxa" w:w="2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Primary consumers</w:t>
            </w:r>
          </w:p>
        </w:tc>
        <w:tc>
          <w:tcPr>
            <w:tcW w:type="dxa" w:w="34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Minimum payload</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payment.created.v1</w:t>
            </w:r>
          </w:p>
        </w:tc>
        <w:tc>
          <w:tcPr>
            <w:tcW w:type="dxa" w:w="1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Payments</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 projection</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eventId, occurredAt, merchantId, paymentId, amount, currency, status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payment.captured.v1</w:t>
            </w:r>
          </w:p>
        </w:tc>
        <w:tc>
          <w:tcPr>
            <w:tcW w:type="dxa" w:w="1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Payments</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Webhooks, settlement eligibility</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paymentId, capturedAmount, availableOn, ledgerTransactionId</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payment.refunded.v1</w:t>
            </w:r>
          </w:p>
        </w:tc>
        <w:tc>
          <w:tcPr>
            <w:tcW w:type="dxa" w:w="1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Payments</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Webhooks, settlement adjustment</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paymentId, refundId, amount, cumulativeRefunded, ledgerTransactionId</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settlement.finalized.v1</w:t>
            </w:r>
          </w:p>
        </w:tc>
        <w:tc>
          <w:tcPr>
            <w:tcW w:type="dxa" w:w="1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Settlements</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Webhooks, exports</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batchId, cutoffAt, gross, fee, net, currency, itemCount</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reconciliation.completed.v1</w:t>
            </w:r>
          </w:p>
        </w:tc>
        <w:tc>
          <w:tcPr>
            <w:tcW w:type="dxa" w:w="1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Reconciliation</w:t>
            </w:r>
          </w:p>
        </w:tc>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Operations, optional webhook</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importId, summary counts, unexplainedDifference</w:t>
            </w:r>
          </w:p>
        </w:tc>
      </w:tr>
    </w:tbl>
    <w:p>
      <w:pPr>
        <w:spacing w:after="40"/>
      </w:pPr>
    </w:p>
    <w:p>
      <w:pPr>
        <w:pStyle w:val="Heading1"/>
      </w:pPr>
      <w:r>
        <w:t>Functional Requirements</w:t>
      </w:r>
    </w:p>
    <w:p>
      <w:pPr>
        <w:keepNext w:val="0"/>
        <w:keepLines w:val="0"/>
      </w:pPr>
      <w:r>
        <w:rPr>
          <w:rFonts w:ascii="Calibri" w:hAnsi="Calibri" w:eastAsia="Calibri"/>
          <w:i w:val="0"/>
          <w:color w:val="1F2933"/>
        </w:rPr>
        <w:t>Requirement IDs are stable traceability anchors. P0 requirements must be implemented and verified for v1.0; P1 requirements may be deferred only if the release notes state the deferral.</w:t>
      </w:r>
    </w:p>
    <w:p>
      <w:pPr>
        <w:pStyle w:val="Caption"/>
        <w:keepNext/>
        <w:keepLines w:val="0"/>
      </w:pPr>
      <w:r>
        <w:t>Table 17. Functional requirements</w:t>
      </w:r>
    </w:p>
    <w:tbl>
      <w:tblPr>
        <w:tblW w:type="dxa" w:w="9360"/>
        <w:tblLayout w:type="fixed"/>
        <w:tblLook w:firstColumn="1" w:firstRow="1" w:lastColumn="0" w:lastRow="0" w:noHBand="0" w:noVBand="1" w:val="04A0"/>
        <w:jc w:val="left"/>
        <w:tblInd w:w="120" w:type="dxa"/>
      </w:tblPr>
      <w:tblGrid>
        <w:gridCol w:w="800"/>
        <w:gridCol w:w="600"/>
        <w:gridCol w:w="4680"/>
        <w:gridCol w:w="3280"/>
      </w:tblGrid>
      <w:tr>
        <w:trPr>
          <w:tblHeader w:val="true"/>
          <w:cantSplit w:val="true"/>
        </w:trPr>
        <w:tc>
          <w:tcPr>
            <w:tcW w:type="dxa" w:w="8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ID</w:t>
            </w:r>
          </w:p>
        </w:tc>
        <w:tc>
          <w:tcPr>
            <w:tcW w:type="dxa" w:w="6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w:t>
            </w:r>
          </w:p>
        </w:tc>
        <w:tc>
          <w:tcPr>
            <w:tcW w:type="dxa" w:w="468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Requirement</w:t>
            </w:r>
          </w:p>
        </w:tc>
        <w:tc>
          <w:tcPr>
            <w:tcW w:type="dxa" w:w="328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Acceptance summary</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FR-01</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Authenticate merchant API requests with hashed, scoped, rotatable API keys.</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Unknown/disabled keys fail; every owned query is merchant-scoped; raw keys are shown once.</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FR-02</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Create and retrieve payment intents using integer minor units and supported currencies.</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Duplicate external reference within one merchant is rejected or replayed by documented policy.</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FR-03</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Capture a valid payment exactly once under retries and concurrency.</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One capture, one ledger transaction, one event; all replays return the stored result.</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FR-04</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Create full or partial refunds without exceeding captured value.</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Concurrent refunds cannot over-refund; each refund posts balanced entries and an event.</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FR-05</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Persist and replay idempotent results for every money-mutating POST.</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Same key/fingerprint replays; changed fingerprint returns 409; in-progress state is recoverable.</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FR-06</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 immutable balanced ledger transactions inside the same DB transaction as domain state.</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Unbalanced, single-entry, mixed-currency, update, and delete attempts fail.</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FR-07</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Publish committed domain events through a transactional outbox.</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No event exists without committed state; duplicates are tolerated; publish failure is retried.</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FR-08</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Deduplicate every state-changing RabbitMQ consumer through an inbox record.</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Re-delivered message creates one effect and is acknowledged only after DB commit.</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FR-09</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Register, disable, rotate, and inspect merchant webhook endpoints.</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Endpoint ownership, event subscriptions, secret lifecycle, and SSRF validation are enforced.</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FR-10</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Deliver signed webhooks with attempt history, backoff, terminal dead-letter state, and controlled replay.</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Signature verifies over exact bytes; retries follow policy; replay is authorized and audited.</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FR-11</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Generate settlement batches from eligible unbatched payments.</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Concurrent workers claim disjoint payments; totals match items and ledger postings.</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FR-12</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Import a mock provider CSV and produce a deterministic reconciliation report.</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Malformed/duplicate rows are classified; totals and mismatch buckets are reproducible.</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FR-13</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Expose liveness, readiness, protected metrics, and correlation IDs.</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Dependency failures change readiness; traces/logs/records share request and event IDs.</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FR-14</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P0</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Record privileged operational actions in an append-only audit log.</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Actor, action, target, reason, timestamp, and correlation ID are retained.</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FR-15</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P1</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Support an explicit authorize-then-capture flow.</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Authorization amount and expiry are validated; capture cannot exceed authorization.</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FR-16</w:t>
            </w:r>
          </w:p>
        </w:tc>
        <w:tc>
          <w:tcPr>
            <w:tcW w:type="dxa" w:w="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P1</w:t>
            </w:r>
          </w:p>
        </w:tc>
        <w:tc>
          <w:tcPr>
            <w:tcW w:type="dxa" w:w="4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Provide example dashboards and operator search views.</w:t>
            </w:r>
          </w:p>
        </w:tc>
        <w:tc>
          <w:tcPr>
            <w:tcW w:type="dxa" w:w="32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Backlogs, failures, latency, and settlement/reconciliation health are visible.</w:t>
            </w:r>
          </w:p>
        </w:tc>
      </w:tr>
    </w:tbl>
    <w:p>
      <w:pPr>
        <w:spacing w:after="40"/>
      </w:pPr>
    </w:p>
    <w:p>
      <w:pPr>
        <w:pStyle w:val="Heading2"/>
      </w:pPr>
      <w:r>
        <w:t>Critical workflow: capture</w:t>
      </w:r>
    </w:p>
    <w:p>
      <w:pPr>
        <w:keepNext w:val="0"/>
        <w:keepLines/>
        <w:numPr>
          <w:ilvl w:val="0"/>
          <w:numId w:val="12"/>
        </w:numPr>
      </w:pPr>
      <w:r>
        <w:rPr>
          <w:rFonts w:ascii="Calibri" w:hAnsi="Calibri" w:eastAsia="Calibri"/>
          <w:color w:val="1F2933"/>
        </w:rPr>
        <w:t>Authenticate the API key, establish merchant identity and scopes, validate the request, and require an Idempotency-Key header.</w:t>
      </w:r>
    </w:p>
    <w:p>
      <w:pPr>
        <w:keepNext w:val="0"/>
        <w:keepLines/>
        <w:numPr>
          <w:ilvl w:val="0"/>
          <w:numId w:val="12"/>
        </w:numPr>
      </w:pPr>
      <w:r>
        <w:rPr>
          <w:rFonts w:ascii="Calibri" w:hAnsi="Calibri" w:eastAsia="Calibri"/>
          <w:color w:val="1F2933"/>
        </w:rPr>
        <w:t>Acquire or load the idempotency record using merchant, key, method, route, and a canonical request fingerprint.</w:t>
      </w:r>
    </w:p>
    <w:p>
      <w:pPr>
        <w:keepNext w:val="0"/>
        <w:keepLines/>
        <w:numPr>
          <w:ilvl w:val="0"/>
          <w:numId w:val="12"/>
        </w:numPr>
      </w:pPr>
      <w:r>
        <w:rPr>
          <w:rFonts w:ascii="Calibri" w:hAnsi="Calibri" w:eastAsia="Calibri"/>
          <w:color w:val="1F2933"/>
        </w:rPr>
        <w:t>Start a database transaction; lock the payment row; re-check status, merchant ownership, currency, and amount.</w:t>
      </w:r>
    </w:p>
    <w:p>
      <w:pPr>
        <w:keepNext w:val="0"/>
        <w:keepLines/>
        <w:numPr>
          <w:ilvl w:val="0"/>
          <w:numId w:val="12"/>
        </w:numPr>
      </w:pPr>
      <w:r>
        <w:rPr>
          <w:rFonts w:ascii="Calibri" w:hAnsi="Calibri" w:eastAsia="Calibri"/>
          <w:color w:val="1F2933"/>
        </w:rPr>
        <w:t>Create the ledger transaction and balanced entries, update payment projections, and insert the payment.captured.v1 outbox row.</w:t>
      </w:r>
    </w:p>
    <w:p>
      <w:pPr>
        <w:keepNext w:val="0"/>
        <w:keepLines/>
        <w:numPr>
          <w:ilvl w:val="0"/>
          <w:numId w:val="12"/>
        </w:numPr>
      </w:pPr>
      <w:r>
        <w:rPr>
          <w:rFonts w:ascii="Calibri" w:hAnsi="Calibri" w:eastAsia="Calibri"/>
          <w:color w:val="1F2933"/>
        </w:rPr>
        <w:t>Commit, persist the HTTP response snapshot against the idempotency record, and return the response.</w:t>
      </w:r>
    </w:p>
    <w:p>
      <w:pPr>
        <w:keepNext w:val="0"/>
        <w:keepLines/>
        <w:numPr>
          <w:ilvl w:val="0"/>
          <w:numId w:val="12"/>
        </w:numPr>
      </w:pPr>
      <w:r>
        <w:rPr>
          <w:rFonts w:ascii="Calibri" w:hAnsi="Calibri" w:eastAsia="Calibri"/>
          <w:color w:val="1F2933"/>
        </w:rPr>
        <w:t>Let the relay publish the event later; synchronous success never depends on RabbitMQ or the merchant webhook endpoint.</w:t>
      </w:r>
    </w:p>
    <w:p>
      <w:pPr>
        <w:spacing w:before="120" w:after="160" w:line="264" w:lineRule="auto"/>
        <w:ind w:left="173" w:right="115"/>
        <w:shd w:fill="FDF1F1"/>
        <w:keepNext w:val="0"/>
        <w:keepLines/>
        <w:pBdr>
          <w:left w:val="single" w:sz="14" w:space="6" w:color="9B1C1C"/>
        </w:pBdr>
      </w:pPr>
      <w:r>
        <w:rPr>
          <w:rFonts w:ascii="Calibri" w:hAnsi="Calibri" w:eastAsia="Calibri"/>
          <w:b/>
          <w:color w:val="9B1C1C"/>
        </w:rPr>
        <w:t xml:space="preserve">Atomicity rule: </w:t>
      </w:r>
      <w:r>
        <w:rPr>
          <w:rFonts w:ascii="Calibri" w:hAnsi="Calibri" w:eastAsia="Calibri"/>
          <w:color w:val="1F2933"/>
        </w:rPr>
        <w:t>Payment state, ledger entries, and the outbox event must commit or roll back together. The broker publish and webhook delivery happen after commit and may be repeated.</w:t>
      </w:r>
    </w:p>
    <w:p>
      <w:pPr>
        <w:pStyle w:val="Heading2"/>
      </w:pPr>
      <w:r>
        <w:t>Critical workflow: reconciliation</w:t>
      </w:r>
    </w:p>
    <w:p>
      <w:pPr>
        <w:keepNext w:val="0"/>
        <w:keepLines/>
        <w:numPr>
          <w:ilvl w:val="0"/>
          <w:numId w:val="13"/>
        </w:numPr>
      </w:pPr>
      <w:r>
        <w:rPr>
          <w:rFonts w:ascii="Calibri" w:hAnsi="Calibri" w:eastAsia="Calibri"/>
          <w:color w:val="1F2933"/>
        </w:rPr>
        <w:t>Accept a CSV file under explicit size, row-count, encoding, and schema limits; calculate a content checksum.</w:t>
      </w:r>
    </w:p>
    <w:p>
      <w:pPr>
        <w:keepNext w:val="0"/>
        <w:keepLines/>
        <w:numPr>
          <w:ilvl w:val="0"/>
          <w:numId w:val="13"/>
        </w:numPr>
      </w:pPr>
      <w:r>
        <w:rPr>
          <w:rFonts w:ascii="Calibri" w:hAnsi="Calibri" w:eastAsia="Calibri"/>
          <w:color w:val="1F2933"/>
        </w:rPr>
        <w:t>Reject or replay an already completed import with the same merchant and checksum according to the idempotency policy.</w:t>
      </w:r>
    </w:p>
    <w:p>
      <w:pPr>
        <w:keepNext w:val="0"/>
        <w:keepLines/>
        <w:numPr>
          <w:ilvl w:val="0"/>
          <w:numId w:val="13"/>
        </w:numPr>
      </w:pPr>
      <w:r>
        <w:rPr>
          <w:rFonts w:ascii="Calibri" w:hAnsi="Calibri" w:eastAsia="Calibri"/>
          <w:color w:val="1F2933"/>
        </w:rPr>
        <w:t>Normalize rows into a staging table, preserving original row number and raw values for auditability.</w:t>
      </w:r>
    </w:p>
    <w:p>
      <w:pPr>
        <w:keepNext w:val="0"/>
        <w:keepLines/>
        <w:numPr>
          <w:ilvl w:val="0"/>
          <w:numId w:val="13"/>
        </w:numPr>
      </w:pPr>
      <w:r>
        <w:rPr>
          <w:rFonts w:ascii="Calibri" w:hAnsi="Calibri" w:eastAsia="Calibri"/>
          <w:color w:val="1F2933"/>
        </w:rPr>
        <w:t>Classify duplicates, then match provider rows to platform records using provider reference first and external reference as a controlled fallback.</w:t>
      </w:r>
    </w:p>
    <w:p>
      <w:pPr>
        <w:keepNext w:val="0"/>
        <w:keepLines/>
        <w:numPr>
          <w:ilvl w:val="0"/>
          <w:numId w:val="13"/>
        </w:numPr>
      </w:pPr>
      <w:r>
        <w:rPr>
          <w:rFonts w:ascii="Calibri" w:hAnsi="Calibri" w:eastAsia="Calibri"/>
          <w:color w:val="1F2933"/>
        </w:rPr>
        <w:t>Produce mutually exclusive result buckets and aggregate platform/provider totals by currency.</w:t>
      </w:r>
    </w:p>
    <w:p>
      <w:pPr>
        <w:keepNext w:val="0"/>
        <w:keepLines/>
        <w:numPr>
          <w:ilvl w:val="0"/>
          <w:numId w:val="13"/>
        </w:numPr>
      </w:pPr>
      <w:r>
        <w:rPr>
          <w:rFonts w:ascii="Calibri" w:hAnsi="Calibri" w:eastAsia="Calibri"/>
          <w:color w:val="1F2933"/>
        </w:rPr>
        <w:t>Mark the import complete, publish reconciliation.completed.v1, and expose both the summary and item-level evidence.</w:t>
      </w:r>
    </w:p>
    <w:p>
      <w:pPr>
        <w:pStyle w:val="Heading1"/>
      </w:pPr>
      <w:r>
        <w:t>Architecture and Technical Design</w:t>
      </w:r>
    </w:p>
    <w:p>
      <w:pPr>
        <w:pStyle w:val="Heading2"/>
      </w:pPr>
      <w:r>
        <w:t>System context</w:t>
      </w:r>
    </w:p>
    <w:p>
      <w:pPr>
        <w:keepNext/>
        <w:keepLines w:val="0"/>
        <w:spacing w:before="80" w:after="40"/>
        <w:jc w:val="center"/>
      </w:pPr>
      <w:r>
        <w:drawing>
          <wp:inline xmlns:a="http://schemas.openxmlformats.org/drawingml/2006/main" xmlns:pic="http://schemas.openxmlformats.org/drawingml/2006/picture">
            <wp:extent cx="5806440" cy="3176593"/>
            <wp:docPr id="2" name="SettleFlow Figure 2" descr="Architecture diagram showing merchant and operator clients calling the NestJS API, the API and worker sharing PostgreSQL, the outbox relay and consumer workers using RabbitMQ, workers delivering signed webhooks and importing provider statements, and all processes exporting telemetry."/>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06440" cy="3176593"/>
                    </a:xfrm>
                    <a:prstGeom prst="rect"/>
                  </pic:spPr>
                </pic:pic>
              </a:graphicData>
            </a:graphic>
          </wp:inline>
        </w:drawing>
      </w:r>
    </w:p>
    <w:p>
      <w:pPr>
        <w:pStyle w:val="Caption"/>
        <w:spacing w:after="160"/>
        <w:jc w:val="center"/>
      </w:pPr>
      <w:r>
        <w:t>Figure 2. SettleFlow system context and deployable boundaries.</w:t>
      </w:r>
    </w:p>
    <w:p>
      <w:pPr>
        <w:keepNext w:val="0"/>
        <w:keepLines w:val="0"/>
      </w:pPr>
      <w:r>
        <w:rPr>
          <w:rFonts w:ascii="Calibri" w:hAnsi="Calibri" w:eastAsia="Calibri"/>
          <w:i w:val="0"/>
          <w:color w:val="1F2933"/>
        </w:rPr>
        <w:t>The API and worker share domain packages but have separate entrypoints, dependency graphs, health checks, and deployment configuration. The API may continue to accept safe synchronous commands when non-critical asynchronous consumers are degraded, but readiness must fail if PostgreSQL is unavailable. Worker readiness depends on both PostgreSQL and RabbitMQ for message-driven responsibilities.</w:t>
      </w:r>
    </w:p>
    <w:p>
      <w:pPr>
        <w:pStyle w:val="Heading2"/>
      </w:pPr>
      <w:r>
        <w:t>Component responsibilities</w:t>
      </w:r>
    </w:p>
    <w:p>
      <w:pPr>
        <w:pStyle w:val="Caption"/>
        <w:keepNext/>
        <w:keepLines w:val="0"/>
      </w:pPr>
      <w:r>
        <w:t>Table 18. Runtime components</w:t>
      </w:r>
    </w:p>
    <w:tbl>
      <w:tblPr>
        <w:tblW w:type="dxa" w:w="9360"/>
        <w:tblLayout w:type="fixed"/>
        <w:tblLook w:firstColumn="1" w:firstRow="1" w:lastColumn="0" w:lastRow="0" w:noHBand="0" w:noVBand="1" w:val="04A0"/>
        <w:jc w:val="left"/>
        <w:tblInd w:w="120" w:type="dxa"/>
      </w:tblPr>
      <w:tblGrid>
        <w:gridCol w:w="1700"/>
        <w:gridCol w:w="4750"/>
        <w:gridCol w:w="2910"/>
      </w:tblGrid>
      <w:tr>
        <w:trPr>
          <w:tblHeader w:val="true"/>
          <w:cantSplit w:val="true"/>
        </w:trPr>
        <w:tc>
          <w:tcPr>
            <w:tcW w:type="dxa" w:w="17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Component</w:t>
            </w:r>
          </w:p>
        </w:tc>
        <w:tc>
          <w:tcPr>
            <w:tcW w:type="dxa" w:w="47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Responsibilities</w:t>
            </w:r>
          </w:p>
        </w:tc>
        <w:tc>
          <w:tcPr>
            <w:tcW w:type="dxa" w:w="29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Must not do</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API process</w:t>
            </w:r>
          </w:p>
        </w:tc>
        <w:tc>
          <w:tcPr>
            <w:tcW w:type="dxa" w:w="4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Authentication, validation, idempotency orchestration, synchronous command/query handlers, OpenAPI</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Wait for webhook delivery; publish directly to RabbitMQ inside money transactions</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Worker process</w:t>
            </w:r>
          </w:p>
        </w:tc>
        <w:tc>
          <w:tcPr>
            <w:tcW w:type="dxa" w:w="4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Outbox relay, Rabbit consumers, webhook scheduling/delivery, settlement and reconciliation jobs</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Bypass module services or mutate another module's tables ad hoc</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PostgreSQL</w:t>
            </w:r>
          </w:p>
        </w:tc>
        <w:tc>
          <w:tcPr>
            <w:tcW w:type="dxa" w:w="4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Authoritative state, ledger, locks, constraints, outbox/inbox, audit history</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Depend on broker availability to commit a financial transaction</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RabbitMQ</w:t>
            </w:r>
          </w:p>
        </w:tc>
        <w:tc>
          <w:tcPr>
            <w:tcW w:type="dxa" w:w="4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Durable asynchronous routing, acknowledgements, dead-lettering, backpressure</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Act as the financial source of truth</w:t>
            </w:r>
          </w:p>
        </w:tc>
      </w:tr>
      <w:tr>
        <w:trPr>
          <w:cantSplit w:val="true"/>
        </w:trPr>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Telemetry stack</w:t>
            </w:r>
          </w:p>
        </w:tc>
        <w:tc>
          <w:tcPr>
            <w:tcW w:type="dxa" w:w="4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Metrics scrape, trace collection, structured-log export, dashboards</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Contain secrets or become a hard dependency for financial commands</w:t>
            </w:r>
          </w:p>
        </w:tc>
      </w:tr>
    </w:tbl>
    <w:p>
      <w:pPr>
        <w:spacing w:after="40"/>
      </w:pPr>
    </w:p>
    <w:p>
      <w:pPr>
        <w:pStyle w:val="Heading2"/>
      </w:pPr>
      <w:r>
        <w:t>Module dependency rules</w:t>
      </w:r>
    </w:p>
    <w:p>
      <w:pPr>
        <w:keepNext w:val="0"/>
        <w:keepLines/>
        <w:numPr>
          <w:ilvl w:val="0"/>
          <w:numId w:val="10"/>
        </w:numPr>
      </w:pPr>
      <w:r>
        <w:rPr>
          <w:rFonts w:ascii="Calibri" w:hAnsi="Calibri" w:eastAsia="Calibri"/>
          <w:color w:val="1F2933"/>
        </w:rPr>
        <w:t>A module owns its tables and exposes application services or read models; another module cannot write those tables directly.</w:t>
      </w:r>
    </w:p>
    <w:p>
      <w:pPr>
        <w:keepNext w:val="0"/>
        <w:keepLines/>
        <w:numPr>
          <w:ilvl w:val="0"/>
          <w:numId w:val="10"/>
        </w:numPr>
      </w:pPr>
      <w:r>
        <w:rPr>
          <w:rFonts w:ascii="Calibri" w:hAnsi="Calibri" w:eastAsia="Calibri"/>
          <w:color w:val="1F2933"/>
        </w:rPr>
        <w:t>Payments may call Ledger and Eventing application ports inside one transaction; Ledger never depends on Payments.</w:t>
      </w:r>
    </w:p>
    <w:p>
      <w:pPr>
        <w:keepNext w:val="0"/>
        <w:keepLines/>
        <w:numPr>
          <w:ilvl w:val="0"/>
          <w:numId w:val="10"/>
        </w:numPr>
      </w:pPr>
      <w:r>
        <w:rPr>
          <w:rFonts w:ascii="Calibri" w:hAnsi="Calibri" w:eastAsia="Calibri"/>
          <w:color w:val="1F2933"/>
        </w:rPr>
        <w:t>Settlements and Webhooks react to committed events or call stable read ports; they do not participate in capture/refund transactions.</w:t>
      </w:r>
    </w:p>
    <w:p>
      <w:pPr>
        <w:keepNext w:val="0"/>
        <w:keepLines/>
        <w:numPr>
          <w:ilvl w:val="0"/>
          <w:numId w:val="10"/>
        </w:numPr>
      </w:pPr>
      <w:r>
        <w:rPr>
          <w:rFonts w:ascii="Calibri" w:hAnsi="Calibri" w:eastAsia="Calibri"/>
          <w:color w:val="1F2933"/>
        </w:rPr>
        <w:t>Infrastructure adapters implement domain ports for Prisma/raw SQL, RabbitMQ, HTTP delivery, encryption, time, IDs, and telemetry.</w:t>
      </w:r>
    </w:p>
    <w:p>
      <w:pPr>
        <w:keepNext w:val="0"/>
        <w:keepLines/>
        <w:numPr>
          <w:ilvl w:val="0"/>
          <w:numId w:val="10"/>
        </w:numPr>
      </w:pPr>
      <w:r>
        <w:rPr>
          <w:rFonts w:ascii="Calibri" w:hAnsi="Calibri" w:eastAsia="Calibri"/>
          <w:color w:val="1F2933"/>
        </w:rPr>
        <w:t>Cross-module imports are checked in CI using explicit package boundaries or dependency rules.</w:t>
      </w:r>
    </w:p>
    <w:p>
      <w:pPr>
        <w:pStyle w:val="Heading2"/>
      </w:pPr>
      <w:r>
        <w:t>Transactional and asynchronous flow</w:t>
      </w:r>
    </w:p>
    <w:p>
      <w:pPr>
        <w:keepNext/>
        <w:keepLines w:val="0"/>
        <w:spacing w:before="80" w:after="40"/>
        <w:jc w:val="center"/>
      </w:pPr>
      <w:r>
        <w:drawing>
          <wp:inline xmlns:a="http://schemas.openxmlformats.org/drawingml/2006/main" xmlns:pic="http://schemas.openxmlformats.org/drawingml/2006/picture">
            <wp:extent cx="5806440" cy="2874245"/>
            <wp:docPr id="3" name="SettleFlow Figure 3" descr="A numbered flow showing a client request entering the API, a single PostgreSQL transaction updating payment and ledger rows and adding an outbox event, an outbox relay claiming and publishing with confirmation, RabbitMQ delivering to a worker, inbox deduplication and local state commit, and only then acknowledgement or signed webhook delivery."/>
            <wp:cNvGraphicFramePr>
              <a:graphicFrameLocks noChangeAspect="1"/>
            </wp:cNvGraphicFramePr>
            <a:graphic>
              <a:graphicData uri="http://schemas.openxmlformats.org/drawingml/2006/picture">
                <pic:pic>
                  <pic:nvPicPr>
                    <pic:cNvPr id="0" name="reliable_flow.png"/>
                    <pic:cNvPicPr/>
                  </pic:nvPicPr>
                  <pic:blipFill>
                    <a:blip r:embed="rId15"/>
                    <a:stretch>
                      <a:fillRect/>
                    </a:stretch>
                  </pic:blipFill>
                  <pic:spPr>
                    <a:xfrm>
                      <a:off x="0" y="0"/>
                      <a:ext cx="5806440" cy="2874245"/>
                    </a:xfrm>
                    <a:prstGeom prst="rect"/>
                  </pic:spPr>
                </pic:pic>
              </a:graphicData>
            </a:graphic>
          </wp:inline>
        </w:drawing>
      </w:r>
    </w:p>
    <w:p>
      <w:pPr>
        <w:pStyle w:val="Caption"/>
        <w:spacing w:after="160"/>
        <w:jc w:val="center"/>
      </w:pPr>
      <w:r>
        <w:t>Figure 3. Reliable state change and asynchronous delivery flow.</w:t>
      </w:r>
    </w:p>
    <w:p>
      <w:pPr>
        <w:pStyle w:val="Heading2"/>
      </w:pPr>
      <w:r>
        <w:t>Outbox relay design</w:t>
      </w:r>
    </w:p>
    <w:p>
      <w:pPr>
        <w:keepNext w:val="0"/>
        <w:keepLines w:val="0"/>
      </w:pPr>
      <w:r>
        <w:rPr>
          <w:rFonts w:ascii="Calibri" w:hAnsi="Calibri" w:eastAsia="Calibri"/>
          <w:i w:val="0"/>
          <w:color w:val="1F2933"/>
        </w:rPr>
        <w:t>The relay must not hold row locks while it waits on a network confirmation. It uses a short database transaction to claim a batch by writing locked_by, locked_at, and lease_expires_at under FOR UPDATE SKIP LOCKED; commits the claim; publishes outside the transaction with a confirm channel; then marks each confirmed row published. If the relay crashes after publish but before marking, the event may be published again. That is an intentional at-least-once outcome, handled by event IDs and consumer inbox uniqueness. RabbitMQ confirms and manual consumer acknowledgements cover different sides of the delivery path and must both be used. [R2–R4]</w:t>
      </w:r>
    </w:p>
    <w:p>
      <w:pPr>
        <w:spacing w:before="80" w:after="160" w:line="240" w:lineRule="auto"/>
        <w:ind w:left="216" w:right="216"/>
        <w:shd w:fill="F6F8FA"/>
        <w:keepNext w:val="0"/>
        <w:keepLines/>
        <w:pBdr>
          <w:left w:val="single" w:sz="8" w:space="4" w:color="AAB7C4"/>
        </w:pBdr>
      </w:pPr>
      <w:r>
        <w:rPr>
          <w:rFonts w:ascii="Consolas" w:hAnsi="Consolas" w:eastAsia="Consolas"/>
          <w:color w:val="243447"/>
          <w:sz w:val="17"/>
        </w:rPr>
        <w:t>claim pending rows → commit lease → publish with confirm → mark confirmed rows published</w:t>
        <w:br/>
        <w:t>crash after publish → lease expires → event may be republished → consumer inbox prevents duplicate effect</w:t>
      </w:r>
    </w:p>
    <w:p>
      <w:pPr>
        <w:pStyle w:val="Heading2"/>
      </w:pPr>
      <w:r>
        <w:t>Idempotency concurrency model</w:t>
      </w:r>
    </w:p>
    <w:p>
      <w:pPr>
        <w:keepNext w:val="0"/>
        <w:keepLines w:val="0"/>
      </w:pPr>
      <w:r>
        <w:rPr>
          <w:rFonts w:ascii="Calibri" w:hAnsi="Calibri" w:eastAsia="Calibri"/>
          <w:i w:val="0"/>
          <w:color w:val="1F2933"/>
        </w:rPr>
        <w:t>An idempotency record is scoped by merchant, method, normalized route, and key. The request fingerprint uses a canonical representation of the validated body plus relevant command parameters. Acquisition must handle PostgreSQL snapshot behavior correctly: a conflicting uncommitted row may block the insert while remaining invisible to the command snapshot when ON CONFLICT DO NOTHING is used. The implementation must use a proven single-winner pattern such as INSERT ... ON CONFLICT DO UPDATE ... RETURNING with a harmless update, or a retrying acquire/read sequence with bounded timeout. [R1]</w:t>
      </w:r>
    </w:p>
    <w:p>
      <w:pPr>
        <w:pStyle w:val="Caption"/>
        <w:keepNext/>
        <w:keepLines w:val="0"/>
      </w:pPr>
      <w:r>
        <w:t>Table 19. Concurrency control by workload</w:t>
      </w:r>
    </w:p>
    <w:tbl>
      <w:tblPr>
        <w:tblW w:type="dxa" w:w="9360"/>
        <w:tblLayout w:type="fixed"/>
        <w:tblLook w:firstColumn="1" w:firstRow="1" w:lastColumn="0" w:lastRow="0" w:noHBand="0" w:noVBand="1" w:val="04A0"/>
        <w:jc w:val="left"/>
        <w:tblInd w:w="120" w:type="dxa"/>
      </w:tblPr>
      <w:tblGrid>
        <w:gridCol w:w="2200"/>
        <w:gridCol w:w="3700"/>
        <w:gridCol w:w="3460"/>
      </w:tblGrid>
      <w:tr>
        <w:trPr>
          <w:tblHeader w:val="true"/>
          <w:cantSplit w:val="true"/>
        </w:trPr>
        <w:tc>
          <w:tcPr>
            <w:tcW w:type="dxa" w:w="2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Workload</w:t>
            </w:r>
          </w:p>
        </w:tc>
        <w:tc>
          <w:tcPr>
            <w:tcW w:type="dxa" w:w="37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Primary control</w:t>
            </w:r>
          </w:p>
        </w:tc>
        <w:tc>
          <w:tcPr>
            <w:tcW w:type="dxa" w:w="34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Required recovery</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Capture/refund</w:t>
            </w:r>
          </w:p>
        </w:tc>
        <w:tc>
          <w:tcPr>
            <w:tcW w:type="dxa" w:w="3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SELECT ... FOR UPDATE on payment row</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Bounded lock timeout; retry transient serialization/deadlock errors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 acquisition</w:t>
            </w:r>
          </w:p>
        </w:tc>
        <w:tc>
          <w:tcPr>
            <w:tcW w:type="dxa" w:w="3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Unique composite key + single-winner INSERT/RETURNING</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Replay completed response; retry a visible in-progress owner after timeout policy</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Outbox claim</w:t>
            </w:r>
          </w:p>
        </w:tc>
        <w:tc>
          <w:tcPr>
            <w:tcW w:type="dxa" w:w="3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Lease fields + FOR UPDATE SKIP LOCKED</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Lease expiry permits reclamation; duplicates remain safe</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 selection</w:t>
            </w:r>
          </w:p>
        </w:tc>
        <w:tc>
          <w:tcPr>
            <w:tcW w:type="dxa" w:w="3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FOR UPDATE SKIP LOCKED + unique batch item</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Failed batch transaction rolls back all claims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Metadata update</w:t>
            </w:r>
          </w:p>
        </w:tc>
        <w:tc>
          <w:tcPr>
            <w:tcW w:type="dxa" w:w="3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Optimistic version column</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409 version_conflict and client refetch</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Predicate-heavy invariant</w:t>
            </w:r>
          </w:p>
        </w:tc>
        <w:tc>
          <w:tcPr>
            <w:tcW w:type="dxa" w:w="3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Serializable isolation only where justified</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Retry entire transaction on SQLSTATE 40001</w:t>
            </w:r>
          </w:p>
        </w:tc>
      </w:tr>
    </w:tbl>
    <w:p>
      <w:pPr>
        <w:spacing w:after="40"/>
      </w:pPr>
    </w:p>
    <w:p>
      <w:pPr>
        <w:pStyle w:val="Heading2"/>
      </w:pPr>
      <w:r>
        <w:t>Technology baseline</w:t>
      </w:r>
    </w:p>
    <w:p>
      <w:pPr>
        <w:pStyle w:val="Caption"/>
        <w:keepNext/>
        <w:keepLines w:val="0"/>
      </w:pPr>
      <w:r>
        <w:t>Table 20. Technology choices</w:t>
      </w:r>
    </w:p>
    <w:tbl>
      <w:tblPr>
        <w:tblW w:type="dxa" w:w="9360"/>
        <w:tblLayout w:type="fixed"/>
        <w:tblLook w:firstColumn="1" w:firstRow="1" w:lastColumn="0" w:lastRow="0" w:noHBand="0" w:noVBand="1" w:val="04A0"/>
        <w:jc w:val="left"/>
        <w:tblInd w:w="120" w:type="dxa"/>
      </w:tblPr>
      <w:tblGrid>
        <w:gridCol w:w="1650"/>
        <w:gridCol w:w="2450"/>
        <w:gridCol w:w="5260"/>
      </w:tblGrid>
      <w:tr>
        <w:trPr>
          <w:tblHeader w:val="true"/>
          <w:cantSplit w:val="true"/>
        </w:trPr>
        <w:tc>
          <w:tcPr>
            <w:tcW w:type="dxa" w:w="16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Area</w:t>
            </w:r>
          </w:p>
        </w:tc>
        <w:tc>
          <w:tcPr>
            <w:tcW w:type="dxa" w:w="24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Choice</w:t>
            </w:r>
          </w:p>
        </w:tc>
        <w:tc>
          <w:tcPr>
            <w:tcW w:type="dxa" w:w="52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Implementation note</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Runtime/framework</w:t>
            </w:r>
          </w:p>
        </w:tc>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Supported Node.js LTS + NestJS</w:t>
            </w:r>
          </w:p>
        </w:tc>
        <w:tc>
          <w:tcPr>
            <w:tcW w:type="dxa" w:w="5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Pin exact versions in lockfile; use framework validation, OpenAPI, and health tooling [R8–R9]</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Database</w:t>
            </w:r>
          </w:p>
        </w:tc>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Supported PostgreSQL major</w:t>
            </w:r>
          </w:p>
        </w:tc>
        <w:tc>
          <w:tcPr>
            <w:tcW w:type="dxa" w:w="5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Pin container digest; use migrations, constraints, locks, partial/covering indexes [R1, R5, R5a, R6–R7]</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Data access</w:t>
            </w:r>
          </w:p>
        </w:tc>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Prisma + parameterized raw SQL</w:t>
            </w:r>
          </w:p>
        </w:tc>
        <w:tc>
          <w:tcPr>
            <w:tcW w:type="dxa" w:w="5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Review raw SQL; use it where lock/claim/constraint behavior must be explicit [R10]</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Broker</w:t>
            </w:r>
          </w:p>
        </w:tc>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RabbitMQ</w:t>
            </w:r>
          </w:p>
        </w:tc>
        <w:tc>
          <w:tcPr>
            <w:tcW w:type="dxa" w:w="5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Durable exchanges/queues, confirms, manual acks, policies for DLX and prefetch [R2–R4]</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HTTP docs</w:t>
            </w:r>
          </w:p>
        </w:tc>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@nestjs/swagger</w:t>
            </w:r>
          </w:p>
        </w:tc>
        <w:tc>
          <w:tcPr>
            <w:tcW w:type="dxa" w:w="5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Generate and commit OpenAPI JSON; contract-test it [R8]</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Observability</w:t>
            </w:r>
          </w:p>
        </w:tc>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OpenTelemetry + prom-client-compatible exposition</w:t>
            </w:r>
          </w:p>
        </w:tc>
        <w:tc>
          <w:tcPr>
            <w:tcW w:type="dxa" w:w="5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Vendor-neutral traces and explicit metrics [R13]</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Testing</w:t>
            </w:r>
          </w:p>
        </w:tc>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Jest, Supertest, Testcontainers, k6</w:t>
            </w:r>
          </w:p>
        </w:tc>
        <w:tc>
          <w:tcPr>
            <w:tcW w:type="dxa" w:w="5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Real dependency integration and executable thresholds [R11–R12]</w:t>
            </w:r>
          </w:p>
        </w:tc>
      </w:tr>
      <w:tr>
        <w:trPr>
          <w:cantSplit w:val="true"/>
        </w:trPr>
        <w:tc>
          <w:tcPr>
            <w:tcW w:type="dxa" w:w="1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Packaging</w:t>
            </w:r>
          </w:p>
        </w:tc>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Docker Compose + multi-stage images</w:t>
            </w:r>
          </w:p>
        </w:tc>
        <w:tc>
          <w:tcPr>
            <w:tcW w:type="dxa" w:w="5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API and worker images share build artifacts but have separate commands</w:t>
            </w:r>
          </w:p>
        </w:tc>
      </w:tr>
    </w:tbl>
    <w:p>
      <w:pPr>
        <w:spacing w:after="40"/>
      </w:pPr>
    </w:p>
    <w:p>
      <w:pPr>
        <w:spacing w:before="120" w:after="160" w:line="264" w:lineRule="auto"/>
        <w:ind w:left="173" w:right="115"/>
        <w:shd w:fill="FFF8E8"/>
        <w:keepNext w:val="0"/>
        <w:keepLines/>
        <w:pBdr>
          <w:left w:val="single" w:sz="14" w:space="6" w:color="8A6500"/>
        </w:pBdr>
      </w:pPr>
      <w:r>
        <w:rPr>
          <w:rFonts w:ascii="Calibri" w:hAnsi="Calibri" w:eastAsia="Calibri"/>
          <w:b/>
          <w:color w:val="8A6500"/>
        </w:rPr>
        <w:t xml:space="preserve">Dependency policy: </w:t>
      </w:r>
      <w:r>
        <w:rPr>
          <w:rFonts w:ascii="Calibri" w:hAnsi="Calibri" w:eastAsia="Calibri"/>
          <w:color w:val="1F2933"/>
        </w:rPr>
        <w:t>The specification intentionally avoids exact library versions. Implementation must select supported stable releases, pin them in the lockfile and container digests, and record upgrades through automated dependency review.</w:t>
      </w:r>
    </w:p>
    <w:p>
      <w:pPr>
        <w:pStyle w:val="Heading1"/>
      </w:pPr>
      <w:r>
        <w:t>Data Architecture and Integrity Controls</w:t>
      </w:r>
    </w:p>
    <w:p>
      <w:pPr>
        <w:pStyle w:val="Heading2"/>
      </w:pPr>
      <w:r>
        <w:t>Core entities</w:t>
      </w:r>
    </w:p>
    <w:p>
      <w:pPr>
        <w:pStyle w:val="Caption"/>
        <w:keepNext/>
        <w:keepLines w:val="0"/>
      </w:pPr>
      <w:r>
        <w:t>Table 21. Data ownership and key constraints</w:t>
      </w:r>
    </w:p>
    <w:tbl>
      <w:tblPr>
        <w:tblW w:type="dxa" w:w="9360"/>
        <w:tblLayout w:type="fixed"/>
        <w:tblLook w:firstColumn="1" w:firstRow="1" w:lastColumn="0" w:lastRow="0" w:noHBand="0" w:noVBand="1" w:val="04A0"/>
        <w:jc w:val="left"/>
        <w:tblInd w:w="120" w:type="dxa"/>
      </w:tblPr>
      <w:tblGrid>
        <w:gridCol w:w="2100"/>
        <w:gridCol w:w="2850"/>
        <w:gridCol w:w="4410"/>
      </w:tblGrid>
      <w:tr>
        <w:trPr>
          <w:tblHeader w:val="true"/>
          <w:cantSplit w:val="true"/>
        </w:trPr>
        <w:tc>
          <w:tcPr>
            <w:tcW w:type="dxa" w:w="21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Entity</w:t>
            </w:r>
          </w:p>
        </w:tc>
        <w:tc>
          <w:tcPr>
            <w:tcW w:type="dxa" w:w="28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Purpose</w:t>
            </w:r>
          </w:p>
        </w:tc>
        <w:tc>
          <w:tcPr>
            <w:tcW w:type="dxa" w:w="44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Key constraints and indexes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merchant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Tenant and lifecycle root</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Unique code; active/disabled status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api_key</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Merchant authentication and scopes</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Unique public prefix; secret hash only; rotation/revocation timestamps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payment_intent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Customer-facing payment aggregate</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Merchant external reference uniqueness; amount/currency checks; version; separate settlement status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refund</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Immutable refund command/result</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Unique merchant external reference; positive amount; payment FK</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ledger_account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Chart-of-accounts member</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Unique merchant/code/currency; normal side</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ledger_transaction</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Atomic accounting event</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Business type; payment/refund/batch reference; optional reversal_of unique</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ledger_entry</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Debit or credit line</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Positive amount; sequence uniqueness; immutable; account and transaction FKs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idempotency_key</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Command ownership and response replay</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Composite scope uniqueness; request hash; state; response snapshot; expiry</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outbox_event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Committed event awaiting publish</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Event ID; available time; lease; attempts; partial pending index</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inbox_message</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Consumer deduplication</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Primary key consumer_name + message_id</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webhook_endpoint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Merchant destination and subscriptions</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Encrypted secret; normalized URL; status; ownership</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webhook_delivery</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One endpoint-event delivery</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Unique endpoint + event; terminal state; next attempt</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webhook_attempt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Immutable HTTP attempt evidence</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Delivery FK; sequence; duration; status; redacted error</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settlement_batch/item</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Merchant/currency cutoff and claimed payments</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Unique payment item; totals; finalized state</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reconciliation_import/row/result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Provider staging and match evidence</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Merchant checksum uniqueness; row number; deterministic classification</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audit_event</w:t>
            </w:r>
          </w:p>
        </w:tc>
        <w:tc>
          <w:tcPr>
            <w:tcW w:type="dxa" w:w="2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Privileged action trail</w:t>
            </w:r>
          </w:p>
        </w:tc>
        <w:tc>
          <w:tcPr>
            <w:tcW w:type="dxa" w:w="44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Append-only; actor, action, target, reason, correlation</w:t>
            </w:r>
          </w:p>
        </w:tc>
      </w:tr>
    </w:tbl>
    <w:p>
      <w:pPr>
        <w:spacing w:after="40"/>
      </w:pPr>
    </w:p>
    <w:p>
      <w:pPr>
        <w:pStyle w:val="Heading2"/>
      </w:pPr>
      <w:r>
        <w:t>Database-enforced integrity</w:t>
      </w:r>
    </w:p>
    <w:p>
      <w:pPr>
        <w:keepNext w:val="0"/>
        <w:keepLines/>
        <w:numPr>
          <w:ilvl w:val="0"/>
          <w:numId w:val="10"/>
        </w:numPr>
      </w:pPr>
      <w:r>
        <w:rPr>
          <w:rFonts w:ascii="Calibri" w:hAnsi="Calibri" w:eastAsia="Calibri"/>
          <w:color w:val="1F2933"/>
        </w:rPr>
        <w:t>Use foreign keys for ownership and lifecycle relationships; choose RESTRICT by default for financial records.</w:t>
      </w:r>
    </w:p>
    <w:p>
      <w:pPr>
        <w:keepNext w:val="0"/>
        <w:keepLines/>
        <w:numPr>
          <w:ilvl w:val="0"/>
          <w:numId w:val="10"/>
        </w:numPr>
      </w:pPr>
      <w:r>
        <w:rPr>
          <w:rFonts w:ascii="Calibri" w:hAnsi="Calibri" w:eastAsia="Calibri"/>
          <w:color w:val="1F2933"/>
        </w:rPr>
        <w:t>Use CHECK constraints for positive amounts, cumulative relationships, allowed states, and currency format.</w:t>
      </w:r>
    </w:p>
    <w:p>
      <w:pPr>
        <w:keepNext w:val="0"/>
        <w:keepLines/>
        <w:numPr>
          <w:ilvl w:val="0"/>
          <w:numId w:val="10"/>
        </w:numPr>
      </w:pPr>
      <w:r>
        <w:rPr>
          <w:rFonts w:ascii="Calibri" w:hAnsi="Calibri" w:eastAsia="Calibri"/>
          <w:color w:val="1F2933"/>
        </w:rPr>
        <w:t>Use deferred constraint triggers for cross-row ledger balance, entry count, and currency consistency at transaction commit. PostgreSQL constraint triggers can be deferred and checked through constraint timing. [R5]</w:t>
      </w:r>
    </w:p>
    <w:p>
      <w:pPr>
        <w:keepNext w:val="0"/>
        <w:keepLines/>
        <w:numPr>
          <w:ilvl w:val="0"/>
          <w:numId w:val="10"/>
        </w:numPr>
      </w:pPr>
      <w:r>
        <w:rPr>
          <w:rFonts w:ascii="Calibri" w:hAnsi="Calibri" w:eastAsia="Calibri"/>
          <w:color w:val="1F2933"/>
        </w:rPr>
        <w:t>Use triggers and a restricted application role to reject updates/deletes of posted ledger records and audit records.</w:t>
      </w:r>
    </w:p>
    <w:p>
      <w:pPr>
        <w:keepNext w:val="0"/>
        <w:keepLines/>
        <w:numPr>
          <w:ilvl w:val="0"/>
          <w:numId w:val="10"/>
        </w:numPr>
      </w:pPr>
      <w:r>
        <w:rPr>
          <w:rFonts w:ascii="Calibri" w:hAnsi="Calibri" w:eastAsia="Calibri"/>
          <w:color w:val="1F2933"/>
        </w:rPr>
        <w:t>Use partial indexes only for selective operational queues such as unpublished outbox rows, due webhook deliveries, and eligible unbatched payments. Use INCLUDE only after a measured index-only query benefit. [R6–R7]</w:t>
      </w:r>
    </w:p>
    <w:p>
      <w:pPr>
        <w:keepNext w:val="0"/>
        <w:keepLines/>
        <w:numPr>
          <w:ilvl w:val="0"/>
          <w:numId w:val="10"/>
        </w:numPr>
      </w:pPr>
      <w:r>
        <w:rPr>
          <w:rFonts w:ascii="Calibri" w:hAnsi="Calibri" w:eastAsia="Calibri"/>
          <w:color w:val="1F2933"/>
        </w:rPr>
        <w:t>Use generated columns only for stable deterministic projections such as settleable amount and batch net amount; do not hide complex business rules in generated expressions. [R5a]</w:t>
      </w:r>
    </w:p>
    <w:p>
      <w:pPr>
        <w:pStyle w:val="Heading2"/>
      </w:pPr>
      <w:r>
        <w:t>Index and query strategy</w:t>
      </w:r>
    </w:p>
    <w:p>
      <w:pPr>
        <w:pStyle w:val="Caption"/>
        <w:keepNext/>
        <w:keepLines w:val="0"/>
      </w:pPr>
      <w:r>
        <w:t>Table 22. Critical query paths</w:t>
      </w:r>
    </w:p>
    <w:tbl>
      <w:tblPr>
        <w:tblW w:type="dxa" w:w="9360"/>
        <w:tblLayout w:type="fixed"/>
        <w:tblLook w:firstColumn="1" w:firstRow="1" w:lastColumn="0" w:lastRow="0" w:noHBand="0" w:noVBand="1" w:val="04A0"/>
        <w:jc w:val="left"/>
        <w:tblInd w:w="120" w:type="dxa"/>
      </w:tblPr>
      <w:tblGrid>
        <w:gridCol w:w="2800"/>
        <w:gridCol w:w="3880"/>
        <w:gridCol w:w="2680"/>
      </w:tblGrid>
      <w:tr>
        <w:trPr>
          <w:tblHeader w:val="true"/>
          <w:cantSplit w:val="true"/>
        </w:trPr>
        <w:tc>
          <w:tcPr>
            <w:tcW w:type="dxa" w:w="28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Query path</w:t>
            </w:r>
          </w:p>
        </w:tc>
        <w:tc>
          <w:tcPr>
            <w:tcW w:type="dxa" w:w="388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Candidate index</w:t>
            </w:r>
          </w:p>
        </w:tc>
        <w:tc>
          <w:tcPr>
            <w:tcW w:type="dxa" w:w="268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Proof requirement</w:t>
            </w:r>
          </w:p>
        </w:tc>
      </w:tr>
      <w:tr>
        <w:trPr>
          <w:cantSplit w:val="true"/>
        </w:trPr>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 by merchant + external reference</w:t>
            </w:r>
          </w:p>
        </w:tc>
        <w:tc>
          <w:tcPr>
            <w:tcW w:type="dxa" w:w="38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UNIQUE (merchant_id, external_ref)</w:t>
            </w:r>
          </w:p>
        </w:tc>
        <w:tc>
          <w:tcPr>
            <w:tcW w:type="dxa" w:w="2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Index used in explain plan; tenant isolation test</w:t>
            </w:r>
          </w:p>
        </w:tc>
      </w:tr>
      <w:tr>
        <w:trPr>
          <w:cantSplit w:val="true"/>
        </w:trPr>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Pending outbox</w:t>
            </w:r>
          </w:p>
        </w:tc>
        <w:tc>
          <w:tcPr>
            <w:tcW w:type="dxa" w:w="38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(available_at, id) WHERE published_at IS NULL and lease expired</w:t>
            </w:r>
          </w:p>
        </w:tc>
        <w:tc>
          <w:tcPr>
            <w:tcW w:type="dxa" w:w="2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Backlog claim plan under representative pending/complete ratio</w:t>
            </w:r>
          </w:p>
        </w:tc>
      </w:tr>
      <w:tr>
        <w:trPr>
          <w:cantSplit w:val="true"/>
        </w:trPr>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Due webhook deliveries</w:t>
            </w:r>
          </w:p>
        </w:tc>
        <w:tc>
          <w:tcPr>
            <w:tcW w:type="dxa" w:w="38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(next_attempt_at, id) WHERE status IN ('pending','retrying')</w:t>
            </w:r>
          </w:p>
        </w:tc>
        <w:tc>
          <w:tcPr>
            <w:tcW w:type="dxa" w:w="2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Worker claim query avoids full scan</w:t>
            </w:r>
          </w:p>
        </w:tc>
      </w:tr>
      <w:tr>
        <w:trPr>
          <w:cantSplit w:val="true"/>
        </w:trPr>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 candidates</w:t>
            </w:r>
          </w:p>
        </w:tc>
        <w:tc>
          <w:tcPr>
            <w:tcW w:type="dxa" w:w="38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(merchant_id, available_on, id) with selective eligibility predicate</w:t>
            </w:r>
          </w:p>
        </w:tc>
        <w:tc>
          <w:tcPr>
            <w:tcW w:type="dxa" w:w="2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Dual-worker test and explain plan</w:t>
            </w:r>
          </w:p>
        </w:tc>
      </w:tr>
      <w:tr>
        <w:trPr>
          <w:cantSplit w:val="true"/>
        </w:trPr>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Ledger account history</w:t>
            </w:r>
          </w:p>
        </w:tc>
        <w:tc>
          <w:tcPr>
            <w:tcW w:type="dxa" w:w="38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(account_id, ledger_transaction_id, entry_seq) INCLUDE (side, amount, currency)</w:t>
            </w:r>
          </w:p>
        </w:tc>
        <w:tc>
          <w:tcPr>
            <w:tcW w:type="dxa" w:w="2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Measured read use; avoid premature wide index</w:t>
            </w:r>
          </w:p>
        </w:tc>
      </w:tr>
      <w:tr>
        <w:trPr>
          <w:cantSplit w:val="true"/>
        </w:trPr>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Reconciliation lookup</w:t>
            </w:r>
          </w:p>
        </w:tc>
        <w:tc>
          <w:tcPr>
            <w:tcW w:type="dxa" w:w="38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(merchant_id, provider_ref) and controlled fallback key</w:t>
            </w:r>
          </w:p>
        </w:tc>
        <w:tc>
          <w:tcPr>
            <w:tcW w:type="dxa" w:w="268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Match determinism and duplicate classification</w:t>
            </w:r>
          </w:p>
        </w:tc>
      </w:tr>
    </w:tbl>
    <w:p>
      <w:pPr>
        <w:spacing w:after="40"/>
      </w:pPr>
    </w:p>
    <w:p>
      <w:pPr>
        <w:pStyle w:val="Heading2"/>
      </w:pPr>
      <w:r>
        <w:t>Migrations and compatibility</w:t>
      </w:r>
    </w:p>
    <w:p>
      <w:pPr>
        <w:keepNext w:val="0"/>
        <w:keepLines/>
        <w:numPr>
          <w:ilvl w:val="0"/>
          <w:numId w:val="10"/>
        </w:numPr>
      </w:pPr>
      <w:r>
        <w:rPr>
          <w:rFonts w:ascii="Calibri" w:hAnsi="Calibri" w:eastAsia="Calibri"/>
          <w:color w:val="1F2933"/>
        </w:rPr>
        <w:t>Every schema change is a committed migration reviewed alongside application code and a rollback/forward-fix note.</w:t>
      </w:r>
    </w:p>
    <w:p>
      <w:pPr>
        <w:keepNext w:val="0"/>
        <w:keepLines/>
        <w:numPr>
          <w:ilvl w:val="0"/>
          <w:numId w:val="10"/>
        </w:numPr>
      </w:pPr>
      <w:r>
        <w:rPr>
          <w:rFonts w:ascii="Calibri" w:hAnsi="Calibri" w:eastAsia="Calibri"/>
          <w:color w:val="1F2933"/>
        </w:rPr>
        <w:t>CI applies the full migration history to an empty database and upgrades a seeded prior-version fixture.</w:t>
      </w:r>
    </w:p>
    <w:p>
      <w:pPr>
        <w:keepNext w:val="0"/>
        <w:keepLines/>
        <w:numPr>
          <w:ilvl w:val="0"/>
          <w:numId w:val="10"/>
        </w:numPr>
      </w:pPr>
      <w:r>
        <w:rPr>
          <w:rFonts w:ascii="Calibri" w:hAnsi="Calibri" w:eastAsia="Calibri"/>
          <w:color w:val="1F2933"/>
        </w:rPr>
        <w:t>Destructive changes use expand-migrate-contract sequencing; API/worker versions must tolerate the shared schema during rolling replacement.</w:t>
      </w:r>
    </w:p>
    <w:p>
      <w:pPr>
        <w:keepNext w:val="0"/>
        <w:keepLines/>
        <w:numPr>
          <w:ilvl w:val="0"/>
          <w:numId w:val="10"/>
        </w:numPr>
      </w:pPr>
      <w:r>
        <w:rPr>
          <w:rFonts w:ascii="Calibri" w:hAnsi="Calibri" w:eastAsia="Calibri"/>
          <w:color w:val="1F2933"/>
        </w:rPr>
        <w:t>Production-like deployment runs migrations as a one-shot controlled job before processes requiring the new schema become ready.</w:t>
      </w:r>
    </w:p>
    <w:p>
      <w:pPr>
        <w:pStyle w:val="Heading2"/>
      </w:pPr>
      <w:r>
        <w:t>Retention and data handling</w:t>
      </w:r>
    </w:p>
    <w:p>
      <w:pPr>
        <w:pStyle w:val="Caption"/>
        <w:keepNext/>
        <w:keepLines w:val="0"/>
      </w:pPr>
      <w:r>
        <w:t>Table 23. Baseline retention policy</w:t>
      </w:r>
    </w:p>
    <w:tbl>
      <w:tblPr>
        <w:tblW w:type="dxa" w:w="9360"/>
        <w:tblLayout w:type="fixed"/>
        <w:tblLook w:firstColumn="1" w:firstRow="1" w:lastColumn="0" w:lastRow="0" w:noHBand="0" w:noVBand="1" w:val="04A0"/>
        <w:jc w:val="left"/>
        <w:tblInd w:w="120" w:type="dxa"/>
      </w:tblPr>
      <w:tblGrid>
        <w:gridCol w:w="2100"/>
        <w:gridCol w:w="3000"/>
        <w:gridCol w:w="4260"/>
      </w:tblGrid>
      <w:tr>
        <w:trPr>
          <w:tblHeader w:val="true"/>
          <w:cantSplit w:val="true"/>
        </w:trPr>
        <w:tc>
          <w:tcPr>
            <w:tcW w:type="dxa" w:w="21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Data</w:t>
            </w:r>
          </w:p>
        </w:tc>
        <w:tc>
          <w:tcPr>
            <w:tcW w:type="dxa" w:w="30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Baseline</w:t>
            </w:r>
          </w:p>
        </w:tc>
        <w:tc>
          <w:tcPr>
            <w:tcW w:type="dxa" w:w="42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Rationale / disposal</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Ledger and settlement records</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Indefinite in case study</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Synthetic only; immutable evidence for demos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 records</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Configurable; minimum 24 hours, default 7 days</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Support safe retries; purge expired response bodies through a job</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Outbox/inbox</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30 days after terminal processing</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Operational debugging and dedupe window; archive or purge in batches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Webhook attempt bodies</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 not persist full response bodies by default</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Store status, duration, bounded redacted error, and response hash</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Reconciliation raw rows</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90 days in reference environment</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Synthetic evidence; configurable in deployment</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Logs/traces</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7–30 days depending on environment</w:t>
            </w:r>
          </w:p>
        </w:tc>
        <w:tc>
          <w:tcPr>
            <w:tcW w:type="dxa" w:w="4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 secrets; sampled/bounded; provider-specific retention</w:t>
            </w:r>
          </w:p>
        </w:tc>
      </w:tr>
    </w:tbl>
    <w:p>
      <w:pPr>
        <w:spacing w:after="40"/>
      </w:pPr>
    </w:p>
    <w:p>
      <w:pPr>
        <w:pStyle w:val="Heading1"/>
      </w:pPr>
      <w:r>
        <w:t>API and Integration Contracts</w:t>
      </w:r>
    </w:p>
    <w:p>
      <w:pPr>
        <w:pStyle w:val="Heading2"/>
      </w:pPr>
      <w:r>
        <w:t>HTTP conventions</w:t>
      </w:r>
    </w:p>
    <w:p>
      <w:pPr>
        <w:pStyle w:val="Caption"/>
        <w:keepNext/>
        <w:keepLines w:val="0"/>
      </w:pPr>
      <w:r>
        <w:t>Table 24. API conventions</w:t>
      </w:r>
    </w:p>
    <w:tbl>
      <w:tblPr>
        <w:tblW w:type="dxa" w:w="9360"/>
        <w:tblLayout w:type="fixed"/>
        <w:tblLook w:firstColumn="1" w:firstRow="1" w:lastColumn="0" w:lastRow="0" w:noHBand="0" w:noVBand="1" w:val="04A0"/>
        <w:jc w:val="left"/>
        <w:tblInd w:w="120" w:type="dxa"/>
      </w:tblPr>
      <w:tblGrid>
        <w:gridCol w:w="2200"/>
        <w:gridCol w:w="7160"/>
      </w:tblGrid>
      <w:tr>
        <w:trPr>
          <w:tblHeader w:val="true"/>
          <w:cantSplit w:val="true"/>
        </w:trPr>
        <w:tc>
          <w:tcPr>
            <w:tcW w:type="dxa" w:w="2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Concern</w:t>
            </w:r>
          </w:p>
        </w:tc>
        <w:tc>
          <w:tcPr>
            <w:tcW w:type="dxa" w:w="71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Baseline contract</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Base path</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/v1; breaking changes require a new major path or a documented compatibility policy</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Authentication</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Authorization: Bearer &lt;merchant_api_key&gt;; operator APIs use separate authentication</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Idempotency-Key required on money-mutating POST endpoints; &lt;= 255 characters; merchant-scoped</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Money</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 amountMinor: integer, currency: 'ETB' }; no decimal amount field</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Time</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UTC RFC 3339 timestamps; business cutoff date and timezone explicit in settlement configuration</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Errors</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application/problem+json aligned with RFC 9457 plus stable code and requestId</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Pagination</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Opaque cursor with deterministic sort; bounded limit; no unbounded list endpoints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Correlation</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Accept/generate X-Request-Id; return it and propagate into outbox/message/webhook records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Optimistic edits</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If-Match or explicit version for non-financial metadata updates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Content</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application/json; CSV only on reconciliation import; request and file size limits enforced</w:t>
            </w:r>
          </w:p>
        </w:tc>
      </w:tr>
    </w:tbl>
    <w:p>
      <w:pPr>
        <w:spacing w:after="40"/>
      </w:pPr>
    </w:p>
    <w:p>
      <w:pPr>
        <w:pStyle w:val="Heading2"/>
      </w:pPr>
      <w:r>
        <w:t>Endpoint catalog</w:t>
      </w:r>
    </w:p>
    <w:p>
      <w:pPr>
        <w:pStyle w:val="Caption"/>
        <w:keepNext/>
        <w:keepLines w:val="0"/>
      </w:pPr>
      <w:r>
        <w:t>Table 25. Initial public API</w:t>
      </w:r>
    </w:p>
    <w:tbl>
      <w:tblPr>
        <w:tblW w:type="dxa" w:w="9360"/>
        <w:tblLayout w:type="fixed"/>
        <w:tblLook w:firstColumn="1" w:firstRow="1" w:lastColumn="0" w:lastRow="0" w:noHBand="0" w:noVBand="1" w:val="04A0"/>
        <w:jc w:val="left"/>
        <w:tblInd w:w="120" w:type="dxa"/>
      </w:tblPr>
      <w:tblGrid>
        <w:gridCol w:w="900"/>
        <w:gridCol w:w="3850"/>
        <w:gridCol w:w="1750"/>
        <w:gridCol w:w="2860"/>
      </w:tblGrid>
      <w:tr>
        <w:trPr>
          <w:tblHeader w:val="true"/>
          <w:cantSplit w:val="true"/>
        </w:trPr>
        <w:tc>
          <w:tcPr>
            <w:tcW w:type="dxa" w:w="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Method</w:t>
            </w:r>
          </w:p>
        </w:tc>
        <w:tc>
          <w:tcPr>
            <w:tcW w:type="dxa" w:w="38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Path</w:t>
            </w:r>
          </w:p>
        </w:tc>
        <w:tc>
          <w:tcPr>
            <w:tcW w:type="dxa" w:w="17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Scope</w:t>
            </w:r>
          </w:p>
        </w:tc>
        <w:tc>
          <w:tcPr>
            <w:tcW w:type="dxa" w:w="28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Purpose</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/v1/payment-intents</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payments:write</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Create a payment intent</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/v1/payment-intents/{id}</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payments:read</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Retrieve a merchant-owned intent</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/v1/payment-intents/{id}/capture</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payments:write</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Capture an intent idempotently</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/v1/payment-intents/{id}/refunds</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payments:write</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Create a full or partial refund</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/v1/ledger/transactions/{id}</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ledger:read</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Retrieve transaction and entries</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/v1/webhook-endpoints</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webhooks:manage</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Register endpoint and return secret once</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PATCH</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/v1/webhook-endpoints/{id}</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webhooks:manage</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Update subscriptions/status with version check</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/v1/webhook-deliveries</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webhooks:read</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List delivery state with cursor filters</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/v1/webhook-deliveries/{id}/replays</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webhooks:manage</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Request an authorized audited replay</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/v1/settlement-runs</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settlements:write</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Generate batches for a cutoff</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/v1/settlement-batches/{id}</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settlements:read</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Retrieve batch totals and items</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/v1/reconciliation-imports</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reconciliation:write</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Upload provider CSV</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/v1/reconciliation-imports/{id}/report</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reconciliation:read</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Retrieve summary and mismatch cursor</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/health/live</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public/internal</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Process liveness</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/health/ready</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internal</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Dependency readiness</w:t>
            </w:r>
          </w:p>
        </w:tc>
      </w:tr>
      <w:tr>
        <w:trPr>
          <w:cantSplit w:val="true"/>
        </w:trPr>
        <w:tc>
          <w:tcPr>
            <w:tcW w:type="dxa" w:w="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GET</w:t>
            </w:r>
          </w:p>
        </w:tc>
        <w:tc>
          <w:tcPr>
            <w:tcW w:type="dxa" w:w="38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/metrics</w:t>
            </w:r>
          </w:p>
        </w:tc>
        <w:tc>
          <w:tcPr>
            <w:tcW w:type="dxa" w:w="17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internal</w:t>
            </w:r>
          </w:p>
        </w:tc>
        <w:tc>
          <w:tcPr>
            <w:tcW w:type="dxa" w:w="2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Prometheus exposition; never public by default</w:t>
            </w:r>
          </w:p>
        </w:tc>
      </w:tr>
    </w:tbl>
    <w:p>
      <w:pPr>
        <w:spacing w:after="40"/>
      </w:pPr>
    </w:p>
    <w:p>
      <w:pPr>
        <w:pStyle w:val="Heading2"/>
      </w:pPr>
      <w:r>
        <w:t>Problem response example</w:t>
      </w:r>
    </w:p>
    <w:p>
      <w:pPr>
        <w:spacing w:before="80" w:after="160" w:line="240" w:lineRule="auto"/>
        <w:ind w:left="216" w:right="216"/>
        <w:shd w:fill="F6F8FA"/>
        <w:keepNext w:val="0"/>
        <w:keepLines/>
        <w:pBdr>
          <w:left w:val="single" w:sz="8" w:space="4" w:color="AAB7C4"/>
        </w:pBdr>
      </w:pPr>
      <w:r>
        <w:rPr>
          <w:rFonts w:ascii="Consolas" w:hAnsi="Consolas" w:eastAsia="Consolas"/>
          <w:color w:val="243447"/>
          <w:sz w:val="17"/>
        </w:rPr>
        <w:t>{</w:t>
        <w:br/>
        <w:t xml:space="preserve">  "type": "https://docs.settleflow.dev/problems/idempotency-conflict",</w:t>
        <w:br/>
        <w:t xml:space="preserve">  "title": "Idempotency key conflict",</w:t>
        <w:br/>
        <w:t xml:space="preserve">  "status": 409,</w:t>
        <w:br/>
        <w:t xml:space="preserve">  "code": "idempotency_key_reused",</w:t>
        <w:br/>
        <w:t xml:space="preserve">  "detail": "The key was previously used with a different request fingerprint.",</w:t>
        <w:br/>
        <w:t xml:space="preserve">  "requestId": "req_01K..."</w:t>
        <w:br/>
        <w:t>}</w:t>
      </w:r>
    </w:p>
    <w:p>
      <w:pPr>
        <w:pStyle w:val="Heading2"/>
      </w:pPr>
      <w:r>
        <w:t>Webhook envelope and signature</w:t>
      </w:r>
    </w:p>
    <w:p>
      <w:pPr>
        <w:keepNext w:val="0"/>
        <w:keepLines w:val="0"/>
      </w:pPr>
      <w:r>
        <w:rPr>
          <w:rFonts w:ascii="Calibri" w:hAnsi="Calibri" w:eastAsia="Calibri"/>
          <w:i w:val="0"/>
          <w:color w:val="1F2933"/>
        </w:rPr>
        <w:t>Serialize the event once to UTF-8 bytes and sign those exact bytes. The delivery uses a unique delivery ID, the stable event ID, an event schema version, and a timestamp. Sign with HMAC-SHA-256 using a per-endpoint secret. Compare signatures in constant time and apply a five-minute default recency window in the sample verifier. Timestamp tolerance is a replay-control precedent used by mature webhook providers. [R15–R16]</w:t>
      </w:r>
    </w:p>
    <w:p>
      <w:pPr>
        <w:spacing w:before="80" w:after="160" w:line="240" w:lineRule="auto"/>
        <w:ind w:left="216" w:right="216"/>
        <w:shd w:fill="F6F8FA"/>
        <w:keepNext w:val="0"/>
        <w:keepLines/>
        <w:pBdr>
          <w:left w:val="single" w:sz="8" w:space="4" w:color="AAB7C4"/>
        </w:pBdr>
      </w:pPr>
      <w:r>
        <w:rPr>
          <w:rFonts w:ascii="Consolas" w:hAnsi="Consolas" w:eastAsia="Consolas"/>
          <w:color w:val="243447"/>
          <w:sz w:val="17"/>
        </w:rPr>
        <w:t>SettleFlow-Webhook-Id: whd_01K...</w:t>
        <w:br/>
        <w:t>SettleFlow-Event-Id: evt_01K...</w:t>
        <w:br/>
        <w:t>SettleFlow-Timestamp: 1785402112</w:t>
        <w:br/>
        <w:t>SettleFlow-Signature: v1,&lt;base64url(HMAC_SHA256(secret, timestamp + '.' + delivery_id + '.' + raw_body))&gt;</w:t>
      </w:r>
    </w:p>
    <w:p>
      <w:pPr>
        <w:pStyle w:val="Caption"/>
        <w:keepNext/>
        <w:keepLines w:val="0"/>
      </w:pPr>
      <w:r>
        <w:t>Table 26. Webhook delivery policy</w:t>
      </w:r>
    </w:p>
    <w:tbl>
      <w:tblPr>
        <w:tblW w:type="dxa" w:w="9360"/>
        <w:tblLayout w:type="fixed"/>
        <w:tblLook w:firstColumn="1" w:firstRow="1" w:lastColumn="0" w:lastRow="0" w:noHBand="0" w:noVBand="1" w:val="04A0"/>
        <w:jc w:val="left"/>
        <w:tblInd w:w="120" w:type="dxa"/>
      </w:tblPr>
      <w:tblGrid>
        <w:gridCol w:w="3150"/>
        <w:gridCol w:w="6210"/>
      </w:tblGrid>
      <w:tr>
        <w:trPr>
          <w:tblHeader w:val="true"/>
          <w:cantSplit w:val="true"/>
        </w:trPr>
        <w:tc>
          <w:tcPr>
            <w:tcW w:type="dxa" w:w="31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Condition</w:t>
            </w:r>
          </w:p>
        </w:tc>
        <w:tc>
          <w:tcPr>
            <w:tcW w:type="dxa" w:w="62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Action</w:t>
            </w:r>
          </w:p>
        </w:tc>
      </w:tr>
      <w:tr>
        <w:trPr>
          <w:cantSplit w:val="true"/>
        </w:trPr>
        <w:tc>
          <w:tcPr>
            <w:tcW w:type="dxa" w:w="3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2xx</w:t>
            </w:r>
          </w:p>
        </w:tc>
        <w:tc>
          <w:tcPr>
            <w:tcW w:type="dxa" w:w="6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Mark delivered; no further automatic attempts</w:t>
            </w:r>
          </w:p>
        </w:tc>
      </w:tr>
      <w:tr>
        <w:trPr>
          <w:cantSplit w:val="true"/>
        </w:trPr>
        <w:tc>
          <w:tcPr>
            <w:tcW w:type="dxa" w:w="3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408, 429, or 5xx; network timeout/reset</w:t>
            </w:r>
          </w:p>
        </w:tc>
        <w:tc>
          <w:tcPr>
            <w:tcW w:type="dxa" w:w="6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Retry using full-jitter exponential schedule capped by policy</w:t>
            </w:r>
          </w:p>
        </w:tc>
      </w:tr>
      <w:tr>
        <w:trPr>
          <w:cantSplit w:val="true"/>
        </w:trPr>
        <w:tc>
          <w:tcPr>
            <w:tcW w:type="dxa" w:w="3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3xx</w:t>
            </w:r>
          </w:p>
        </w:tc>
        <w:tc>
          <w:tcPr>
            <w:tcW w:type="dxa" w:w="6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Do not follow redirect; classify as configuration failure to preserve SSRF controls</w:t>
            </w:r>
          </w:p>
        </w:tc>
      </w:tr>
      <w:tr>
        <w:trPr>
          <w:cantSplit w:val="true"/>
        </w:trPr>
        <w:tc>
          <w:tcPr>
            <w:tcW w:type="dxa" w:w="3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Other 4xx</w:t>
            </w:r>
          </w:p>
        </w:tc>
        <w:tc>
          <w:tcPr>
            <w:tcW w:type="dxa" w:w="6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Treat as non-retryable after one bounded confirmation attempt; expose reason</w:t>
            </w:r>
          </w:p>
        </w:tc>
      </w:tr>
      <w:tr>
        <w:trPr>
          <w:cantSplit w:val="true"/>
        </w:trPr>
        <w:tc>
          <w:tcPr>
            <w:tcW w:type="dxa" w:w="3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Attempt budget exhausted</w:t>
            </w:r>
          </w:p>
        </w:tc>
        <w:tc>
          <w:tcPr>
            <w:tcW w:type="dxa" w:w="6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Mark dead_lettered; alert; allow authorized manual replay</w:t>
            </w:r>
          </w:p>
        </w:tc>
      </w:tr>
      <w:tr>
        <w:trPr>
          <w:cantSplit w:val="true"/>
        </w:trPr>
        <w:tc>
          <w:tcPr>
            <w:tcW w:type="dxa" w:w="3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Manual replay</w:t>
            </w:r>
          </w:p>
        </w:tc>
        <w:tc>
          <w:tcPr>
            <w:tcW w:type="dxa" w:w="6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Create a new delivery ID for the same event; record actor and reason</w:t>
            </w:r>
          </w:p>
        </w:tc>
      </w:tr>
    </w:tbl>
    <w:p>
      <w:pPr>
        <w:spacing w:after="40"/>
      </w:pPr>
    </w:p>
    <w:p>
      <w:pPr>
        <w:pStyle w:val="Caption"/>
        <w:keepNext/>
        <w:keepLines w:val="0"/>
      </w:pPr>
      <w:r>
        <w:t>Table 27. Reference retry schedule</w:t>
      </w:r>
    </w:p>
    <w:tbl>
      <w:tblPr>
        <w:tblW w:type="dxa" w:w="9360"/>
        <w:tblLayout w:type="fixed"/>
        <w:tblLook w:firstColumn="1" w:firstRow="1" w:lastColumn="0" w:lastRow="0" w:noHBand="0" w:noVBand="1" w:val="04A0"/>
        <w:jc w:val="left"/>
        <w:tblInd w:w="120" w:type="dxa"/>
      </w:tblPr>
      <w:tblGrid>
        <w:gridCol w:w="1200"/>
        <w:gridCol w:w="3300"/>
        <w:gridCol w:w="4860"/>
      </w:tblGrid>
      <w:tr>
        <w:trPr>
          <w:tblHeader w:val="true"/>
          <w:cantSplit w:val="true"/>
        </w:trPr>
        <w:tc>
          <w:tcPr>
            <w:tcW w:type="dxa" w:w="1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Attempt</w:t>
            </w:r>
          </w:p>
        </w:tc>
        <w:tc>
          <w:tcPr>
            <w:tcW w:type="dxa" w:w="33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Nominal delay before attempt</w:t>
            </w:r>
          </w:p>
        </w:tc>
        <w:tc>
          <w:tcPr>
            <w:tcW w:type="dxa" w:w="48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Notes</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1</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Immediate</w:t>
            </w:r>
          </w:p>
        </w:tc>
        <w:tc>
          <w:tcPr>
            <w:tcW w:type="dxa" w:w="4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Initial delivery</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2</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1 minute</w:t>
            </w:r>
          </w:p>
        </w:tc>
        <w:tc>
          <w:tcPr>
            <w:tcW w:type="dxa" w:w="4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Apply jitter</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3</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5 minutes</w:t>
            </w:r>
          </w:p>
        </w:tc>
        <w:tc>
          <w:tcPr>
            <w:tcW w:type="dxa" w:w="4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Apply jitter</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4</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15 minutes</w:t>
            </w:r>
          </w:p>
        </w:tc>
        <w:tc>
          <w:tcPr>
            <w:tcW w:type="dxa" w:w="4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Apply jitter</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5</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1 hour</w:t>
            </w:r>
          </w:p>
        </w:tc>
        <w:tc>
          <w:tcPr>
            <w:tcW w:type="dxa" w:w="4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Apply jitter</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6</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6 hours</w:t>
            </w:r>
          </w:p>
        </w:tc>
        <w:tc>
          <w:tcPr>
            <w:tcW w:type="dxa" w:w="4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Apply jitter</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7</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24 hours</w:t>
            </w:r>
          </w:p>
        </w:tc>
        <w:tc>
          <w:tcPr>
            <w:tcW w:type="dxa" w:w="48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Final automatic attempt</w:t>
            </w:r>
          </w:p>
        </w:tc>
      </w:tr>
    </w:tbl>
    <w:p>
      <w:pPr>
        <w:spacing w:after="40"/>
      </w:pPr>
    </w:p>
    <w:p>
      <w:pPr>
        <w:pStyle w:val="Heading2"/>
      </w:pPr>
      <w:r>
        <w:t>Reconciliation import contract</w:t>
      </w:r>
    </w:p>
    <w:p>
      <w:pPr>
        <w:pStyle w:val="Caption"/>
        <w:keepNext/>
        <w:keepLines w:val="0"/>
      </w:pPr>
      <w:r>
        <w:t>Table 28. CSV fields</w:t>
      </w:r>
    </w:p>
    <w:tbl>
      <w:tblPr>
        <w:tblW w:type="dxa" w:w="9360"/>
        <w:tblLayout w:type="fixed"/>
        <w:tblLook w:firstColumn="1" w:firstRow="1" w:lastColumn="0" w:lastRow="0" w:noHBand="0" w:noVBand="1" w:val="04A0"/>
        <w:jc w:val="left"/>
        <w:tblInd w:w="120" w:type="dxa"/>
      </w:tblPr>
      <w:tblGrid>
        <w:gridCol w:w="2300"/>
        <w:gridCol w:w="1700"/>
        <w:gridCol w:w="5360"/>
      </w:tblGrid>
      <w:tr>
        <w:trPr>
          <w:tblHeader w:val="true"/>
          <w:cantSplit w:val="true"/>
        </w:trPr>
        <w:tc>
          <w:tcPr>
            <w:tcW w:type="dxa" w:w="23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Field</w:t>
            </w:r>
          </w:p>
        </w:tc>
        <w:tc>
          <w:tcPr>
            <w:tcW w:type="dxa" w:w="17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Type</w:t>
            </w:r>
          </w:p>
        </w:tc>
        <w:tc>
          <w:tcPr>
            <w:tcW w:type="dxa" w:w="53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Requirement</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provider_txn_id</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text</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Required; provider-row identity</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merchant_code</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text</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Required; must match authenticated/import target merchant</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provider_ref</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text</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Required primary match key</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external_ref</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text</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Optional controlled fallback</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event_type</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enum</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capture | refund | settlement | adjustment</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currency</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char(3)</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Required uppercase supported currency</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gross_minor</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bigint</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Required according to event type</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fee_minor</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bigint</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Zero or positive</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net_minor</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bigint</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Must satisfy documented arithmetic</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status</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enum</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Normalized provider status</w:t>
            </w:r>
          </w:p>
        </w:tc>
      </w:tr>
      <w:tr>
        <w:trPr>
          <w:cantSplit w:val="true"/>
        </w:trPr>
        <w:tc>
          <w:tcPr>
            <w:tcW w:type="dxa" w:w="2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occurred_at</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timestamptz</w:t>
            </w:r>
          </w:p>
        </w:tc>
        <w:tc>
          <w:tcPr>
            <w:tcW w:type="dxa" w:w="5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Required UTC-normalized instant</w:t>
            </w:r>
          </w:p>
        </w:tc>
      </w:tr>
    </w:tbl>
    <w:p>
      <w:pPr>
        <w:spacing w:after="40"/>
      </w:pPr>
    </w:p>
    <w:p>
      <w:pPr>
        <w:keepNext w:val="0"/>
        <w:keepLines w:val="0"/>
      </w:pPr>
      <w:r>
        <w:rPr>
          <w:rFonts w:ascii="Calibri" w:hAnsi="Calibri" w:eastAsia="Calibri"/>
          <w:i w:val="0"/>
          <w:color w:val="1F2933"/>
        </w:rPr>
        <w:t>Result buckets are mutually exclusive and include matched_exact, amount_mismatch, currency_mismatch, platform_only, provider_only, duplicate_provider_row, and status_mismatch. Reports aggregate by currency; amounts in different currencies are never summed into one total.</w:t>
      </w:r>
    </w:p>
    <w:p>
      <w:pPr>
        <w:pStyle w:val="Heading1"/>
      </w:pPr>
      <w:r>
        <w:t>Security and Threat Model</w:t>
      </w:r>
    </w:p>
    <w:p>
      <w:pPr>
        <w:pStyle w:val="Heading2"/>
      </w:pPr>
      <w:r>
        <w:t>Security objectives</w:t>
      </w:r>
    </w:p>
    <w:p>
      <w:pPr>
        <w:keepNext w:val="0"/>
        <w:keepLines/>
        <w:numPr>
          <w:ilvl w:val="0"/>
          <w:numId w:val="10"/>
        </w:numPr>
      </w:pPr>
      <w:r>
        <w:rPr>
          <w:rFonts w:ascii="Calibri" w:hAnsi="Calibri" w:eastAsia="Calibri"/>
          <w:color w:val="1F2933"/>
        </w:rPr>
        <w:t>Prevent unauthorized cross-merchant data access and privileged operator actions.</w:t>
      </w:r>
    </w:p>
    <w:p>
      <w:pPr>
        <w:keepNext w:val="0"/>
        <w:keepLines/>
        <w:numPr>
          <w:ilvl w:val="0"/>
          <w:numId w:val="10"/>
        </w:numPr>
      </w:pPr>
      <w:r>
        <w:rPr>
          <w:rFonts w:ascii="Calibri" w:hAnsi="Calibri" w:eastAsia="Calibri"/>
          <w:color w:val="1F2933"/>
        </w:rPr>
        <w:t>Protect API keys, webhook secrets, signing material, and deployment credentials through their full lifecycle.</w:t>
      </w:r>
    </w:p>
    <w:p>
      <w:pPr>
        <w:keepNext w:val="0"/>
        <w:keepLines/>
        <w:numPr>
          <w:ilvl w:val="0"/>
          <w:numId w:val="10"/>
        </w:numPr>
      </w:pPr>
      <w:r>
        <w:rPr>
          <w:rFonts w:ascii="Calibri" w:hAnsi="Calibri" w:eastAsia="Calibri"/>
          <w:color w:val="1F2933"/>
        </w:rPr>
        <w:t>Preserve ledger and audit integrity and make tampering detectable.</w:t>
      </w:r>
    </w:p>
    <w:p>
      <w:pPr>
        <w:keepNext w:val="0"/>
        <w:keepLines/>
        <w:numPr>
          <w:ilvl w:val="0"/>
          <w:numId w:val="10"/>
        </w:numPr>
      </w:pPr>
      <w:r>
        <w:rPr>
          <w:rFonts w:ascii="Calibri" w:hAnsi="Calibri" w:eastAsia="Calibri"/>
          <w:color w:val="1F2933"/>
        </w:rPr>
        <w:t>Prevent a merchant-configured webhook URL from reaching internal, loopback, link-local, or cloud-metadata targets.</w:t>
      </w:r>
    </w:p>
    <w:p>
      <w:pPr>
        <w:keepNext w:val="0"/>
        <w:keepLines/>
        <w:numPr>
          <w:ilvl w:val="0"/>
          <w:numId w:val="10"/>
        </w:numPr>
      </w:pPr>
      <w:r>
        <w:rPr>
          <w:rFonts w:ascii="Calibri" w:hAnsi="Calibri" w:eastAsia="Calibri"/>
          <w:color w:val="1F2933"/>
        </w:rPr>
        <w:t>Limit blast radius through least privilege, network boundaries, rate limits, resource limits, and dependency controls.</w:t>
      </w:r>
    </w:p>
    <w:p>
      <w:pPr>
        <w:keepNext w:val="0"/>
        <w:keepLines/>
        <w:numPr>
          <w:ilvl w:val="0"/>
          <w:numId w:val="10"/>
        </w:numPr>
      </w:pPr>
      <w:r>
        <w:rPr>
          <w:rFonts w:ascii="Calibri" w:hAnsi="Calibri" w:eastAsia="Calibri"/>
          <w:color w:val="1F2933"/>
        </w:rPr>
        <w:t>Keep the public repository and telemetry free of real secrets, regulated payment data, and personal data.</w:t>
      </w:r>
    </w:p>
    <w:p>
      <w:pPr>
        <w:pStyle w:val="Caption"/>
        <w:keepNext/>
        <w:keepLines w:val="0"/>
      </w:pPr>
      <w:r>
        <w:t>Table 29. Threat-control-verification matrix</w:t>
      </w:r>
    </w:p>
    <w:tbl>
      <w:tblPr>
        <w:tblW w:type="dxa" w:w="9360"/>
        <w:tblLayout w:type="fixed"/>
        <w:tblLook w:firstColumn="1" w:firstRow="1" w:lastColumn="0" w:lastRow="0" w:noHBand="0" w:noVBand="1" w:val="04A0"/>
        <w:jc w:val="left"/>
        <w:tblInd w:w="120" w:type="dxa"/>
      </w:tblPr>
      <w:tblGrid>
        <w:gridCol w:w="2350"/>
        <w:gridCol w:w="4700"/>
        <w:gridCol w:w="2310"/>
      </w:tblGrid>
      <w:tr>
        <w:trPr>
          <w:tblHeader w:val="true"/>
          <w:cantSplit w:val="true"/>
        </w:trPr>
        <w:tc>
          <w:tcPr>
            <w:tcW w:type="dxa" w:w="23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Threat</w:t>
            </w:r>
          </w:p>
        </w:tc>
        <w:tc>
          <w:tcPr>
            <w:tcW w:type="dxa" w:w="47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Primary controls</w:t>
            </w:r>
          </w:p>
        </w:tc>
        <w:tc>
          <w:tcPr>
            <w:tcW w:type="dxa" w:w="23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Verification evidence</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Stolen API key</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Hash at rest; public prefix lookup; scopes; rotation; revocation; rate limits; no logging</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Key lifecycle integration tests; secret-scanning CI</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Cross-merchant access</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Merchant ID in every owned DB predicate; authorization guards; negative fixtures</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Automated tenant-isolation tests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Duplicate/replayed command</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Idempotency key + fingerprint + response snapshot; unique business keys</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Retry storm and key-mismatch tests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Ledger tampering</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Append-only DB triggers; restricted role; reversal-only correction; audit events</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Update/delete negative tests and permission tests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 forgery/replay</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HMAC over raw bytes; timestamp; delivery ID; constant-time compare; secret rotation</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Known-vector signature tests and stale timestamp tests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 SSRF / DNS rebinding</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HTTPS in production; block private/loopback/link-local/metadata ranges; re-resolve at delivery; disable redirects; egress policy; port allowlist</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URL corpus, DNS rebind simulation, and blocked-target tests [R18]</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CSV abuse</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Size/row limits; streaming parser; schema validation; formula-neutral exports; timeout; checksum</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Malformed, oversized, duplicate, and resource tests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Message poisoning</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Schema version validation; bounded retries; DLQ; redacted error; manual replay control</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Poison-message integration test</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Secret exposure</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Environment indirection locally; managed secret store/KMS in production; rotation; access audit</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Repository scan and runtime configuration review [R17]</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Supply-chain compromise</w:t>
            </w:r>
          </w:p>
        </w:tc>
        <w:tc>
          <w:tcPr>
            <w:tcW w:type="dxa" w:w="4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Lockfile; pinned action/image digests; dependency review; provenance/SBOM where practical</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CI policy and release artifact evidence</w:t>
            </w:r>
          </w:p>
        </w:tc>
      </w:tr>
    </w:tbl>
    <w:p>
      <w:pPr>
        <w:spacing w:after="40"/>
      </w:pPr>
    </w:p>
    <w:p>
      <w:pPr>
        <w:pStyle w:val="Heading2"/>
      </w:pPr>
      <w:r>
        <w:t>API key and secret lifecycle</w:t>
      </w:r>
    </w:p>
    <w:p>
      <w:pPr>
        <w:keepNext w:val="0"/>
        <w:keepLines/>
        <w:numPr>
          <w:ilvl w:val="0"/>
          <w:numId w:val="10"/>
        </w:numPr>
      </w:pPr>
      <w:r>
        <w:rPr>
          <w:rFonts w:ascii="Calibri" w:hAnsi="Calibri" w:eastAsia="Calibri"/>
          <w:color w:val="1F2933"/>
        </w:rPr>
        <w:t>Generate API keys with a visible non-secret prefix and a high-entropy secret; store only a slow hash of the secret and lookup metadata.</w:t>
      </w:r>
    </w:p>
    <w:p>
      <w:pPr>
        <w:keepNext w:val="0"/>
        <w:keepLines/>
        <w:numPr>
          <w:ilvl w:val="0"/>
          <w:numId w:val="10"/>
        </w:numPr>
      </w:pPr>
      <w:r>
        <w:rPr>
          <w:rFonts w:ascii="Calibri" w:hAnsi="Calibri" w:eastAsia="Calibri"/>
          <w:color w:val="1F2933"/>
        </w:rPr>
        <w:t>Display API and webhook secrets only at creation/rotation. The platform cannot recover an API key secret later.</w:t>
      </w:r>
    </w:p>
    <w:p>
      <w:pPr>
        <w:keepNext w:val="0"/>
        <w:keepLines/>
        <w:numPr>
          <w:ilvl w:val="0"/>
          <w:numId w:val="10"/>
        </w:numPr>
      </w:pPr>
      <w:r>
        <w:rPr>
          <w:rFonts w:ascii="Calibri" w:hAnsi="Calibri" w:eastAsia="Calibri"/>
          <w:color w:val="1F2933"/>
        </w:rPr>
        <w:t>Encrypt webhook signing secrets at rest. Local development may use an environment-provided master key; production-like guidance uses envelope encryption through a managed secret/KMS service.</w:t>
      </w:r>
    </w:p>
    <w:p>
      <w:pPr>
        <w:keepNext w:val="0"/>
        <w:keepLines/>
        <w:numPr>
          <w:ilvl w:val="0"/>
          <w:numId w:val="10"/>
        </w:numPr>
      </w:pPr>
      <w:r>
        <w:rPr>
          <w:rFonts w:ascii="Calibri" w:hAnsi="Calibri" w:eastAsia="Calibri"/>
          <w:color w:val="1F2933"/>
        </w:rPr>
        <w:t>Support overlap during webhook secret rotation by accepting the current and immediately previous secret for a short documented window.</w:t>
      </w:r>
    </w:p>
    <w:p>
      <w:pPr>
        <w:keepNext w:val="0"/>
        <w:keepLines/>
        <w:numPr>
          <w:ilvl w:val="0"/>
          <w:numId w:val="10"/>
        </w:numPr>
      </w:pPr>
      <w:r>
        <w:rPr>
          <w:rFonts w:ascii="Calibri" w:hAnsi="Calibri" w:eastAsia="Calibri"/>
          <w:color w:val="1F2933"/>
        </w:rPr>
        <w:t>Audit creation, rotation, disablement, replay, settlement execution, and reconciliation import actions without logging secret values.</w:t>
      </w:r>
    </w:p>
    <w:p>
      <w:pPr>
        <w:pStyle w:val="Heading2"/>
      </w:pPr>
      <w:r>
        <w:t>Logging and privacy</w:t>
      </w:r>
    </w:p>
    <w:p>
      <w:pPr>
        <w:pStyle w:val="Caption"/>
        <w:keepNext/>
        <w:keepLines w:val="0"/>
      </w:pPr>
      <w:r>
        <w:t>Table 30. Telemetry data classification</w:t>
      </w:r>
    </w:p>
    <w:tbl>
      <w:tblPr>
        <w:tblW w:type="dxa" w:w="9360"/>
        <w:tblLayout w:type="fixed"/>
        <w:tblLook w:firstColumn="1" w:firstRow="1" w:lastColumn="0" w:lastRow="0" w:noHBand="0" w:noVBand="1" w:val="04A0"/>
        <w:jc w:val="left"/>
        <w:tblInd w:w="120" w:type="dxa"/>
      </w:tblPr>
      <w:tblGrid>
        <w:gridCol w:w="2100"/>
        <w:gridCol w:w="4200"/>
        <w:gridCol w:w="3060"/>
      </w:tblGrid>
      <w:tr>
        <w:trPr>
          <w:tblHeader w:val="true"/>
          <w:cantSplit w:val="true"/>
        </w:trPr>
        <w:tc>
          <w:tcPr>
            <w:tcW w:type="dxa" w:w="21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Data</w:t>
            </w:r>
          </w:p>
        </w:tc>
        <w:tc>
          <w:tcPr>
            <w:tcW w:type="dxa" w:w="4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Allowed</w:t>
            </w:r>
          </w:p>
        </w:tc>
        <w:tc>
          <w:tcPr>
            <w:tcW w:type="dxa" w:w="30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Prohibited</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Request logs</w:t>
            </w:r>
          </w:p>
        </w:tc>
        <w:tc>
          <w:tcPr>
            <w:tcW w:type="dxa" w:w="4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method, route template, status, duration, merchant ID, request ID</w:t>
            </w:r>
          </w:p>
        </w:tc>
        <w:tc>
          <w:tcPr>
            <w:tcW w:type="dxa" w:w="3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Authorization, idempotency key value, secret, raw financial request body</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Webhook logs</w:t>
            </w:r>
          </w:p>
        </w:tc>
        <w:tc>
          <w:tcPr>
            <w:tcW w:type="dxa" w:w="4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endpoint ID, hostname, event/delivery ID, status, duration</w:t>
            </w:r>
          </w:p>
        </w:tc>
        <w:tc>
          <w:tcPr>
            <w:tcW w:type="dxa" w:w="3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Signing secret, full payload by default, full response body</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Error records</w:t>
            </w:r>
          </w:p>
        </w:tc>
        <w:tc>
          <w:tcPr>
            <w:tcW w:type="dxa" w:w="4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stable error code, redacted message, correlation IDs</w:t>
            </w:r>
          </w:p>
        </w:tc>
        <w:tc>
          <w:tcPr>
            <w:tcW w:type="dxa" w:w="3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Stack traces in public API responses, credentials, internal network details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Traces</w:t>
            </w:r>
          </w:p>
        </w:tc>
        <w:tc>
          <w:tcPr>
            <w:tcW w:type="dxa" w:w="4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module and operation names, IDs, durations, sanitized attributes</w:t>
            </w:r>
          </w:p>
        </w:tc>
        <w:tc>
          <w:tcPr>
            <w:tcW w:type="dxa" w:w="30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Secrets, API request bodies, CSV row contents</w:t>
            </w:r>
          </w:p>
        </w:tc>
      </w:tr>
    </w:tbl>
    <w:p>
      <w:pPr>
        <w:spacing w:after="40"/>
      </w:pPr>
    </w:p>
    <w:p>
      <w:pPr>
        <w:spacing w:before="120" w:after="160" w:line="264" w:lineRule="auto"/>
        <w:ind w:left="173" w:right="115"/>
        <w:shd w:fill="FDF1F1"/>
        <w:keepNext w:val="0"/>
        <w:keepLines/>
        <w:pBdr>
          <w:left w:val="single" w:sz="14" w:space="6" w:color="9B1C1C"/>
        </w:pBdr>
      </w:pPr>
      <w:r>
        <w:rPr>
          <w:rFonts w:ascii="Calibri" w:hAnsi="Calibri" w:eastAsia="Calibri"/>
          <w:b/>
          <w:color w:val="9B1C1C"/>
        </w:rPr>
        <w:t xml:space="preserve">Public-repository rule: </w:t>
      </w:r>
      <w:r>
        <w:rPr>
          <w:rFonts w:ascii="Calibri" w:hAnsi="Calibri" w:eastAsia="Calibri"/>
          <w:color w:val="1F2933"/>
        </w:rPr>
        <w:t>Use only synthetic merchants, payments, webhook destinations, statements, credentials, screenshots, logs, and traces. A sample .env file contains placeholders, never usable secrets.</w:t>
      </w:r>
    </w:p>
    <w:p>
      <w:pPr>
        <w:pStyle w:val="Heading1"/>
      </w:pPr>
      <w:r>
        <w:t>Reliability and Operational Design</w:t>
      </w:r>
    </w:p>
    <w:p>
      <w:pPr>
        <w:pStyle w:val="Heading2"/>
      </w:pPr>
      <w:r>
        <w:t>Reliability model</w:t>
      </w:r>
    </w:p>
    <w:p>
      <w:pPr>
        <w:keepNext w:val="0"/>
        <w:keepLines w:val="0"/>
      </w:pPr>
      <w:r>
        <w:rPr>
          <w:rFonts w:ascii="Calibri" w:hAnsi="Calibri" w:eastAsia="Calibri"/>
          <w:i w:val="0"/>
          <w:color w:val="1F2933"/>
        </w:rPr>
        <w:t>SettleFlow prioritizes financial correctness over immediate asynchronous completion. A committed payment remains valid when the broker or merchant endpoint is unavailable; outbox and delivery state expose the backlog until recovery. Exactly-once delivery is not claimed. The system provides atomic local transactions, at-least-once messaging, idempotent consumers, and auditable terminal states.</w:t>
      </w:r>
    </w:p>
    <w:p>
      <w:pPr>
        <w:pStyle w:val="Caption"/>
        <w:keepNext/>
        <w:keepLines w:val="0"/>
      </w:pPr>
      <w:r>
        <w:t>Table 31. Service objectives for the reference environment</w:t>
      </w:r>
    </w:p>
    <w:tbl>
      <w:tblPr>
        <w:tblW w:type="dxa" w:w="9360"/>
        <w:tblLayout w:type="fixed"/>
        <w:tblLook w:firstColumn="1" w:firstRow="1" w:lastColumn="0" w:lastRow="0" w:noHBand="0" w:noVBand="1" w:val="04A0"/>
        <w:jc w:val="left"/>
        <w:tblInd w:w="120" w:type="dxa"/>
      </w:tblPr>
      <w:tblGrid>
        <w:gridCol w:w="2600"/>
        <w:gridCol w:w="3300"/>
        <w:gridCol w:w="3460"/>
      </w:tblGrid>
      <w:tr>
        <w:trPr>
          <w:tblHeader w:val="true"/>
          <w:cantSplit w:val="true"/>
        </w:trPr>
        <w:tc>
          <w:tcPr>
            <w:tcW w:type="dxa" w:w="26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Indicator</w:t>
            </w:r>
          </w:p>
        </w:tc>
        <w:tc>
          <w:tcPr>
            <w:tcW w:type="dxa" w:w="33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Objective</w:t>
            </w:r>
          </w:p>
        </w:tc>
        <w:tc>
          <w:tcPr>
            <w:tcW w:type="dxa" w:w="34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Measurement window / note</w:t>
            </w:r>
          </w:p>
        </w:tc>
      </w:tr>
      <w:tr>
        <w:trPr>
          <w:cantSplit w:val="true"/>
        </w:trPr>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Synchronous command success</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&gt;= 99.5% excluding invalid/unauthorized requests</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Rolling 7 days in reference deployment</w:t>
            </w:r>
          </w:p>
        </w:tc>
      </w:tr>
      <w:tr>
        <w:trPr>
          <w:cantSplit w:val="true"/>
        </w:trPr>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Create/capture latency</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p95 &lt; 300 ms; p99 &lt; 600 ms</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Reference load and hardware documented</w:t>
            </w:r>
          </w:p>
        </w:tc>
      </w:tr>
      <w:tr>
        <w:trPr>
          <w:cantSplit w:val="true"/>
        </w:trPr>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Outbox publish lag</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p95 &lt; 10 s while broker healthy</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created_at to published_at</w:t>
            </w:r>
          </w:p>
        </w:tc>
      </w:tr>
      <w:tr>
        <w:trPr>
          <w:cantSplit w:val="true"/>
        </w:trPr>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Webhook first-attempt lag</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p95 &lt; 30 s while endpoint and dependencies healthy</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event time to first attempt</w:t>
            </w:r>
          </w:p>
        </w:tc>
      </w:tr>
      <w:tr>
        <w:trPr>
          <w:cantSplit w:val="true"/>
        </w:trPr>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 correctness</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100% item uniqueness and arithmetic consistency</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Every finalized batch</w:t>
            </w:r>
          </w:p>
        </w:tc>
      </w:tr>
      <w:tr>
        <w:trPr>
          <w:cantSplit w:val="true"/>
        </w:trPr>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Reconciliation determinism</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Same input + baseline data produces identical buckets/totals</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Golden fixture runs</w:t>
            </w:r>
          </w:p>
        </w:tc>
      </w:tr>
      <w:tr>
        <w:trPr>
          <w:cantSplit w:val="true"/>
        </w:trPr>
        <w:tc>
          <w:tcPr>
            <w:tcW w:type="dxa" w:w="2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Reference RPO/RTO</w:t>
            </w:r>
          </w:p>
        </w:tc>
        <w:tc>
          <w:tcPr>
            <w:tcW w:type="dxa" w:w="3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RPO &lt;= 15 min; RTO &lt;= 60 min</w:t>
            </w:r>
          </w:p>
        </w:tc>
        <w:tc>
          <w:tcPr>
            <w:tcW w:type="dxa" w:w="3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Documented target for a production-like demo, not a regulatory commitment</w:t>
            </w:r>
          </w:p>
        </w:tc>
      </w:tr>
    </w:tbl>
    <w:p>
      <w:pPr>
        <w:spacing w:after="40"/>
      </w:pPr>
    </w:p>
    <w:p>
      <w:pPr>
        <w:pStyle w:val="Heading2"/>
      </w:pPr>
      <w:r>
        <w:t>Failure modes and recovery</w:t>
      </w:r>
    </w:p>
    <w:p>
      <w:pPr>
        <w:pStyle w:val="Caption"/>
        <w:keepNext/>
        <w:keepLines w:val="0"/>
      </w:pPr>
      <w:r>
        <w:t>Table 32. Failure handling</w:t>
      </w:r>
    </w:p>
    <w:tbl>
      <w:tblPr>
        <w:tblW w:type="dxa" w:w="9360"/>
        <w:tblLayout w:type="fixed"/>
        <w:tblLook w:firstColumn="1" w:firstRow="1" w:lastColumn="0" w:lastRow="0" w:noHBand="0" w:noVBand="1" w:val="04A0"/>
        <w:jc w:val="left"/>
        <w:tblInd w:w="120" w:type="dxa"/>
      </w:tblPr>
      <w:tblGrid>
        <w:gridCol w:w="2100"/>
        <w:gridCol w:w="4350"/>
        <w:gridCol w:w="2910"/>
      </w:tblGrid>
      <w:tr>
        <w:trPr>
          <w:tblHeader w:val="true"/>
          <w:cantSplit w:val="true"/>
        </w:trPr>
        <w:tc>
          <w:tcPr>
            <w:tcW w:type="dxa" w:w="21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Failure</w:t>
            </w:r>
          </w:p>
        </w:tc>
        <w:tc>
          <w:tcPr>
            <w:tcW w:type="dxa" w:w="43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Expected behavior</w:t>
            </w:r>
          </w:p>
        </w:tc>
        <w:tc>
          <w:tcPr>
            <w:tcW w:type="dxa" w:w="29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Recovery / alert</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PostgreSQL unavailable</w:t>
            </w:r>
          </w:p>
        </w:tc>
        <w:tc>
          <w:tcPr>
            <w:tcW w:type="dxa" w:w="4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API readiness fails; financial commands rejected; worker pauses safely</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Restore connectivity; verify migration state and backlog</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RabbitMQ unavailable</w:t>
            </w:r>
          </w:p>
        </w:tc>
        <w:tc>
          <w:tcPr>
            <w:tcW w:type="dxa" w:w="4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API money transactions may commit with outbox rows; worker readiness fails</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Relay retries with backoff; alert on backlog age</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Relay crash after publish</w:t>
            </w:r>
          </w:p>
        </w:tc>
        <w:tc>
          <w:tcPr>
            <w:tcW w:type="dxa" w:w="4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Event may be published again after lease expiry</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Inbox dedupe; monitor duplicate hit counter</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Consumer crash before ack</w:t>
            </w:r>
          </w:p>
        </w:tc>
        <w:tc>
          <w:tcPr>
            <w:tcW w:type="dxa" w:w="4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RabbitMQ redelivers message</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Inbox record makes completed effect a no-op; ack after detection</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 endpoint failing</w:t>
            </w:r>
          </w:p>
        </w:tc>
        <w:tc>
          <w:tcPr>
            <w:tcW w:type="dxa" w:w="4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Retry policy advances to dead_lettered</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Alert; merchant fixes endpoint; authorized replay</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Settlement worker crash</w:t>
            </w:r>
          </w:p>
        </w:tc>
        <w:tc>
          <w:tcPr>
            <w:tcW w:type="dxa" w:w="4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Transaction rolls back or leased job is reclaimed</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Run is idempotent; uniqueness prevents duplicate item</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Reconciliation parse error</w:t>
            </w:r>
          </w:p>
        </w:tc>
        <w:tc>
          <w:tcPr>
            <w:tcW w:type="dxa" w:w="4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Import marked failed with row-level safe diagnostics</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Correct file and create a new import; no partial final report</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Serialization/deadlock error</w:t>
            </w:r>
          </w:p>
        </w:tc>
        <w:tc>
          <w:tcPr>
            <w:tcW w:type="dxa" w:w="4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Whole transaction rolls back</w:t>
            </w:r>
          </w:p>
        </w:tc>
        <w:tc>
          <w:tcPr>
            <w:tcW w:type="dxa" w:w="2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Bounded retry with jitter and metric; investigate high rate</w:t>
            </w:r>
          </w:p>
        </w:tc>
      </w:tr>
    </w:tbl>
    <w:p>
      <w:pPr>
        <w:spacing w:after="40"/>
      </w:pPr>
    </w:p>
    <w:p>
      <w:pPr>
        <w:pStyle w:val="Heading2"/>
      </w:pPr>
      <w:r>
        <w:t>Observability</w:t>
      </w:r>
    </w:p>
    <w:p>
      <w:pPr>
        <w:pStyle w:val="Caption"/>
        <w:keepNext/>
        <w:keepLines w:val="0"/>
      </w:pPr>
      <w:r>
        <w:t>Table 33. Required telemetry</w:t>
      </w:r>
    </w:p>
    <w:tbl>
      <w:tblPr>
        <w:tblW w:type="dxa" w:w="9360"/>
        <w:tblLayout w:type="fixed"/>
        <w:tblLook w:firstColumn="1" w:firstRow="1" w:lastColumn="0" w:lastRow="0" w:noHBand="0" w:noVBand="1" w:val="04A0"/>
        <w:jc w:val="left"/>
        <w:tblInd w:w="120" w:type="dxa"/>
      </w:tblPr>
      <w:tblGrid>
        <w:gridCol w:w="2150"/>
        <w:gridCol w:w="7210"/>
      </w:tblGrid>
      <w:tr>
        <w:trPr>
          <w:tblHeader w:val="true"/>
          <w:cantSplit w:val="true"/>
        </w:trPr>
        <w:tc>
          <w:tcPr>
            <w:tcW w:type="dxa" w:w="21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Signal</w:t>
            </w:r>
          </w:p>
        </w:tc>
        <w:tc>
          <w:tcPr>
            <w:tcW w:type="dxa" w:w="72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Examples</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Trace spans</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http.request, idempotency.acquire, payment.capture, ledger.post, outbox.claim/publish, rabbit.consume, webhook.deliver, settlement.finalize, reconciliation.classify</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Counters</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payments_captured_total, refunds_total, outbox_publish_total, outbox_publish_failures_total, inbox_dedup_hits_total, webhook_attempts_total</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Gauges</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outbox_oldest_age_seconds, outbox_pending, webhook_due, webhook_dead_lettered, settlement_runs_inflight</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Histograms</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payment_command_duration_seconds, outbox_publish_duration_seconds, webhook_delivery_duration_seconds, settlement_batch_duration_seconds</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Structured logs</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timestamp, level, service, environment, requestId, eventId, deliveryId, merchantId, stable code; no secrets</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Health</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/health/live process-only; /health/ready checks required dependencies with bounded timeouts</w:t>
            </w:r>
          </w:p>
        </w:tc>
      </w:tr>
    </w:tbl>
    <w:p>
      <w:pPr>
        <w:spacing w:after="40"/>
      </w:pPr>
    </w:p>
    <w:p>
      <w:pPr>
        <w:pStyle w:val="Heading2"/>
      </w:pPr>
      <w:r>
        <w:t>Alerts and runbooks</w:t>
      </w:r>
    </w:p>
    <w:p>
      <w:pPr>
        <w:pStyle w:val="Caption"/>
        <w:keepNext/>
        <w:keepLines w:val="0"/>
      </w:pPr>
      <w:r>
        <w:t>Table 34. Minimum operational runbooks</w:t>
      </w:r>
    </w:p>
    <w:tbl>
      <w:tblPr>
        <w:tblW w:type="dxa" w:w="9360"/>
        <w:tblLayout w:type="fixed"/>
        <w:tblLook w:firstColumn="1" w:firstRow="1" w:lastColumn="0" w:lastRow="0" w:noHBand="0" w:noVBand="1" w:val="04A0"/>
        <w:jc w:val="left"/>
        <w:tblInd w:w="120" w:type="dxa"/>
      </w:tblPr>
      <w:tblGrid>
        <w:gridCol w:w="2200"/>
        <w:gridCol w:w="2800"/>
        <w:gridCol w:w="4360"/>
      </w:tblGrid>
      <w:tr>
        <w:trPr>
          <w:tblHeader w:val="true"/>
          <w:cantSplit w:val="true"/>
        </w:trPr>
        <w:tc>
          <w:tcPr>
            <w:tcW w:type="dxa" w:w="2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Runbook</w:t>
            </w:r>
          </w:p>
        </w:tc>
        <w:tc>
          <w:tcPr>
            <w:tcW w:type="dxa" w:w="28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Trigger</w:t>
            </w:r>
          </w:p>
        </w:tc>
        <w:tc>
          <w:tcPr>
            <w:tcW w:type="dxa" w:w="43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Required actions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Outbox backlog</w:t>
            </w:r>
          </w:p>
        </w:tc>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Oldest unpublished event exceeds threshold</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Check broker/relay; inspect leases; avoid manual row edits; confirm catch-up</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 dead letters</w:t>
            </w:r>
          </w:p>
        </w:tc>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Dead-letter count or age increases</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Identify endpoint/error class; contact simulated merchant; replay with reason after fix</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Ledger invariant failure</w:t>
            </w:r>
          </w:p>
        </w:tc>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Constraint violation or mismatch detector</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Stop affected command path; preserve evidence; diagnose code/migration; never patch entries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Settlement mismatch</w:t>
            </w:r>
          </w:p>
        </w:tc>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Batch totals differ from items/ledger</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Block export; mark incident; rebuild only through controlled reversal/forward fix</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Reconciliation unexplained difference</w:t>
            </w:r>
          </w:p>
        </w:tc>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Non-zero difference above threshold</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Inspect buckets and duplicates; record operator disposition</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Database recovery</w:t>
            </w:r>
          </w:p>
        </w:tc>
        <w:tc>
          <w:tcPr>
            <w:tcW w:type="dxa" w:w="2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Restore exercise or data loss event</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Restore backup, apply WAL/updates, validate invariants, verify outbox/inbox and report RPO</w:t>
            </w:r>
          </w:p>
        </w:tc>
      </w:tr>
    </w:tbl>
    <w:p>
      <w:pPr>
        <w:spacing w:after="40"/>
      </w:pPr>
    </w:p>
    <w:p>
      <w:pPr>
        <w:pStyle w:val="Heading1"/>
      </w:pPr>
      <w:r>
        <w:t>Verification and Quality Strategy</w:t>
      </w:r>
    </w:p>
    <w:p>
      <w:pPr>
        <w:pStyle w:val="Heading2"/>
      </w:pPr>
      <w:r>
        <w:t>Test layers</w:t>
      </w:r>
    </w:p>
    <w:p>
      <w:pPr>
        <w:pStyle w:val="Caption"/>
        <w:keepNext/>
        <w:keepLines w:val="0"/>
      </w:pPr>
      <w:r>
        <w:t>Table 35. Verification matrix</w:t>
      </w:r>
    </w:p>
    <w:tbl>
      <w:tblPr>
        <w:tblW w:type="dxa" w:w="9360"/>
        <w:tblLayout w:type="fixed"/>
        <w:tblLook w:firstColumn="1" w:firstRow="1" w:lastColumn="0" w:lastRow="0" w:noHBand="0" w:noVBand="1" w:val="04A0"/>
        <w:jc w:val="left"/>
        <w:tblInd w:w="120" w:type="dxa"/>
      </w:tblPr>
      <w:tblGrid>
        <w:gridCol w:w="1450"/>
        <w:gridCol w:w="3550"/>
        <w:gridCol w:w="4360"/>
      </w:tblGrid>
      <w:tr>
        <w:trPr>
          <w:tblHeader w:val="true"/>
          <w:cantSplit w:val="true"/>
        </w:trPr>
        <w:tc>
          <w:tcPr>
            <w:tcW w:type="dxa" w:w="14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Layer</w:t>
            </w:r>
          </w:p>
        </w:tc>
        <w:tc>
          <w:tcPr>
            <w:tcW w:type="dxa" w:w="35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Focus</w:t>
            </w:r>
          </w:p>
        </w:tc>
        <w:tc>
          <w:tcPr>
            <w:tcW w:type="dxa" w:w="43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Required examples</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Unit</w:t>
            </w:r>
          </w:p>
        </w:tc>
        <w:tc>
          <w:tcPr>
            <w:tcW w:type="dxa" w:w="3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Pure domain and adapter logic</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Ledger posting builder, fee calculation, signature vectors, retry classifier, reconciliation classifier</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Database</w:t>
            </w:r>
          </w:p>
        </w:tc>
        <w:tc>
          <w:tcPr>
            <w:tcW w:type="dxa" w:w="3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Constraints, triggers, migrations, query behavior</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Balance rejection, immutability, uniqueness, migration from prior fixture, explain plans</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Integration</w:t>
            </w:r>
          </w:p>
        </w:tc>
        <w:tc>
          <w:tcPr>
            <w:tcW w:type="dxa" w:w="3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Real PostgreSQL/RabbitMQ/HTTP behavior</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Lifecycle, outbox confirms, inbox dedupe, webhook retries, settlement, reconciliation</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Contract</w:t>
            </w:r>
          </w:p>
        </w:tc>
        <w:tc>
          <w:tcPr>
            <w:tcW w:type="dxa" w:w="3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OpenAPI and event/webhook schemas</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Schema snapshots, example validation, backward compatibility checks</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Concurrency</w:t>
            </w:r>
          </w:p>
        </w:tc>
        <w:tc>
          <w:tcPr>
            <w:tcW w:type="dxa" w:w="3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Races and retry storms</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Parallel capture/refund, idempotency acquisition, relay claims, dual settlement workers</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Failure injection</w:t>
            </w:r>
          </w:p>
        </w:tc>
        <w:tc>
          <w:tcPr>
            <w:tcW w:type="dxa" w:w="3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Crash and dependency faults</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Publish-before-mark crash, consume-before-ack crash, broker outage, webhook 429/500/timeouts</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Performance</w:t>
            </w:r>
          </w:p>
        </w:tc>
        <w:tc>
          <w:tcPr>
            <w:tcW w:type="dxa" w:w="3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Latency, throughput, backlog drain</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k6 thresholds and environment report</w:t>
            </w:r>
          </w:p>
        </w:tc>
      </w:tr>
      <w:tr>
        <w:trPr>
          <w:cantSplit w:val="true"/>
        </w:trPr>
        <w:tc>
          <w:tcPr>
            <w:tcW w:type="dxa" w:w="1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Security</w:t>
            </w:r>
          </w:p>
        </w:tc>
        <w:tc>
          <w:tcPr>
            <w:tcW w:type="dxa" w:w="35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Authorization, SSRF, signatures, secrets, resource limits</w:t>
            </w:r>
          </w:p>
        </w:tc>
        <w:tc>
          <w:tcPr>
            <w:tcW w:type="dxa" w:w="43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Tenant isolation, URL corpus, stale signatures, CSV limits, secret scans</w:t>
            </w:r>
          </w:p>
        </w:tc>
      </w:tr>
    </w:tbl>
    <w:p>
      <w:pPr>
        <w:spacing w:after="40"/>
      </w:pPr>
    </w:p>
    <w:p>
      <w:pPr>
        <w:pStyle w:val="Heading2"/>
      </w:pPr>
      <w:r>
        <w:t>Concurrency proof scenarios</w:t>
      </w:r>
    </w:p>
    <w:p>
      <w:pPr>
        <w:pStyle w:val="Caption"/>
        <w:keepNext/>
        <w:keepLines w:val="0"/>
      </w:pPr>
      <w:r>
        <w:t>Table 36. Mandatory race tests</w:t>
      </w:r>
    </w:p>
    <w:tbl>
      <w:tblPr>
        <w:tblW w:type="dxa" w:w="9360"/>
        <w:tblLayout w:type="fixed"/>
        <w:tblLook w:firstColumn="1" w:firstRow="1" w:lastColumn="0" w:lastRow="0" w:noHBand="0" w:noVBand="1" w:val="04A0"/>
        <w:jc w:val="left"/>
        <w:tblInd w:w="120" w:type="dxa"/>
      </w:tblPr>
      <w:tblGrid>
        <w:gridCol w:w="2450"/>
        <w:gridCol w:w="3000"/>
        <w:gridCol w:w="3910"/>
      </w:tblGrid>
      <w:tr>
        <w:trPr>
          <w:tblHeader w:val="true"/>
          <w:cantSplit w:val="true"/>
        </w:trPr>
        <w:tc>
          <w:tcPr>
            <w:tcW w:type="dxa" w:w="24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Scenario</w:t>
            </w:r>
          </w:p>
        </w:tc>
        <w:tc>
          <w:tcPr>
            <w:tcW w:type="dxa" w:w="30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Load</w:t>
            </w:r>
          </w:p>
        </w:tc>
        <w:tc>
          <w:tcPr>
            <w:tcW w:type="dxa" w:w="39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Pass condition</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Same payment capture</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50 concurrent requests, distinct idempotency keys</w:t>
            </w:r>
          </w:p>
        </w:tc>
        <w:tc>
          <w:tcPr>
            <w:tcW w:type="dxa" w:w="3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Exactly one capture and one capture ledger transaction; others return documented conflict</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Same idempotent capture</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50 concurrent requests, same key and body</w:t>
            </w:r>
          </w:p>
        </w:tc>
        <w:tc>
          <w:tcPr>
            <w:tcW w:type="dxa" w:w="3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One side effect; all successful replays are response-equivalent</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Changed idempotent payload</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Reuse key with different amount</w:t>
            </w:r>
          </w:p>
        </w:tc>
        <w:tc>
          <w:tcPr>
            <w:tcW w:type="dxa" w:w="3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409 idempotency_key_reused; no second effect</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Concurrent refunds</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Requests whose sum exceeds capture</w:t>
            </w:r>
          </w:p>
        </w:tc>
        <w:tc>
          <w:tcPr>
            <w:tcW w:type="dxa" w:w="3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Committed refund sum never exceeds captured amount</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Outbox relay race</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Two relay instances claim same backlog</w:t>
            </w:r>
          </w:p>
        </w:tc>
        <w:tc>
          <w:tcPr>
            <w:tcW w:type="dxa" w:w="3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Disjoint active leases; duplicates after crash remain consumer-safe</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 race</w:t>
            </w:r>
          </w:p>
        </w:tc>
        <w:tc>
          <w:tcPr>
            <w:tcW w:type="dxa" w:w="3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Two workers run same merchant/cutoff</w:t>
            </w:r>
          </w:p>
        </w:tc>
        <w:tc>
          <w:tcPr>
            <w:tcW w:type="dxa" w:w="39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 payment appears in two batches; totals remain consistent</w:t>
            </w:r>
          </w:p>
        </w:tc>
      </w:tr>
    </w:tbl>
    <w:p>
      <w:pPr>
        <w:spacing w:after="40"/>
      </w:pPr>
    </w:p>
    <w:p>
      <w:pPr>
        <w:pStyle w:val="Heading2"/>
      </w:pPr>
      <w:r>
        <w:t>Performance scenarios</w:t>
      </w:r>
    </w:p>
    <w:p>
      <w:pPr>
        <w:pStyle w:val="Caption"/>
        <w:keepNext/>
        <w:keepLines w:val="0"/>
      </w:pPr>
      <w:r>
        <w:t>Table 37. k6 reference scenarios</w:t>
      </w:r>
    </w:p>
    <w:tbl>
      <w:tblPr>
        <w:tblW w:type="dxa" w:w="9360"/>
        <w:tblLayout w:type="fixed"/>
        <w:tblLook w:firstColumn="1" w:firstRow="1" w:lastColumn="0" w:lastRow="0" w:noHBand="0" w:noVBand="1" w:val="04A0"/>
        <w:jc w:val="left"/>
        <w:tblInd w:w="120" w:type="dxa"/>
      </w:tblPr>
      <w:tblGrid>
        <w:gridCol w:w="2450"/>
        <w:gridCol w:w="3650"/>
        <w:gridCol w:w="3260"/>
      </w:tblGrid>
      <w:tr>
        <w:trPr>
          <w:tblHeader w:val="true"/>
          <w:cantSplit w:val="true"/>
        </w:trPr>
        <w:tc>
          <w:tcPr>
            <w:tcW w:type="dxa" w:w="24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Scenario</w:t>
            </w:r>
          </w:p>
        </w:tc>
        <w:tc>
          <w:tcPr>
            <w:tcW w:type="dxa" w:w="36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Shape</w:t>
            </w:r>
          </w:p>
        </w:tc>
        <w:tc>
          <w:tcPr>
            <w:tcW w:type="dxa" w:w="32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Threshold</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payments_happy_path</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Ramp to 30 virtual users for 5 minutes</w:t>
            </w:r>
          </w:p>
        </w:tc>
        <w:tc>
          <w:tcPr>
            <w:tcW w:type="dxa" w:w="3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http_req_failed &lt; 1%; p95 &lt; 300 ms</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idempotency_retry_storm</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Constant arrival using one key per command group</w:t>
            </w:r>
          </w:p>
        </w:tc>
        <w:tc>
          <w:tcPr>
            <w:tcW w:type="dxa" w:w="3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Exactly one effect per group; no duplicate ledger transactions</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webhook_fanout</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Enqueue 1,000 deliveries; worker concurrency 4</w:t>
            </w:r>
          </w:p>
        </w:tc>
        <w:tc>
          <w:tcPr>
            <w:tcW w:type="dxa" w:w="3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Healthy endpoint backlog drains within 5 minutes</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settlement_batch</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10 merchants × 500 eligible payments</w:t>
            </w:r>
          </w:p>
        </w:tc>
        <w:tc>
          <w:tcPr>
            <w:tcW w:type="dxa" w:w="3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No duplicates; duration and DB load recorded against target</w:t>
            </w:r>
          </w:p>
        </w:tc>
      </w:tr>
      <w:tr>
        <w:trPr>
          <w:cantSplit w:val="true"/>
        </w:trPr>
        <w:tc>
          <w:tcPr>
            <w:tcW w:type="dxa" w:w="24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reconciliation_import</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50,000-row synthetic CSV</w:t>
            </w:r>
          </w:p>
        </w:tc>
        <w:tc>
          <w:tcPr>
            <w:tcW w:type="dxa" w:w="3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Completes within documented budget without unbounded memory</w:t>
            </w:r>
          </w:p>
        </w:tc>
      </w:tr>
    </w:tbl>
    <w:p>
      <w:pPr>
        <w:spacing w:after="40"/>
      </w:pPr>
    </w:p>
    <w:p>
      <w:pPr>
        <w:keepNext w:val="0"/>
        <w:keepLines w:val="0"/>
      </w:pPr>
      <w:r>
        <w:rPr>
          <w:rFonts w:ascii="Calibri" w:hAnsi="Calibri" w:eastAsia="Calibri"/>
          <w:i w:val="0"/>
          <w:color w:val="1F2933"/>
        </w:rPr>
        <w:t>k6 thresholds are executable pass/fail criteria and should fail CI when breached; Testcontainers provides disposable real dependencies for integration tests. [R11–R12]</w:t>
      </w:r>
    </w:p>
    <w:p>
      <w:pPr>
        <w:pStyle w:val="Heading2"/>
      </w:pPr>
      <w:r>
        <w:t>Release gates</w:t>
      </w:r>
    </w:p>
    <w:p>
      <w:pPr>
        <w:pStyle w:val="Caption"/>
        <w:keepNext/>
        <w:keepLines w:val="0"/>
      </w:pPr>
      <w:r>
        <w:t>Table 38. v1.0 release gates</w:t>
      </w:r>
    </w:p>
    <w:tbl>
      <w:tblPr>
        <w:tblW w:type="dxa" w:w="9360"/>
        <w:tblLayout w:type="fixed"/>
        <w:tblLook w:firstColumn="1" w:firstRow="1" w:lastColumn="0" w:lastRow="0" w:noHBand="0" w:noVBand="1" w:val="04A0"/>
        <w:jc w:val="left"/>
        <w:tblInd w:w="120" w:type="dxa"/>
      </w:tblPr>
      <w:tblGrid>
        <w:gridCol w:w="2350"/>
        <w:gridCol w:w="7010"/>
      </w:tblGrid>
      <w:tr>
        <w:trPr>
          <w:tblHeader w:val="true"/>
          <w:cantSplit w:val="true"/>
        </w:trPr>
        <w:tc>
          <w:tcPr>
            <w:tcW w:type="dxa" w:w="23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Gate</w:t>
            </w:r>
          </w:p>
        </w:tc>
        <w:tc>
          <w:tcPr>
            <w:tcW w:type="dxa" w:w="70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Required evidence</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Correctness</w:t>
            </w:r>
          </w:p>
        </w:tc>
        <w:tc>
          <w:tcPr>
            <w:tcW w:type="dxa" w:w="7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All INV-01–INV-10 negative/positive tests pass; no skipped financial integration tests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Contracts</w:t>
            </w:r>
          </w:p>
        </w:tc>
        <w:tc>
          <w:tcPr>
            <w:tcW w:type="dxa" w:w="7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OpenAPI validates; committed example requests/responses pass; event schemas versioned</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Concurrency</w:t>
            </w:r>
          </w:p>
        </w:tc>
        <w:tc>
          <w:tcPr>
            <w:tcW w:type="dxa" w:w="7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Mandatory race suite passes repeatedly in CI or a documented stress job</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Security</w:t>
            </w:r>
          </w:p>
        </w:tc>
        <w:tc>
          <w:tcPr>
            <w:tcW w:type="dxa" w:w="7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Tenant isolation, signature/replay, webhook SSRF, CSV abuse, and secret scans pass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Operations</w:t>
            </w:r>
          </w:p>
        </w:tc>
        <w:tc>
          <w:tcPr>
            <w:tcW w:type="dxa" w:w="7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Health behavior, metrics, trace correlation, backlogs, and runbooks verified</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Recovery</w:t>
            </w:r>
          </w:p>
        </w:tc>
        <w:tc>
          <w:tcPr>
            <w:tcW w:type="dxa" w:w="7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Broker outage and crash-after-publish tests pass; database restore exercise documented</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Reproducibility</w:t>
            </w:r>
          </w:p>
        </w:tc>
        <w:tc>
          <w:tcPr>
            <w:tcW w:type="dxa" w:w="7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Fresh clone, migration, seed, and demo succeed using documented commands</w:t>
            </w:r>
          </w:p>
        </w:tc>
      </w:tr>
      <w:tr>
        <w:trPr>
          <w:cantSplit w:val="true"/>
        </w:trPr>
        <w:tc>
          <w:tcPr>
            <w:tcW w:type="dxa" w:w="23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Documentation</w:t>
            </w:r>
          </w:p>
        </w:tc>
        <w:tc>
          <w:tcPr>
            <w:tcW w:type="dxa" w:w="70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README, architecture, ERD, ADRs, API, contribution, security policy, and limitations complete</w:t>
            </w:r>
          </w:p>
        </w:tc>
      </w:tr>
    </w:tbl>
    <w:p>
      <w:pPr>
        <w:spacing w:after="40"/>
      </w:pPr>
    </w:p>
    <w:p>
      <w:pPr>
        <w:pStyle w:val="Heading1"/>
      </w:pPr>
      <w:r>
        <w:t>Delivery and Repository Plan</w:t>
      </w:r>
    </w:p>
    <w:p>
      <w:pPr>
        <w:pStyle w:val="Heading2"/>
      </w:pPr>
      <w:r>
        <w:t>Delivery approach</w:t>
      </w:r>
    </w:p>
    <w:p>
      <w:pPr>
        <w:keepNext w:val="0"/>
        <w:keepLines w:val="0"/>
      </w:pPr>
      <w:r>
        <w:rPr>
          <w:rFonts w:ascii="Calibri" w:hAnsi="Calibri" w:eastAsia="Calibri"/>
          <w:i w:val="0"/>
          <w:color w:val="1F2933"/>
        </w:rPr>
        <w:t>A complete finance-grade demonstration is larger than a credible two-week implementation if quality gates are honored. The recommended baseline is five to six focused weeks for one engineer. If a 14-day deadline is fixed, deliver a P0 demo cut with basic CSV reconciliation and defer P1 authorization, dashboards, and advanced recovery automation; do not remove ledger, idempotency, outbox/inbox, concurrency tests, or SSRF controls.</w:t>
      </w:r>
    </w:p>
    <w:p>
      <w:pPr>
        <w:pStyle w:val="Caption"/>
        <w:keepNext/>
        <w:keepLines w:val="0"/>
      </w:pPr>
      <w:r>
        <w:t>Table 39. Milestone plan</w:t>
      </w:r>
    </w:p>
    <w:tbl>
      <w:tblPr>
        <w:tblW w:type="dxa" w:w="9360"/>
        <w:tblLayout w:type="fixed"/>
        <w:tblLook w:firstColumn="1" w:firstRow="1" w:lastColumn="0" w:lastRow="0" w:noHBand="0" w:noVBand="1" w:val="04A0"/>
        <w:jc w:val="left"/>
        <w:tblInd w:w="120" w:type="dxa"/>
      </w:tblPr>
      <w:tblGrid>
        <w:gridCol w:w="2050"/>
        <w:gridCol w:w="5000"/>
        <w:gridCol w:w="2310"/>
      </w:tblGrid>
      <w:tr>
        <w:trPr>
          <w:tblHeader w:val="true"/>
          <w:cantSplit w:val="true"/>
        </w:trPr>
        <w:tc>
          <w:tcPr>
            <w:tcW w:type="dxa" w:w="20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Milestone</w:t>
            </w:r>
          </w:p>
        </w:tc>
        <w:tc>
          <w:tcPr>
            <w:tcW w:type="dxa" w:w="50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Primary deliverables</w:t>
            </w:r>
          </w:p>
        </w:tc>
        <w:tc>
          <w:tcPr>
            <w:tcW w:type="dxa" w:w="23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Exit condition</w:t>
            </w:r>
          </w:p>
        </w:tc>
      </w:tr>
      <w:tr>
        <w:trPr>
          <w:cantSplit w:val="true"/>
        </w:trPr>
        <w:tc>
          <w:tcPr>
            <w:tcW w:type="dxa" w:w="20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M0 — Design and foundation</w:t>
            </w:r>
          </w:p>
        </w:tc>
        <w:tc>
          <w:tcPr>
            <w:tcW w:type="dxa" w:w="5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Repository, modules, Compose, migrations, merchant/API keys, error/idempotency skeleton, CI</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Fresh setup works; ADR-001–003 accepted</w:t>
            </w:r>
          </w:p>
        </w:tc>
      </w:tr>
      <w:tr>
        <w:trPr>
          <w:cantSplit w:val="true"/>
        </w:trPr>
        <w:tc>
          <w:tcPr>
            <w:tcW w:type="dxa" w:w="20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M1 — Payments and ledger</w:t>
            </w:r>
          </w:p>
        </w:tc>
        <w:tc>
          <w:tcPr>
            <w:tcW w:type="dxa" w:w="5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Create/read, capture, refund, ledger schema/triggers, invariants, concurrency tests</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FR-02–06 and INV-01–10 pass</w:t>
            </w:r>
          </w:p>
        </w:tc>
      </w:tr>
      <w:tr>
        <w:trPr>
          <w:cantSplit w:val="true"/>
        </w:trPr>
        <w:tc>
          <w:tcPr>
            <w:tcW w:type="dxa" w:w="20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M2 — Eventing and webhooks</w:t>
            </w:r>
          </w:p>
        </w:tc>
        <w:tc>
          <w:tcPr>
            <w:tcW w:type="dxa" w:w="5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Outbox lease relay, RabbitMQ, inbox, endpoint lifecycle, signing, retry/DLQ/replay, SSRF controls</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Crash/duplicate/security scenarios pass</w:t>
            </w:r>
          </w:p>
        </w:tc>
      </w:tr>
      <w:tr>
        <w:trPr>
          <w:cantSplit w:val="true"/>
        </w:trPr>
        <w:tc>
          <w:tcPr>
            <w:tcW w:type="dxa" w:w="20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M3 — Settlement and reconciliation</w:t>
            </w:r>
          </w:p>
        </w:tc>
        <w:tc>
          <w:tcPr>
            <w:tcW w:type="dxa" w:w="5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Batch algorithm, adjustments, CSV staging/matching/report, deterministic fixtures</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Dual-worker and golden-report tests pass</w:t>
            </w:r>
          </w:p>
        </w:tc>
      </w:tr>
      <w:tr>
        <w:trPr>
          <w:cantSplit w:val="true"/>
        </w:trPr>
        <w:tc>
          <w:tcPr>
            <w:tcW w:type="dxa" w:w="20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M4 — Operations and hardening</w:t>
            </w:r>
          </w:p>
        </w:tc>
        <w:tc>
          <w:tcPr>
            <w:tcW w:type="dxa" w:w="5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Telemetry, probes, runbooks, load tests, backup/restore, contract tests</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Operational and performance gates pass</w:t>
            </w:r>
          </w:p>
        </w:tc>
      </w:tr>
      <w:tr>
        <w:trPr>
          <w:cantSplit w:val="true"/>
        </w:trPr>
        <w:tc>
          <w:tcPr>
            <w:tcW w:type="dxa" w:w="20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M5 — Public release</w:t>
            </w:r>
          </w:p>
        </w:tc>
        <w:tc>
          <w:tcPr>
            <w:tcW w:type="dxa" w:w="50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README, diagrams, ADRs, OpenAPI, examples, demo video, release notes, license/security policy</w:t>
            </w:r>
          </w:p>
        </w:tc>
        <w:tc>
          <w:tcPr>
            <w:tcW w:type="dxa" w:w="23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Clean-room review and v1.0 checklist approved</w:t>
            </w:r>
          </w:p>
        </w:tc>
      </w:tr>
    </w:tbl>
    <w:p>
      <w:pPr>
        <w:spacing w:after="40"/>
      </w:pPr>
    </w:p>
    <w:p>
      <w:pPr>
        <w:pStyle w:val="Heading2"/>
      </w:pPr>
      <w:r>
        <w:t>Recommended repository structure</w:t>
      </w:r>
    </w:p>
    <w:p>
      <w:pPr>
        <w:spacing w:before="80" w:after="160" w:line="240" w:lineRule="auto"/>
        <w:ind w:left="216" w:right="216"/>
        <w:shd w:fill="F6F8FA"/>
        <w:keepNext w:val="0"/>
        <w:keepLines/>
        <w:pBdr>
          <w:left w:val="single" w:sz="8" w:space="4" w:color="AAB7C4"/>
        </w:pBdr>
      </w:pPr>
      <w:r>
        <w:rPr>
          <w:rFonts w:ascii="Consolas" w:hAnsi="Consolas" w:eastAsia="Consolas"/>
          <w:color w:val="243447"/>
          <w:sz w:val="17"/>
        </w:rPr>
        <w:t>settleflow/</w:t>
        <w:br/>
        <w:t>├── apps/api/                 # HTTP entrypoint</w:t>
        <w:br/>
        <w:t>├── apps/worker/              # relay, consumers, scheduled jobs</w:t>
        <w:br/>
        <w:t>├── packages/domain/          # pure domain types and policies</w:t>
        <w:br/>
        <w:t>├── packages/modules/         # merchant, payments, ledger, webhooks, settlement, reconciliation</w:t>
        <w:br/>
        <w:t>├── packages/infrastructure/  # database, RabbitMQ, HTTP, crypto, telemetry adapters</w:t>
        <w:br/>
        <w:t>├── prisma/                   # schema, migrations, seed</w:t>
        <w:br/>
        <w:t>├── test/                     # integration, concurrency, failure injection</w:t>
        <w:br/>
        <w:t>├── perf/                     # k6 scenarios and environment notes</w:t>
        <w:br/>
        <w:t>├── docs/                     # architecture, ERD, ADRs, runbooks, threat model</w:t>
        <w:br/>
        <w:t>├── examples/                 # Postman/Bruno collection, CSV fixtures, sample reports</w:t>
        <w:br/>
        <w:t>├── .github/workflows/        # CI, security, release</w:t>
        <w:br/>
        <w:t>├── docker-compose.yml</w:t>
        <w:br/>
        <w:t>├── SECURITY.md  CONTRIBUTING.md  LICENSE</w:t>
        <w:br/>
        <w:t>└── README.md</w:t>
      </w:r>
    </w:p>
    <w:p>
      <w:pPr>
        <w:pStyle w:val="Heading2"/>
      </w:pPr>
      <w:r>
        <w:t>CI/CD pipeline</w:t>
      </w:r>
    </w:p>
    <w:p>
      <w:pPr>
        <w:pStyle w:val="Caption"/>
        <w:keepNext/>
        <w:keepLines w:val="0"/>
      </w:pPr>
      <w:r>
        <w:t>Table 40. Pipeline stages</w:t>
      </w:r>
    </w:p>
    <w:tbl>
      <w:tblPr>
        <w:tblW w:type="dxa" w:w="9360"/>
        <w:tblLayout w:type="fixed"/>
        <w:tblLook w:firstColumn="1" w:firstRow="1" w:lastColumn="0" w:lastRow="0" w:noHBand="0" w:noVBand="1" w:val="04A0"/>
        <w:jc w:val="left"/>
        <w:tblInd w:w="120" w:type="dxa"/>
      </w:tblPr>
      <w:tblGrid>
        <w:gridCol w:w="1800"/>
        <w:gridCol w:w="5660"/>
        <w:gridCol w:w="1900"/>
      </w:tblGrid>
      <w:tr>
        <w:trPr>
          <w:tblHeader w:val="true"/>
          <w:cantSplit w:val="true"/>
        </w:trPr>
        <w:tc>
          <w:tcPr>
            <w:tcW w:type="dxa" w:w="18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Stage</w:t>
            </w:r>
          </w:p>
        </w:tc>
        <w:tc>
          <w:tcPr>
            <w:tcW w:type="dxa" w:w="56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Checks / artifacts</w:t>
            </w:r>
          </w:p>
        </w:tc>
        <w:tc>
          <w:tcPr>
            <w:tcW w:type="dxa" w:w="1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Blocking</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Static</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format, lint, typecheck, boundary rules, migration/style checks</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Yes</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Unit</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domain and adapter unit tests with coverage trend</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Yes</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Integration</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PostgreSQL/RabbitMQ Testcontainers; migrations; API; workers</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Yes</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Security</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dependency review, secret scan, SAST, container scan, pinned actions</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Yes for high severity</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Concurrency</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capture/refund/idempotency/relay/settlement race suite</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Yes on main/release; selective on PR</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Performance smoke</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short k6 thresholds and report</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Yes on main; extended scheduled</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Build</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API/worker multi-stage images, SBOM/provenance where practical</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Yes</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Contract artifacts</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openapi.json, schemas, coverage/performance summaries</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Published</w:t>
            </w:r>
          </w:p>
        </w:tc>
      </w:tr>
      <w:tr>
        <w:trPr>
          <w:cantSplit w:val="true"/>
        </w:trPr>
        <w:tc>
          <w:tcPr>
            <w:tcW w:type="dxa" w:w="1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Release</w:t>
            </w:r>
          </w:p>
        </w:tc>
        <w:tc>
          <w:tcPr>
            <w:tcW w:type="dxa" w:w="56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tagged images and changelog after all gates</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Manual approval</w:t>
            </w:r>
          </w:p>
        </w:tc>
      </w:tr>
    </w:tbl>
    <w:p>
      <w:pPr>
        <w:spacing w:after="40"/>
      </w:pPr>
    </w:p>
    <w:p>
      <w:pPr>
        <w:pStyle w:val="Heading2"/>
      </w:pPr>
      <w:r>
        <w:t>Public case-study evidence</w:t>
      </w:r>
    </w:p>
    <w:p>
      <w:pPr>
        <w:keepNext w:val="0"/>
        <w:keepLines/>
        <w:numPr>
          <w:ilvl w:val="0"/>
          <w:numId w:val="10"/>
        </w:numPr>
      </w:pPr>
      <w:r>
        <w:rPr>
          <w:rFonts w:ascii="Calibri" w:hAnsi="Calibri" w:eastAsia="Calibri"/>
          <w:color w:val="1F2933"/>
        </w:rPr>
        <w:t>README that leads with the problem, guarantees, architecture, five-minute demo, and known limitations.</w:t>
      </w:r>
    </w:p>
    <w:p>
      <w:pPr>
        <w:keepNext w:val="0"/>
        <w:keepLines/>
        <w:numPr>
          <w:ilvl w:val="0"/>
          <w:numId w:val="10"/>
        </w:numPr>
      </w:pPr>
      <w:r>
        <w:rPr>
          <w:rFonts w:ascii="Calibri" w:hAnsi="Calibri" w:eastAsia="Calibri"/>
          <w:color w:val="1F2933"/>
        </w:rPr>
        <w:t>Architecture, reliable-flow, and state-model diagrams consistent with the code and schema.</w:t>
      </w:r>
    </w:p>
    <w:p>
      <w:pPr>
        <w:keepNext w:val="0"/>
        <w:keepLines/>
        <w:numPr>
          <w:ilvl w:val="0"/>
          <w:numId w:val="10"/>
        </w:numPr>
      </w:pPr>
      <w:r>
        <w:rPr>
          <w:rFonts w:ascii="Calibri" w:hAnsi="Calibri" w:eastAsia="Calibri"/>
          <w:color w:val="1F2933"/>
        </w:rPr>
        <w:t>ADRs for modular monolith, PostgreSQL, outbox/inbox, payment/settlement state separation, and raw SQL policy.</w:t>
      </w:r>
    </w:p>
    <w:p>
      <w:pPr>
        <w:keepNext w:val="0"/>
        <w:keepLines/>
        <w:numPr>
          <w:ilvl w:val="0"/>
          <w:numId w:val="10"/>
        </w:numPr>
      </w:pPr>
      <w:r>
        <w:rPr>
          <w:rFonts w:ascii="Calibri" w:hAnsi="Calibri" w:eastAsia="Calibri"/>
          <w:color w:val="1F2933"/>
        </w:rPr>
        <w:t>OpenAPI JSON/UI, example collection, deterministic seeds, reconciliation CSV, sample settlement export, and example problem responses.</w:t>
      </w:r>
    </w:p>
    <w:p>
      <w:pPr>
        <w:keepNext w:val="0"/>
        <w:keepLines/>
        <w:numPr>
          <w:ilvl w:val="0"/>
          <w:numId w:val="10"/>
        </w:numPr>
      </w:pPr>
      <w:r>
        <w:rPr>
          <w:rFonts w:ascii="Calibri" w:hAnsi="Calibri" w:eastAsia="Calibri"/>
          <w:color w:val="1F2933"/>
        </w:rPr>
        <w:t>CI badges linked to meaningful checks, not only a build step; selected test and k6 output summarized in docs.</w:t>
      </w:r>
    </w:p>
    <w:p>
      <w:pPr>
        <w:keepNext w:val="0"/>
        <w:keepLines/>
        <w:numPr>
          <w:ilvl w:val="0"/>
          <w:numId w:val="10"/>
        </w:numPr>
      </w:pPr>
      <w:r>
        <w:rPr>
          <w:rFonts w:ascii="Calibri" w:hAnsi="Calibri" w:eastAsia="Calibri"/>
          <w:color w:val="1F2933"/>
        </w:rPr>
        <w:t>A two-to-three minute demo: retry storm → one capture/ledger post; signed webhook retry → delivery; settlement → reconciliation mismatches.</w:t>
      </w:r>
    </w:p>
    <w:p>
      <w:pPr>
        <w:pStyle w:val="Heading2"/>
      </w:pPr>
      <w:r>
        <w:t>Open-source governance</w:t>
      </w:r>
    </w:p>
    <w:p>
      <w:pPr>
        <w:pStyle w:val="Caption"/>
        <w:keepNext/>
        <w:keepLines w:val="0"/>
      </w:pPr>
      <w:r>
        <w:t>Table 41. Repository governance artifacts</w:t>
      </w:r>
    </w:p>
    <w:tbl>
      <w:tblPr>
        <w:tblW w:type="dxa" w:w="9360"/>
        <w:tblLayout w:type="fixed"/>
        <w:tblLook w:firstColumn="1" w:firstRow="1" w:lastColumn="0" w:lastRow="0" w:noHBand="0" w:noVBand="1" w:val="04A0"/>
        <w:jc w:val="left"/>
        <w:tblInd w:w="120" w:type="dxa"/>
      </w:tblPr>
      <w:tblGrid>
        <w:gridCol w:w="2200"/>
        <w:gridCol w:w="7160"/>
      </w:tblGrid>
      <w:tr>
        <w:trPr>
          <w:tblHeader w:val="true"/>
          <w:cantSplit w:val="true"/>
        </w:trPr>
        <w:tc>
          <w:tcPr>
            <w:tcW w:type="dxa" w:w="2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Artifact</w:t>
            </w:r>
          </w:p>
        </w:tc>
        <w:tc>
          <w:tcPr>
            <w:tcW w:type="dxa" w:w="71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Minimum content</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LICENSE</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Choose and state an approved open-source license before release</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CONTRIBUTING.md</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Setup, branch/PR rules, tests, migrations, ADR expectations, code of conduct link</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SECURITY.md</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Supported versions, private reporting channel, no real data/secrets, response expectations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CODEOWNERS</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Ownership for schema/migrations, ledger, security, and release workflows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Issue/PR templates</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Problem, scope, invariant/security impact, test evidence, migration/rollback notes</w:t>
            </w:r>
          </w:p>
        </w:tc>
      </w:tr>
      <w:tr>
        <w:trPr>
          <w:cantSplit w:val="true"/>
        </w:trPr>
        <w:tc>
          <w:tcPr>
            <w:tcW w:type="dxa" w:w="2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Release notes</w:t>
            </w:r>
          </w:p>
        </w:tc>
        <w:tc>
          <w:tcPr>
            <w:tcW w:type="dxa" w:w="71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Behavioral changes, schema changes, known limitations, upgrade instructions</w:t>
            </w:r>
          </w:p>
        </w:tc>
      </w:tr>
    </w:tbl>
    <w:p>
      <w:pPr>
        <w:spacing w:after="40"/>
      </w:pPr>
    </w:p>
    <w:p>
      <w:pPr>
        <w:pStyle w:val="Heading1"/>
      </w:pPr>
      <w:r>
        <w:t>Risks, Decisions, and Open Questions</w:t>
      </w:r>
    </w:p>
    <w:p>
      <w:pPr>
        <w:pStyle w:val="Heading2"/>
      </w:pPr>
      <w:r>
        <w:t>Risk register</w:t>
      </w:r>
    </w:p>
    <w:p>
      <w:pPr>
        <w:pStyle w:val="Caption"/>
        <w:keepNext/>
        <w:keepLines w:val="0"/>
      </w:pPr>
      <w:r>
        <w:t>Table 42. Delivery and technical risks</w:t>
      </w:r>
    </w:p>
    <w:tbl>
      <w:tblPr>
        <w:tblW w:type="dxa" w:w="9360"/>
        <w:tblLayout w:type="fixed"/>
        <w:tblLook w:firstColumn="1" w:firstRow="1" w:lastColumn="0" w:lastRow="0" w:noHBand="0" w:noVBand="1" w:val="04A0"/>
        <w:jc w:val="left"/>
        <w:tblInd w:w="120" w:type="dxa"/>
      </w:tblPr>
      <w:tblGrid>
        <w:gridCol w:w="1900"/>
        <w:gridCol w:w="1600"/>
        <w:gridCol w:w="3830"/>
        <w:gridCol w:w="2030"/>
      </w:tblGrid>
      <w:tr>
        <w:trPr>
          <w:tblHeader w:val="true"/>
          <w:cantSplit w:val="true"/>
        </w:trPr>
        <w:tc>
          <w:tcPr>
            <w:tcW w:type="dxa" w:w="1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Risk</w:t>
            </w:r>
          </w:p>
        </w:tc>
        <w:tc>
          <w:tcPr>
            <w:tcW w:type="dxa" w:w="16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Likelihood / impact</w:t>
            </w:r>
          </w:p>
        </w:tc>
        <w:tc>
          <w:tcPr>
            <w:tcW w:type="dxa" w:w="383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Mitigation</w:t>
            </w:r>
          </w:p>
        </w:tc>
        <w:tc>
          <w:tcPr>
            <w:tcW w:type="dxa" w:w="203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Trigger / owner action</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Scope expansion</w:t>
            </w:r>
          </w:p>
        </w:tc>
        <w:tc>
          <w:tcPr>
            <w:tcW w:type="dxa" w:w="1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High / High</w:t>
            </w:r>
          </w:p>
        </w:tc>
        <w:tc>
          <w:tcPr>
            <w:tcW w:type="dxa" w:w="38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Protect P0; move additions to P1/P2; require change note</w:t>
            </w:r>
          </w:p>
        </w:tc>
        <w:tc>
          <w:tcPr>
            <w:tcW w:type="dxa" w:w="20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Any new module or external integration → re-estimate</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Ledger defect</w:t>
            </w:r>
          </w:p>
        </w:tc>
        <w:tc>
          <w:tcPr>
            <w:tcW w:type="dxa" w:w="1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Medium / Critical</w:t>
            </w:r>
          </w:p>
        </w:tc>
        <w:tc>
          <w:tcPr>
            <w:tcW w:type="dxa" w:w="38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DB invariants, pure posting builder, golden examples, independent review</w:t>
            </w:r>
          </w:p>
        </w:tc>
        <w:tc>
          <w:tcPr>
            <w:tcW w:type="dxa" w:w="20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Any invariant failure → stop release</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False exactly-once assumption</w:t>
            </w:r>
          </w:p>
        </w:tc>
        <w:tc>
          <w:tcPr>
            <w:tcW w:type="dxa" w:w="1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Medium / High</w:t>
            </w:r>
          </w:p>
        </w:tc>
        <w:tc>
          <w:tcPr>
            <w:tcW w:type="dxa" w:w="38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Document at-least-once; event IDs; inbox; failure injection</w:t>
            </w:r>
          </w:p>
        </w:tc>
        <w:tc>
          <w:tcPr>
            <w:tcW w:type="dxa" w:w="20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Duplicate effect → incident and gate failure</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ORM hides critical SQL behavior</w:t>
            </w:r>
          </w:p>
        </w:tc>
        <w:tc>
          <w:tcPr>
            <w:tcW w:type="dxa" w:w="1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Medium / High</w:t>
            </w:r>
          </w:p>
        </w:tc>
        <w:tc>
          <w:tcPr>
            <w:tcW w:type="dxa" w:w="38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Reviewed raw SQL for locks/claims; explain plans; integration tests</w:t>
            </w:r>
          </w:p>
        </w:tc>
        <w:tc>
          <w:tcPr>
            <w:tcW w:type="dxa" w:w="20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Unclear generated query → replace or prove</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Webhook SSRF</w:t>
            </w:r>
          </w:p>
        </w:tc>
        <w:tc>
          <w:tcPr>
            <w:tcW w:type="dxa" w:w="1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Medium / Critical</w:t>
            </w:r>
          </w:p>
        </w:tc>
        <w:tc>
          <w:tcPr>
            <w:tcW w:type="dxa" w:w="38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Validation, DNS/IP controls, no redirects, egress restriction</w:t>
            </w:r>
          </w:p>
        </w:tc>
        <w:tc>
          <w:tcPr>
            <w:tcW w:type="dxa" w:w="20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Blocked target bypass → stop release</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Unrealistic performance claims</w:t>
            </w:r>
          </w:p>
        </w:tc>
        <w:tc>
          <w:tcPr>
            <w:tcW w:type="dxa" w:w="1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Medium / Medium</w:t>
            </w:r>
          </w:p>
        </w:tc>
        <w:tc>
          <w:tcPr>
            <w:tcW w:type="dxa" w:w="38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Publish environment and workload; call targets reference-only</w:t>
            </w:r>
          </w:p>
        </w:tc>
        <w:tc>
          <w:tcPr>
            <w:tcW w:type="dxa" w:w="20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Changed environment → rerun and label</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Documentation drift</w:t>
            </w:r>
          </w:p>
        </w:tc>
        <w:tc>
          <w:tcPr>
            <w:tcW w:type="dxa" w:w="1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High / Medium</w:t>
            </w:r>
          </w:p>
        </w:tc>
        <w:tc>
          <w:tcPr>
            <w:tcW w:type="dxa" w:w="38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Contract generation, ADR review, docs checklist in PR template</w:t>
            </w:r>
          </w:p>
        </w:tc>
        <w:tc>
          <w:tcPr>
            <w:tcW w:type="dxa" w:w="20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Schema/contract change without docs → block PR</w:t>
            </w:r>
          </w:p>
        </w:tc>
      </w:tr>
      <w:tr>
        <w:trPr>
          <w:cantSplit w:val="true"/>
        </w:trPr>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Maintainer overload</w:t>
            </w:r>
          </w:p>
        </w:tc>
        <w:tc>
          <w:tcPr>
            <w:tcW w:type="dxa" w:w="16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Medium / Medium</w:t>
            </w:r>
          </w:p>
        </w:tc>
        <w:tc>
          <w:tcPr>
            <w:tcW w:type="dxa" w:w="38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Small dependency set, modular ownership, automation, deferred P2</w:t>
            </w:r>
          </w:p>
        </w:tc>
        <w:tc>
          <w:tcPr>
            <w:tcW w:type="dxa" w:w="203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5"/>
              </w:rPr>
              <w:t>Rising unresolved issues → reduce roadmap</w:t>
            </w:r>
          </w:p>
        </w:tc>
      </w:tr>
    </w:tbl>
    <w:p>
      <w:pPr>
        <w:spacing w:after="40"/>
      </w:pPr>
    </w:p>
    <w:p>
      <w:pPr>
        <w:pStyle w:val="Heading2"/>
      </w:pPr>
      <w:r>
        <w:t>Recorded baseline decisions</w:t>
      </w:r>
    </w:p>
    <w:p>
      <w:pPr>
        <w:pStyle w:val="Caption"/>
        <w:keepNext/>
        <w:keepLines w:val="0"/>
      </w:pPr>
      <w:r>
        <w:t>Table 43. Initial ADR register</w:t>
      </w:r>
    </w:p>
    <w:tbl>
      <w:tblPr>
        <w:tblW w:type="dxa" w:w="9360"/>
        <w:tblLayout w:type="fixed"/>
        <w:tblLook w:firstColumn="1" w:firstRow="1" w:lastColumn="0" w:lastRow="0" w:noHBand="0" w:noVBand="1" w:val="04A0"/>
        <w:jc w:val="left"/>
        <w:tblInd w:w="120" w:type="dxa"/>
      </w:tblPr>
      <w:tblGrid>
        <w:gridCol w:w="1200"/>
        <w:gridCol w:w="6460"/>
        <w:gridCol w:w="1700"/>
      </w:tblGrid>
      <w:tr>
        <w:trPr>
          <w:tblHeader w:val="true"/>
          <w:cantSplit w:val="true"/>
        </w:trPr>
        <w:tc>
          <w:tcPr>
            <w:tcW w:type="dxa" w:w="12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ADR</w:t>
            </w:r>
          </w:p>
        </w:tc>
        <w:tc>
          <w:tcPr>
            <w:tcW w:type="dxa" w:w="64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Decision</w:t>
            </w:r>
          </w:p>
        </w:tc>
        <w:tc>
          <w:tcPr>
            <w:tcW w:type="dxa" w:w="17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Status</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ADR-001</w:t>
            </w:r>
          </w:p>
        </w:tc>
        <w:tc>
          <w:tcPr>
            <w:tcW w:type="dxa" w:w="6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Use a modular monolith with API and worker deployables</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Accepted baseline</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ADR-002</w:t>
            </w:r>
          </w:p>
        </w:tc>
        <w:tc>
          <w:tcPr>
            <w:tcW w:type="dxa" w:w="6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Use PostgreSQL as financial source of truth and RabbitMQ for asynchronous delivery</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Accepted baseline</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ADR-003</w:t>
            </w:r>
          </w:p>
        </w:tc>
        <w:tc>
          <w:tcPr>
            <w:tcW w:type="dxa" w:w="6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Use transactional outbox and consumer inbox; claim through leases</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Accepted baseline</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ADR-004</w:t>
            </w:r>
          </w:p>
        </w:tc>
        <w:tc>
          <w:tcPr>
            <w:tcW w:type="dxa" w:w="6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Separate payment status from settlement status</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Accepted baseline</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ADR-005</w:t>
            </w:r>
          </w:p>
        </w:tc>
        <w:tc>
          <w:tcPr>
            <w:tcW w:type="dxa" w:w="6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Use Prisma for routine access and reviewed parameterized SQL for critical lock/claim paths</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Accepted baseline</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ADR-006</w:t>
            </w:r>
          </w:p>
        </w:tc>
        <w:tc>
          <w:tcPr>
            <w:tcW w:type="dxa" w:w="6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 not include Redis in v1.0 without a measured use case</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Accepted baseline</w:t>
            </w:r>
          </w:p>
        </w:tc>
      </w:tr>
      <w:tr>
        <w:trPr>
          <w:cantSplit w:val="true"/>
        </w:trPr>
        <w:tc>
          <w:tcPr>
            <w:tcW w:type="dxa" w:w="12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ADR-007</w:t>
            </w:r>
          </w:p>
        </w:tc>
        <w:tc>
          <w:tcPr>
            <w:tcW w:type="dxa" w:w="64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Treat registered webhook URLs as an SSRF boundary</w:t>
            </w:r>
          </w:p>
        </w:tc>
        <w:tc>
          <w:tcPr>
            <w:tcW w:type="dxa" w:w="17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Accepted baseline</w:t>
            </w:r>
          </w:p>
        </w:tc>
      </w:tr>
    </w:tbl>
    <w:p>
      <w:pPr>
        <w:spacing w:after="40"/>
      </w:pPr>
    </w:p>
    <w:p>
      <w:pPr>
        <w:pStyle w:val="Heading2"/>
      </w:pPr>
      <w:r>
        <w:t>Open questions</w:t>
      </w:r>
    </w:p>
    <w:p>
      <w:pPr>
        <w:pStyle w:val="Caption"/>
        <w:keepNext/>
        <w:keepLines w:val="0"/>
      </w:pPr>
      <w:r>
        <w:t>Table 44. Questions to resolve before the affected milestone</w:t>
      </w:r>
    </w:p>
    <w:tbl>
      <w:tblPr>
        <w:tblW w:type="dxa" w:w="9360"/>
        <w:tblLayout w:type="fixed"/>
        <w:tblLook w:firstColumn="1" w:firstRow="1" w:lastColumn="0" w:lastRow="0" w:noHBand="0" w:noVBand="1" w:val="04A0"/>
        <w:jc w:val="left"/>
        <w:tblInd w:w="120" w:type="dxa"/>
      </w:tblPr>
      <w:tblGrid>
        <w:gridCol w:w="800"/>
        <w:gridCol w:w="4150"/>
        <w:gridCol w:w="1900"/>
        <w:gridCol w:w="2510"/>
      </w:tblGrid>
      <w:tr>
        <w:trPr>
          <w:tblHeader w:val="true"/>
          <w:cantSplit w:val="true"/>
        </w:trPr>
        <w:tc>
          <w:tcPr>
            <w:tcW w:type="dxa" w:w="8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ID</w:t>
            </w:r>
          </w:p>
        </w:tc>
        <w:tc>
          <w:tcPr>
            <w:tcW w:type="dxa" w:w="41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Question</w:t>
            </w:r>
          </w:p>
        </w:tc>
        <w:tc>
          <w:tcPr>
            <w:tcW w:type="dxa" w:w="1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Decision deadline</w:t>
            </w:r>
          </w:p>
        </w:tc>
        <w:tc>
          <w:tcPr>
            <w:tcW w:type="dxa" w:w="25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Default if unanswered</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OQ-01</w:t>
            </w:r>
          </w:p>
        </w:tc>
        <w:tc>
          <w:tcPr>
            <w:tcW w:type="dxa" w:w="4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Which currencies are enabled in the demo fixtures?</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Before M1</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ETB and USD; no conversion</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OQ-02</w:t>
            </w:r>
          </w:p>
        </w:tc>
        <w:tc>
          <w:tcPr>
            <w:tcW w:type="dxa" w:w="4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What fee model is demonstrated?</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Before M3</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Flat + basis-point formula, snapshotted per batch item</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OQ-03</w:t>
            </w:r>
          </w:p>
        </w:tc>
        <w:tc>
          <w:tcPr>
            <w:tcW w:type="dxa" w:w="4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What settlement cutoff timezone is used?</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Before M3</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Africa/Addis_Ababa, stored explicitly; timestamps UTC</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OQ-04</w:t>
            </w:r>
          </w:p>
        </w:tc>
        <w:tc>
          <w:tcPr>
            <w:tcW w:type="dxa" w:w="4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Which open-source license is selected?</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Before M5</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Do not publish a release until selected</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OQ-05</w:t>
            </w:r>
          </w:p>
        </w:tc>
        <w:tc>
          <w:tcPr>
            <w:tcW w:type="dxa" w:w="4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Will P1 authorization ship in v1.0?</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M1 exit</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Defer; keep direct capture baseline</w:t>
            </w:r>
          </w:p>
        </w:tc>
      </w:tr>
      <w:tr>
        <w:trPr>
          <w:cantSplit w:val="true"/>
        </w:trPr>
        <w:tc>
          <w:tcPr>
            <w:tcW w:type="dxa" w:w="8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OQ-06</w:t>
            </w:r>
          </w:p>
        </w:tc>
        <w:tc>
          <w:tcPr>
            <w:tcW w:type="dxa" w:w="4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Which telemetry backend is shown in Compose?</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Before M4</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Prometheus + Grafana; optional trace collector</w:t>
            </w:r>
          </w:p>
        </w:tc>
      </w:tr>
    </w:tbl>
    <w:p>
      <w:pPr>
        <w:spacing w:after="40"/>
      </w:pPr>
    </w:p>
    <w:p>
      <w:pPr>
        <w:pStyle w:val="Heading1"/>
      </w:pPr>
      <w:r>
        <w:t>Acceptance Baseline</w:t>
      </w:r>
    </w:p>
    <w:p>
      <w:pPr>
        <w:keepNext w:val="0"/>
        <w:keepLines w:val="0"/>
      </w:pPr>
      <w:r>
        <w:rPr>
          <w:rFonts w:ascii="Calibri" w:hAnsi="Calibri" w:eastAsia="Calibri"/>
          <w:i w:val="0"/>
          <w:color w:val="1F2933"/>
        </w:rPr>
        <w:t>The v1.0 implementation is accepted only when every P0 requirement is implemented or explicitly waived with rationale, risk, and owner. A passing happy-path demo alone is insufficient.</w:t>
      </w:r>
    </w:p>
    <w:p>
      <w:pPr>
        <w:pStyle w:val="Caption"/>
        <w:keepNext/>
        <w:keepLines w:val="0"/>
      </w:pPr>
      <w:r>
        <w:t>Table 45. Definition of done</w:t>
      </w:r>
    </w:p>
    <w:tbl>
      <w:tblPr>
        <w:tblW w:type="dxa" w:w="9360"/>
        <w:tblLayout w:type="fixed"/>
        <w:tblLook w:firstColumn="1" w:firstRow="1" w:lastColumn="0" w:lastRow="0" w:noHBand="0" w:noVBand="1" w:val="04A0"/>
        <w:jc w:val="left"/>
        <w:tblInd w:w="120" w:type="dxa"/>
      </w:tblPr>
      <w:tblGrid>
        <w:gridCol w:w="2150"/>
        <w:gridCol w:w="7210"/>
      </w:tblGrid>
      <w:tr>
        <w:trPr>
          <w:tblHeader w:val="true"/>
          <w:cantSplit w:val="true"/>
        </w:trPr>
        <w:tc>
          <w:tcPr>
            <w:tcW w:type="dxa" w:w="21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Area</w:t>
            </w:r>
          </w:p>
        </w:tc>
        <w:tc>
          <w:tcPr>
            <w:tcW w:type="dxa" w:w="72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Acceptance condition</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Product</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FR-01–FR-14 satisfy detailed acceptance tests; P1 deferrals are visible</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Financial model</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INV-01–INV-10 enforced and proven with negative and concurrency tests</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Architecture</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API/worker boundaries, module rules, outbox/inbox, and separate lifecycles match code and docs</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Security</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Tenant isolation, key/secret lifecycle, webhook signature/replay, SSRF, file limits, and scans pass</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Reliability</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Defined failure modes recover to correct terminal state without manual financial row edits</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Operations</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Health, metrics, traces/log correlation, alerts, and six minimum runbooks are usable</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Performance</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Reference thresholds pass with the environment and limitations published</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Delivery</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Fresh clone setup, migrations, seeds, tests, OpenAPI, and demo are reproducible</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Governance</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License, contribution guide, security policy, ADRs, and release notes are present</w:t>
            </w:r>
          </w:p>
        </w:tc>
      </w:tr>
      <w:tr>
        <w:trPr>
          <w:cantSplit w:val="true"/>
        </w:trPr>
        <w:tc>
          <w:tcPr>
            <w:tcW w:type="dxa" w:w="21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Review</w:t>
            </w:r>
          </w:p>
        </w:tc>
        <w:tc>
          <w:tcPr>
            <w:tcW w:type="dxa" w:w="72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8"/>
              </w:rPr>
              <w:t>A second-person or clean-room review finds no blocker and signs the release checklist</w:t>
            </w:r>
          </w:p>
        </w:tc>
      </w:tr>
    </w:tbl>
    <w:p>
      <w:pPr>
        <w:spacing w:after="40"/>
      </w:pPr>
    </w:p>
    <w:p>
      <w:pPr>
        <w:spacing w:before="120" w:after="160" w:line="264" w:lineRule="auto"/>
        <w:ind w:left="173" w:right="115"/>
        <w:shd w:fill="FDF1F1"/>
        <w:keepNext w:val="0"/>
        <w:keepLines/>
        <w:pBdr>
          <w:left w:val="single" w:sz="14" w:space="6" w:color="9B1C1C"/>
        </w:pBdr>
      </w:pPr>
      <w:r>
        <w:rPr>
          <w:rFonts w:ascii="Calibri" w:hAnsi="Calibri" w:eastAsia="Calibri"/>
          <w:b/>
          <w:color w:val="9B1C1C"/>
        </w:rPr>
        <w:t xml:space="preserve">Final release rule: </w:t>
      </w:r>
      <w:r>
        <w:rPr>
          <w:rFonts w:ascii="Calibri" w:hAnsi="Calibri" w:eastAsia="Calibri"/>
          <w:color w:val="1F2933"/>
        </w:rPr>
        <w:t>If a correctness, tenant-isolation, secret-exposure, webhook-SSRF, migration, or recovery blocker remains, the project stays pre-release even if the public demo appears to work.</w:t>
      </w:r>
    </w:p>
    <w:p>
      <w:pPr>
        <w:pStyle w:val="Heading1"/>
        <w:pageBreakBefore/>
      </w:pPr>
      <w:r>
        <w:t>Appendices</w:t>
      </w:r>
    </w:p>
    <w:p>
      <w:pPr>
        <w:pStyle w:val="Heading2"/>
      </w:pPr>
      <w:r>
        <w:t>Appendix A — Requirement traceability</w:t>
      </w:r>
    </w:p>
    <w:p>
      <w:pPr>
        <w:pStyle w:val="Caption"/>
        <w:keepNext/>
        <w:keepLines w:val="0"/>
      </w:pPr>
      <w:r>
        <w:t>Table 46. P0 traceability matrix</w:t>
      </w:r>
    </w:p>
    <w:tbl>
      <w:tblPr>
        <w:tblW w:type="dxa" w:w="9360"/>
        <w:tblLayout w:type="fixed"/>
        <w:tblLook w:firstColumn="1" w:firstRow="1" w:lastColumn="0" w:lastRow="0" w:noHBand="0" w:noVBand="1" w:val="04A0"/>
        <w:jc w:val="left"/>
        <w:tblInd w:w="120" w:type="dxa"/>
      </w:tblPr>
      <w:tblGrid>
        <w:gridCol w:w="1300"/>
        <w:gridCol w:w="1900"/>
        <w:gridCol w:w="3650"/>
        <w:gridCol w:w="2510"/>
      </w:tblGrid>
      <w:tr>
        <w:trPr>
          <w:tblHeader w:val="true"/>
          <w:cantSplit w:val="true"/>
        </w:trPr>
        <w:tc>
          <w:tcPr>
            <w:tcW w:type="dxa" w:w="13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Requirement</w:t>
            </w:r>
          </w:p>
        </w:tc>
        <w:tc>
          <w:tcPr>
            <w:tcW w:type="dxa" w:w="19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Primary module</w:t>
            </w:r>
          </w:p>
        </w:tc>
        <w:tc>
          <w:tcPr>
            <w:tcW w:type="dxa" w:w="365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Primary verification</w:t>
            </w:r>
          </w:p>
        </w:tc>
        <w:tc>
          <w:tcPr>
            <w:tcW w:type="dxa" w:w="251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Release artifact</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FR-01</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Merchant Access</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Auth, scope, rotation, tenant-isolation integration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OpenAPI security scheme; SECURITY.md</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FR-02–04</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Payments + Ledger</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Lifecycle, negative, and race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OpenAPI; seeded demo; ledger examples</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FR-05</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Idempotency</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Replay, mismatch, in-progress, and storm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Idempotency ADR and examples</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FR-06</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Ledger</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Constraint/immutability tests and posting goldens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Schema notes and invariant matrix</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FR-07–08</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Eventing</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Crash-after-publish and before-ack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Reliable-flow diagram and ADR</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FR-09–10</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Webhooks</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Signature, SSRF, retry/DLQ/replay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Webhook guide and verifier example</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FR-11</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Settlements</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Dual-worker, totals, uniqueness, adjustment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Sample settlement export</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FR-12</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Reconciliation</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Golden CSV, duplicates, mismatch and resource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Sample CSV and report JSON</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FR-13</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Operations</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Health dependency and telemetry correlation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Dashboard screenshots/exports</w:t>
            </w:r>
          </w:p>
        </w:tc>
      </w:tr>
      <w:tr>
        <w:trPr>
          <w:cantSplit w:val="true"/>
        </w:trPr>
        <w:tc>
          <w:tcPr>
            <w:tcW w:type="dxa" w:w="13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FR-14</w:t>
            </w:r>
          </w:p>
        </w:tc>
        <w:tc>
          <w:tcPr>
            <w:tcW w:type="dxa" w:w="19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Operations</w:t>
            </w:r>
          </w:p>
        </w:tc>
        <w:tc>
          <w:tcPr>
            <w:tcW w:type="dxa" w:w="365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Privileged action and immutability tests</w:t>
            </w:r>
          </w:p>
        </w:tc>
        <w:tc>
          <w:tcPr>
            <w:tcW w:type="dxa" w:w="251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6"/>
              </w:rPr>
              <w:t>Audit-event documentation</w:t>
            </w:r>
          </w:p>
        </w:tc>
      </w:tr>
    </w:tbl>
    <w:p>
      <w:pPr>
        <w:spacing w:after="40"/>
      </w:pPr>
    </w:p>
    <w:p>
      <w:pPr>
        <w:pStyle w:val="Heading2"/>
      </w:pPr>
      <w:r>
        <w:t>Appendix B — Contract samples</w:t>
      </w:r>
    </w:p>
    <w:p>
      <w:pPr>
        <w:pStyle w:val="Heading3"/>
      </w:pPr>
      <w:r>
        <w:t>Create payment intent</w:t>
      </w:r>
    </w:p>
    <w:p>
      <w:pPr>
        <w:spacing w:before="80" w:after="160" w:line="240" w:lineRule="auto"/>
        <w:ind w:left="216" w:right="216"/>
        <w:shd w:fill="F6F8FA"/>
        <w:keepNext w:val="0"/>
        <w:keepLines/>
        <w:pBdr>
          <w:left w:val="single" w:sz="8" w:space="4" w:color="AAB7C4"/>
        </w:pBdr>
      </w:pPr>
      <w:r>
        <w:rPr>
          <w:rFonts w:ascii="Consolas" w:hAnsi="Consolas" w:eastAsia="Consolas"/>
          <w:color w:val="243447"/>
          <w:sz w:val="17"/>
        </w:rPr>
        <w:t>POST /v1/payment-intents</w:t>
        <w:br/>
        <w:t>Authorization: Bearer sk_test_...</w:t>
        <w:br/>
        <w:t>Idempotency-Key: pi-create-001</w:t>
        <w:br/>
        <w:t>Content-Type: application/json</w:t>
        <w:br/>
        <w:br/>
        <w:t>{ "externalRef": "order_1001", "currency": "ETB", "amountMinor": 125000, "captureMethod": "manual" }</w:t>
      </w:r>
    </w:p>
    <w:p>
      <w:pPr>
        <w:pStyle w:val="Heading3"/>
      </w:pPr>
      <w:r>
        <w:t>Capture result</w:t>
      </w:r>
    </w:p>
    <w:p>
      <w:pPr>
        <w:spacing w:before="80" w:after="160" w:line="240" w:lineRule="auto"/>
        <w:ind w:left="216" w:right="216"/>
        <w:shd w:fill="F6F8FA"/>
        <w:keepNext w:val="0"/>
        <w:keepLines/>
        <w:pBdr>
          <w:left w:val="single" w:sz="8" w:space="4" w:color="AAB7C4"/>
        </w:pBdr>
      </w:pPr>
      <w:r>
        <w:rPr>
          <w:rFonts w:ascii="Consolas" w:hAnsi="Consolas" w:eastAsia="Consolas"/>
          <w:color w:val="243447"/>
          <w:sz w:val="17"/>
        </w:rPr>
        <w:t>{</w:t>
        <w:br/>
        <w:t xml:space="preserve">  "id": "pi_01K...",</w:t>
        <w:br/>
        <w:t xml:space="preserve">  "paymentStatus": "captured",</w:t>
        <w:br/>
        <w:t xml:space="preserve">  "settlementStatus": "not_eligible",</w:t>
        <w:br/>
        <w:t xml:space="preserve">  "currency": "ETB",</w:t>
        <w:br/>
        <w:t xml:space="preserve">  "amountMinor": 125000,</w:t>
        <w:br/>
        <w:t xml:space="preserve">  "capturedAmountMinor": 125000,</w:t>
        <w:br/>
        <w:t xml:space="preserve">  "refundedAmountMinor": 0,</w:t>
        <w:br/>
        <w:t xml:space="preserve">  "ledgerTransactionId": "ltx_01K...",</w:t>
        <w:br/>
        <w:t xml:space="preserve">  "createdAt": "2026-07-31T10:20:12Z",</w:t>
        <w:br/>
        <w:t xml:space="preserve">  "updatedAt": "2026-07-31T10:21:03Z"</w:t>
        <w:br/>
        <w:t>}</w:t>
      </w:r>
    </w:p>
    <w:p>
      <w:pPr>
        <w:pStyle w:val="Heading3"/>
      </w:pPr>
      <w:r>
        <w:t>Reconciliation summary</w:t>
      </w:r>
    </w:p>
    <w:p>
      <w:pPr>
        <w:spacing w:before="80" w:after="160" w:line="240" w:lineRule="auto"/>
        <w:ind w:left="216" w:right="216"/>
        <w:shd w:fill="F6F8FA"/>
        <w:keepNext w:val="0"/>
        <w:keepLines/>
        <w:pBdr>
          <w:left w:val="single" w:sz="8" w:space="4" w:color="AAB7C4"/>
        </w:pBdr>
      </w:pPr>
      <w:r>
        <w:rPr>
          <w:rFonts w:ascii="Consolas" w:hAnsi="Consolas" w:eastAsia="Consolas"/>
          <w:color w:val="243447"/>
          <w:sz w:val="17"/>
        </w:rPr>
        <w:t>{</w:t>
        <w:br/>
        <w:t xml:space="preserve">  "importId": "rec_01K...",</w:t>
        <w:br/>
        <w:t xml:space="preserve">  "currency": "ETB",</w:t>
        <w:br/>
        <w:t xml:space="preserve">  "summary": {</w:t>
        <w:br/>
        <w:t xml:space="preserve">    "matchedExact": 188, "amountMismatch": 3, "currencyMismatch": 0,</w:t>
        <w:br/>
        <w:t xml:space="preserve">    "platformOnly": 4, "providerOnly": 2, "duplicateProviderRows": 1, "statusMismatch": 6</w:t>
        <w:br/>
        <w:t xml:space="preserve">  },</w:t>
        <w:br/>
        <w:t xml:space="preserve">  "totals": {</w:t>
        <w:br/>
        <w:t xml:space="preserve">    "platformGrossMinor": 128560000,</w:t>
        <w:br/>
        <w:t xml:space="preserve">    "providerGrossMinor": 128520000,</w:t>
        <w:br/>
        <w:t xml:space="preserve">    "unexplainedDifferenceMinor": 40000</w:t>
        <w:br/>
        <w:t xml:space="preserve">  }</w:t>
        <w:br/>
        <w:t>}</w:t>
      </w:r>
    </w:p>
    <w:p>
      <w:pPr>
        <w:pStyle w:val="Heading2"/>
      </w:pPr>
      <w:r>
        <w:t>Appendix C — Glossary</w:t>
      </w:r>
    </w:p>
    <w:p>
      <w:pPr>
        <w:pStyle w:val="Caption"/>
        <w:keepNext/>
        <w:keepLines w:val="0"/>
      </w:pPr>
      <w:r>
        <w:t>Table 47. Glossary</w:t>
      </w:r>
    </w:p>
    <w:tbl>
      <w:tblPr>
        <w:tblW w:type="dxa" w:w="9360"/>
        <w:tblLayout w:type="fixed"/>
        <w:tblLook w:firstColumn="1" w:firstRow="1" w:lastColumn="0" w:lastRow="0" w:noHBand="0" w:noVBand="1" w:val="04A0"/>
        <w:jc w:val="left"/>
        <w:tblInd w:w="120" w:type="dxa"/>
      </w:tblPr>
      <w:tblGrid>
        <w:gridCol w:w="2100"/>
        <w:gridCol w:w="7260"/>
      </w:tblGrid>
      <w:tr>
        <w:trPr>
          <w:tblHeader w:val="true"/>
          <w:cantSplit w:val="true"/>
        </w:trPr>
        <w:tc>
          <w:tcPr>
            <w:tcW w:type="dxa" w:w="210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Term</w:t>
            </w:r>
          </w:p>
        </w:tc>
        <w:tc>
          <w:tcPr>
            <w:tcW w:type="dxa" w:w="7260"/>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shd w:fill="F2F4F7"/>
            <w:vAlign w:val="center"/>
          </w:tcPr>
          <w:p>
            <w:pPr>
              <w:spacing w:before="0" w:after="0" w:line="252" w:lineRule="auto"/>
            </w:pPr>
            <w:r>
              <w:rPr>
                <w:rFonts w:ascii="Calibri" w:hAnsi="Calibri" w:eastAsia="Calibri"/>
                <w:b/>
                <w:color w:val="0B2545"/>
                <w:sz w:val="18"/>
              </w:rPr>
              <w:t>Meaning in SettleFlow</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Payment intent</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Merchant-owned aggregate representing a planned payment and its capture/refund projections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Capture</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Command that recognizes collected value in the simulation and posts the corresponding ledger transaction</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Ledger transaction</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Immutable balanced set of debit and credit entries representing one accounting event</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Settlement</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Process that groups eligible merchant obligations for payout/export</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Reconciliation</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Comparison of platform records with mock provider records to classify differences</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Idempotency</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Property that permits safe command retry without a second business side effect</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Outbox</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Database table containing committed events awaiting broker publication</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Inbox</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Consumer-side deduplication record keyed by consumer and message ID</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Dead-lettered</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Terminal automated-delivery state requiring review or controlled replay</w:t>
            </w:r>
          </w:p>
        </w:tc>
      </w:tr>
      <w:tr>
        <w:trPr>
          <w:cantSplit w:val="true"/>
        </w:trPr>
        <w:tc>
          <w:tcPr>
            <w:tcW w:type="dxa" w:w="210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RPO / RTO</w:t>
            </w:r>
          </w:p>
        </w:tc>
        <w:tc>
          <w:tcPr>
            <w:tcW w:type="dxa" w:w="7260"/>
            <w:vAlign w:val="center"/>
            <w:tcMar>
              <w:top w:w="80" w:type="dxa"/>
              <w:start w:w="120" w:type="dxa"/>
              <w:bottom w:w="80" w:type="dxa"/>
              <w:end w:w="120" w:type="dxa"/>
            </w:tcMar>
            <w:tcBorders>
              <w:top w:val="single" w:sz="4" w:color="D7DDE5"/>
              <w:left w:val="single" w:sz="4" w:color="D7DDE5"/>
              <w:bottom w:val="single" w:sz="4" w:color="D7DDE5"/>
              <w:right w:val="single" w:sz="4" w:color="D7DDE5"/>
              <w:insideH w:val="single" w:sz="4" w:color="D7DDE5"/>
              <w:insideV w:val="single" w:sz="4" w:color="D7DDE5"/>
            </w:tcBorders>
          </w:tcPr>
          <w:p>
            <w:pPr>
              <w:spacing w:before="0" w:after="0" w:line="259" w:lineRule="auto"/>
            </w:pPr>
            <w:r>
              <w:rPr>
                <w:rFonts w:ascii="Calibri" w:hAnsi="Calibri" w:eastAsia="Calibri"/>
                <w:color w:val="1F2933"/>
                <w:sz w:val="17"/>
              </w:rPr>
              <w:t>Target maximum data-loss window / target restoration time</w:t>
            </w:r>
          </w:p>
        </w:tc>
      </w:tr>
    </w:tbl>
    <w:p>
      <w:pPr>
        <w:spacing w:after="40"/>
      </w:pPr>
    </w:p>
    <w:p>
      <w:pPr>
        <w:pStyle w:val="Heading2"/>
      </w:pPr>
      <w:r>
        <w:t>Appendix D — Official technical references</w:t>
      </w:r>
    </w:p>
    <w:p>
      <w:pPr>
        <w:spacing w:after="80"/>
      </w:pPr>
      <w:r>
        <w:rPr>
          <w:rFonts w:ascii="Calibri" w:hAnsi="Calibri" w:eastAsia="Calibri"/>
          <w:b/>
          <w:color w:val="0B2545"/>
          <w:sz w:val="19"/>
        </w:rPr>
        <w:t xml:space="preserve">[R1] </w:t>
      </w:r>
      <w:hyperlink r:id="rId16">
        <w:r>
          <w:rPr>
            <w:color w:val="2E74B5"/>
            <w:u w:val="single"/>
          </w:rPr>
          <w:t>PostgreSQL — Transaction Isolation</w:t>
        </w:r>
      </w:hyperlink>
    </w:p>
    <w:p>
      <w:pPr>
        <w:spacing w:after="80"/>
      </w:pPr>
      <w:r>
        <w:rPr>
          <w:rFonts w:ascii="Calibri" w:hAnsi="Calibri" w:eastAsia="Calibri"/>
          <w:b/>
          <w:color w:val="0B2545"/>
          <w:sz w:val="19"/>
        </w:rPr>
        <w:t xml:space="preserve">[R2] </w:t>
      </w:r>
      <w:hyperlink r:id="rId17">
        <w:r>
          <w:rPr>
            <w:color w:val="2E74B5"/>
            <w:u w:val="single"/>
          </w:rPr>
          <w:t>RabbitMQ — Consumer Acknowledgements and Publisher Confirms</w:t>
        </w:r>
      </w:hyperlink>
    </w:p>
    <w:p>
      <w:pPr>
        <w:spacing w:after="80"/>
      </w:pPr>
      <w:r>
        <w:rPr>
          <w:rFonts w:ascii="Calibri" w:hAnsi="Calibri" w:eastAsia="Calibri"/>
          <w:b/>
          <w:color w:val="0B2545"/>
          <w:sz w:val="19"/>
        </w:rPr>
        <w:t xml:space="preserve">[R3] </w:t>
      </w:r>
      <w:hyperlink r:id="rId18">
        <w:r>
          <w:rPr>
            <w:color w:val="2E74B5"/>
            <w:u w:val="single"/>
          </w:rPr>
          <w:t>RabbitMQ — Dead Letter Exchanges</w:t>
        </w:r>
      </w:hyperlink>
    </w:p>
    <w:p>
      <w:pPr>
        <w:spacing w:after="80"/>
      </w:pPr>
      <w:r>
        <w:rPr>
          <w:rFonts w:ascii="Calibri" w:hAnsi="Calibri" w:eastAsia="Calibri"/>
          <w:b/>
          <w:color w:val="0B2545"/>
          <w:sz w:val="19"/>
        </w:rPr>
        <w:t xml:space="preserve">[R4] </w:t>
      </w:r>
      <w:hyperlink r:id="rId19">
        <w:r>
          <w:rPr>
            <w:color w:val="2E74B5"/>
            <w:u w:val="single"/>
          </w:rPr>
          <w:t>RabbitMQ — Consumer Prefetch</w:t>
        </w:r>
      </w:hyperlink>
    </w:p>
    <w:p>
      <w:pPr>
        <w:spacing w:after="80"/>
      </w:pPr>
      <w:r>
        <w:rPr>
          <w:rFonts w:ascii="Calibri" w:hAnsi="Calibri" w:eastAsia="Calibri"/>
          <w:b/>
          <w:color w:val="0B2545"/>
          <w:sz w:val="19"/>
        </w:rPr>
        <w:t xml:space="preserve">[R5] </w:t>
      </w:r>
      <w:hyperlink r:id="rId20">
        <w:r>
          <w:rPr>
            <w:color w:val="2E74B5"/>
            <w:u w:val="single"/>
          </w:rPr>
          <w:t>PostgreSQL — CREATE TRIGGER</w:t>
        </w:r>
      </w:hyperlink>
    </w:p>
    <w:p>
      <w:pPr>
        <w:spacing w:after="80"/>
      </w:pPr>
      <w:r>
        <w:rPr>
          <w:rFonts w:ascii="Calibri" w:hAnsi="Calibri" w:eastAsia="Calibri"/>
          <w:b/>
          <w:color w:val="0B2545"/>
          <w:sz w:val="19"/>
        </w:rPr>
        <w:t xml:space="preserve">[R5a] </w:t>
      </w:r>
      <w:hyperlink r:id="rId21">
        <w:r>
          <w:rPr>
            <w:color w:val="2E74B5"/>
            <w:u w:val="single"/>
          </w:rPr>
          <w:t>PostgreSQL — Generated Columns</w:t>
        </w:r>
      </w:hyperlink>
    </w:p>
    <w:p>
      <w:pPr>
        <w:spacing w:after="80"/>
      </w:pPr>
      <w:r>
        <w:rPr>
          <w:rFonts w:ascii="Calibri" w:hAnsi="Calibri" w:eastAsia="Calibri"/>
          <w:b/>
          <w:color w:val="0B2545"/>
          <w:sz w:val="19"/>
        </w:rPr>
        <w:t xml:space="preserve">[R6] </w:t>
      </w:r>
      <w:hyperlink r:id="rId22">
        <w:r>
          <w:rPr>
            <w:color w:val="2E74B5"/>
            <w:u w:val="single"/>
          </w:rPr>
          <w:t>PostgreSQL — Partial Indexes</w:t>
        </w:r>
      </w:hyperlink>
    </w:p>
    <w:p>
      <w:pPr>
        <w:spacing w:after="80"/>
      </w:pPr>
      <w:r>
        <w:rPr>
          <w:rFonts w:ascii="Calibri" w:hAnsi="Calibri" w:eastAsia="Calibri"/>
          <w:b/>
          <w:color w:val="0B2545"/>
          <w:sz w:val="19"/>
        </w:rPr>
        <w:t xml:space="preserve">[R7] </w:t>
      </w:r>
      <w:hyperlink r:id="rId23">
        <w:r>
          <w:rPr>
            <w:color w:val="2E74B5"/>
            <w:u w:val="single"/>
          </w:rPr>
          <w:t>PostgreSQL — Index-Only Scans and Covering Indexes</w:t>
        </w:r>
      </w:hyperlink>
    </w:p>
    <w:p>
      <w:pPr>
        <w:spacing w:after="80"/>
      </w:pPr>
      <w:r>
        <w:rPr>
          <w:rFonts w:ascii="Calibri" w:hAnsi="Calibri" w:eastAsia="Calibri"/>
          <w:b/>
          <w:color w:val="0B2545"/>
          <w:sz w:val="19"/>
        </w:rPr>
        <w:t xml:space="preserve">[R8] </w:t>
      </w:r>
      <w:hyperlink r:id="rId24">
        <w:r>
          <w:rPr>
            <w:color w:val="2E74B5"/>
            <w:u w:val="single"/>
          </w:rPr>
          <w:t>NestJS — OpenAPI</w:t>
        </w:r>
      </w:hyperlink>
    </w:p>
    <w:p>
      <w:pPr>
        <w:spacing w:after="80"/>
      </w:pPr>
      <w:r>
        <w:rPr>
          <w:rFonts w:ascii="Calibri" w:hAnsi="Calibri" w:eastAsia="Calibri"/>
          <w:b/>
          <w:color w:val="0B2545"/>
          <w:sz w:val="19"/>
        </w:rPr>
        <w:t xml:space="preserve">[R9] </w:t>
      </w:r>
      <w:hyperlink r:id="rId25">
        <w:r>
          <w:rPr>
            <w:color w:val="2E74B5"/>
            <w:u w:val="single"/>
          </w:rPr>
          <w:t>NestJS — Health Checks (Terminus)</w:t>
        </w:r>
      </w:hyperlink>
    </w:p>
    <w:p>
      <w:pPr>
        <w:spacing w:after="80"/>
      </w:pPr>
      <w:r>
        <w:rPr>
          <w:rFonts w:ascii="Calibri" w:hAnsi="Calibri" w:eastAsia="Calibri"/>
          <w:b/>
          <w:color w:val="0B2545"/>
          <w:sz w:val="19"/>
        </w:rPr>
        <w:t xml:space="preserve">[R10] </w:t>
      </w:r>
      <w:hyperlink r:id="rId26">
        <w:r>
          <w:rPr>
            <w:color w:val="2E74B5"/>
            <w:u w:val="single"/>
          </w:rPr>
          <w:t>Prisma — Transactions and Batch Queries</w:t>
        </w:r>
      </w:hyperlink>
    </w:p>
    <w:p>
      <w:pPr>
        <w:spacing w:after="80"/>
      </w:pPr>
      <w:r>
        <w:rPr>
          <w:rFonts w:ascii="Calibri" w:hAnsi="Calibri" w:eastAsia="Calibri"/>
          <w:b/>
          <w:color w:val="0B2545"/>
          <w:sz w:val="19"/>
        </w:rPr>
        <w:t xml:space="preserve">[R11] </w:t>
      </w:r>
      <w:hyperlink r:id="rId27">
        <w:r>
          <w:rPr>
            <w:color w:val="2E74B5"/>
            <w:u w:val="single"/>
          </w:rPr>
          <w:t>Testcontainers for Node.js</w:t>
        </w:r>
      </w:hyperlink>
    </w:p>
    <w:p>
      <w:pPr>
        <w:spacing w:after="80"/>
      </w:pPr>
      <w:r>
        <w:rPr>
          <w:rFonts w:ascii="Calibri" w:hAnsi="Calibri" w:eastAsia="Calibri"/>
          <w:b/>
          <w:color w:val="0B2545"/>
          <w:sz w:val="19"/>
        </w:rPr>
        <w:t xml:space="preserve">[R12] </w:t>
      </w:r>
      <w:hyperlink r:id="rId28">
        <w:r>
          <w:rPr>
            <w:color w:val="2E74B5"/>
            <w:u w:val="single"/>
          </w:rPr>
          <w:t>Grafana k6 — Thresholds</w:t>
        </w:r>
      </w:hyperlink>
    </w:p>
    <w:p>
      <w:pPr>
        <w:spacing w:after="80"/>
      </w:pPr>
      <w:r>
        <w:rPr>
          <w:rFonts w:ascii="Calibri" w:hAnsi="Calibri" w:eastAsia="Calibri"/>
          <w:b/>
          <w:color w:val="0B2545"/>
          <w:sz w:val="19"/>
        </w:rPr>
        <w:t xml:space="preserve">[R13] </w:t>
      </w:r>
      <w:hyperlink r:id="rId29">
        <w:r>
          <w:rPr>
            <w:color w:val="2E74B5"/>
            <w:u w:val="single"/>
          </w:rPr>
          <w:t>OpenTelemetry — JavaScript</w:t>
        </w:r>
      </w:hyperlink>
    </w:p>
    <w:p>
      <w:pPr>
        <w:spacing w:after="80"/>
      </w:pPr>
      <w:r>
        <w:rPr>
          <w:rFonts w:ascii="Calibri" w:hAnsi="Calibri" w:eastAsia="Calibri"/>
          <w:b/>
          <w:color w:val="0B2545"/>
          <w:sz w:val="19"/>
        </w:rPr>
        <w:t xml:space="preserve">[R14] </w:t>
      </w:r>
      <w:hyperlink r:id="rId30">
        <w:r>
          <w:rPr>
            <w:color w:val="2E74B5"/>
            <w:u w:val="single"/>
          </w:rPr>
          <w:t>Node.js — Crypto</w:t>
        </w:r>
      </w:hyperlink>
    </w:p>
    <w:p>
      <w:pPr>
        <w:spacing w:after="80"/>
      </w:pPr>
      <w:r>
        <w:rPr>
          <w:rFonts w:ascii="Calibri" w:hAnsi="Calibri" w:eastAsia="Calibri"/>
          <w:b/>
          <w:color w:val="0B2545"/>
          <w:sz w:val="19"/>
        </w:rPr>
        <w:t xml:space="preserve">[R15] </w:t>
      </w:r>
      <w:hyperlink r:id="rId31">
        <w:r>
          <w:rPr>
            <w:color w:val="2E74B5"/>
            <w:u w:val="single"/>
          </w:rPr>
          <w:t>Stripe — Idempotent Requests</w:t>
        </w:r>
      </w:hyperlink>
    </w:p>
    <w:p>
      <w:pPr>
        <w:spacing w:after="80"/>
      </w:pPr>
      <w:r>
        <w:rPr>
          <w:rFonts w:ascii="Calibri" w:hAnsi="Calibri" w:eastAsia="Calibri"/>
          <w:b/>
          <w:color w:val="0B2545"/>
          <w:sz w:val="19"/>
        </w:rPr>
        <w:t xml:space="preserve">[R16] </w:t>
      </w:r>
      <w:hyperlink r:id="rId32">
        <w:r>
          <w:rPr>
            <w:color w:val="2E74B5"/>
            <w:u w:val="single"/>
          </w:rPr>
          <w:t>Stripe — Webhooks</w:t>
        </w:r>
      </w:hyperlink>
    </w:p>
    <w:p>
      <w:pPr>
        <w:spacing w:after="80"/>
      </w:pPr>
      <w:r>
        <w:rPr>
          <w:rFonts w:ascii="Calibri" w:hAnsi="Calibri" w:eastAsia="Calibri"/>
          <w:b/>
          <w:color w:val="0B2545"/>
          <w:sz w:val="19"/>
        </w:rPr>
        <w:t xml:space="preserve">[R17] </w:t>
      </w:r>
      <w:hyperlink r:id="rId33">
        <w:r>
          <w:rPr>
            <w:color w:val="2E74B5"/>
            <w:u w:val="single"/>
          </w:rPr>
          <w:t>OWASP — Secrets Management Cheat Sheet</w:t>
        </w:r>
      </w:hyperlink>
    </w:p>
    <w:p>
      <w:pPr>
        <w:spacing w:after="80"/>
      </w:pPr>
      <w:r>
        <w:rPr>
          <w:rFonts w:ascii="Calibri" w:hAnsi="Calibri" w:eastAsia="Calibri"/>
          <w:b/>
          <w:color w:val="0B2545"/>
          <w:sz w:val="19"/>
        </w:rPr>
        <w:t xml:space="preserve">[R18] </w:t>
      </w:r>
      <w:hyperlink r:id="rId34">
        <w:r>
          <w:rPr>
            <w:color w:val="2E74B5"/>
            <w:u w:val="single"/>
          </w:rPr>
          <w:t>OWASP — Server-Side Request Forgery Prevention Cheat Sheet</w:t>
        </w:r>
      </w:hyperlink>
    </w:p>
    <w:p>
      <w:pPr>
        <w:spacing w:after="80"/>
      </w:pPr>
      <w:r>
        <w:rPr>
          <w:rFonts w:ascii="Calibri" w:hAnsi="Calibri" w:eastAsia="Calibri"/>
          <w:b/>
          <w:color w:val="0B2545"/>
          <w:sz w:val="19"/>
        </w:rPr>
        <w:t xml:space="preserve">[R19] </w:t>
      </w:r>
      <w:hyperlink r:id="rId35">
        <w:r>
          <w:rPr>
            <w:color w:val="2E74B5"/>
            <w:u w:val="single"/>
          </w:rPr>
          <w:t>Debezium — Outbox Event Router</w:t>
        </w:r>
      </w:hyperlink>
    </w:p>
    <w:p>
      <w:pPr>
        <w:spacing w:after="80"/>
      </w:pPr>
      <w:r>
        <w:rPr>
          <w:rFonts w:ascii="Calibri" w:hAnsi="Calibri" w:eastAsia="Calibri"/>
          <w:b/>
          <w:color w:val="0B2545"/>
          <w:sz w:val="19"/>
        </w:rPr>
        <w:t xml:space="preserve">[R20] </w:t>
      </w:r>
      <w:hyperlink r:id="rId36">
        <w:r>
          <w:rPr>
            <w:color w:val="2E74B5"/>
            <w:u w:val="single"/>
          </w:rPr>
          <w:t>GitHub — Workflow Syntax for GitHub Actions</w:t>
        </w:r>
      </w:hyperlink>
    </w:p>
    <w:p>
      <w:pPr>
        <w:spacing w:after="0"/>
      </w:pPr>
      <w:r>
        <w:rPr>
          <w:rFonts w:ascii="Calibri" w:hAnsi="Calibri" w:eastAsia="Calibri"/>
          <w:b w:val="0"/>
          <w:color w:val="5F6B76"/>
          <w:sz w:val="18"/>
        </w:rPr>
        <w:t>References are informative implementation sources. Dependency-specific behavior must be rechecked against the pinned version selected during implementation.</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color w:val="5F6B76"/>
        <w:sz w:val="17"/>
      </w:rPr>
      <w:t>IMPLEMENTATION BASELINE  |  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Calibri"/>
        <w:color w:val="5F6B76"/>
        <w:sz w:val="17"/>
      </w:rPr>
      <w:t xml:space="preserve">VERSION 1.0  |  PAGE </w:t>
    </w:r>
    <w:r>
      <w:rPr>
        <w:rFonts w:ascii="Calibri" w:hAnsi="Calibri" w:eastAsia="Calibri"/>
        <w:color w:val="5F6B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2" w:color="D7DDE5"/>
      </w:pBdr>
    </w:pPr>
    <w:r>
      <w:rPr>
        <w:rFonts w:ascii="Calibri" w:hAnsi="Calibri" w:eastAsia="Calibri"/>
        <w:b/>
        <w:color w:val="5F6B76"/>
        <w:sz w:val="17"/>
      </w:rPr>
      <w:t>SETTLEFLOW  |  TECHNICAL PRODUCT &amp;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pPr>
    <w:rPr>
      <w:rFonts w:ascii="Calibri" w:hAnsi="Calibri"/>
      <w:b/>
      <w:bCs/>
      <w:i/>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www.postgresql.org/docs/current/transaction-iso.html" TargetMode="External"/><Relationship Id="rId17" Type="http://schemas.openxmlformats.org/officeDocument/2006/relationships/hyperlink" Target="https://www.rabbitmq.com/docs/confirms" TargetMode="External"/><Relationship Id="rId18" Type="http://schemas.openxmlformats.org/officeDocument/2006/relationships/hyperlink" Target="https://www.rabbitmq.com/docs/dlx" TargetMode="External"/><Relationship Id="rId19" Type="http://schemas.openxmlformats.org/officeDocument/2006/relationships/hyperlink" Target="https://www.rabbitmq.com/docs/consumer-prefetch" TargetMode="External"/><Relationship Id="rId20" Type="http://schemas.openxmlformats.org/officeDocument/2006/relationships/hyperlink" Target="https://www.postgresql.org/docs/current/sql-createtrigger.html" TargetMode="External"/><Relationship Id="rId21" Type="http://schemas.openxmlformats.org/officeDocument/2006/relationships/hyperlink" Target="https://www.postgresql.org/docs/current/ddl-generated-columns.html" TargetMode="External"/><Relationship Id="rId22" Type="http://schemas.openxmlformats.org/officeDocument/2006/relationships/hyperlink" Target="https://www.postgresql.org/docs/current/indexes-partial.html" TargetMode="External"/><Relationship Id="rId23" Type="http://schemas.openxmlformats.org/officeDocument/2006/relationships/hyperlink" Target="https://www.postgresql.org/docs/current/indexes-index-only-scans.html" TargetMode="External"/><Relationship Id="rId24" Type="http://schemas.openxmlformats.org/officeDocument/2006/relationships/hyperlink" Target="https://docs.nestjs.com/openapi/introduction" TargetMode="External"/><Relationship Id="rId25" Type="http://schemas.openxmlformats.org/officeDocument/2006/relationships/hyperlink" Target="https://docs.nestjs.com/recipes/terminus" TargetMode="External"/><Relationship Id="rId26" Type="http://schemas.openxmlformats.org/officeDocument/2006/relationships/hyperlink" Target="https://www.prisma.io/docs/orm/prisma-client/queries/transactions" TargetMode="External"/><Relationship Id="rId27" Type="http://schemas.openxmlformats.org/officeDocument/2006/relationships/hyperlink" Target="https://node.testcontainers.org/" TargetMode="External"/><Relationship Id="rId28" Type="http://schemas.openxmlformats.org/officeDocument/2006/relationships/hyperlink" Target="https://grafana.com/docs/k6/latest/using-k6/thresholds/" TargetMode="External"/><Relationship Id="rId29" Type="http://schemas.openxmlformats.org/officeDocument/2006/relationships/hyperlink" Target="https://opentelemetry.io/docs/languages/js/" TargetMode="External"/><Relationship Id="rId30" Type="http://schemas.openxmlformats.org/officeDocument/2006/relationships/hyperlink" Target="https://nodejs.org/api/crypto.html" TargetMode="External"/><Relationship Id="rId31" Type="http://schemas.openxmlformats.org/officeDocument/2006/relationships/hyperlink" Target="https://docs.stripe.com/api/idempotent_requests" TargetMode="External"/><Relationship Id="rId32" Type="http://schemas.openxmlformats.org/officeDocument/2006/relationships/hyperlink" Target="https://docs.stripe.com/webhooks" TargetMode="External"/><Relationship Id="rId33" Type="http://schemas.openxmlformats.org/officeDocument/2006/relationships/hyperlink" Target="https://cheatsheetseries.owasp.org/cheatsheets/Secrets_Management_Cheat_Sheet.html" TargetMode="External"/><Relationship Id="rId34" Type="http://schemas.openxmlformats.org/officeDocument/2006/relationships/hyperlink" Target="https://cheatsheetseries.owasp.org/cheatsheets/Server_Side_Request_Forgery_Prevention_Cheat_Sheet.html" TargetMode="External"/><Relationship Id="rId35" Type="http://schemas.openxmlformats.org/officeDocument/2006/relationships/hyperlink" Target="https://debezium.io/documentation/reference/stable/transformations/outbox-event-router.html" TargetMode="External"/><Relationship Id="rId36" Type="http://schemas.openxmlformats.org/officeDocument/2006/relationships/hyperlink" Target="https://docs.github.com/actions/using-workflows/workflow-syntax-for-github-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SettleFlow Technical Product and Architecture Specification</dc:title>
  <dc:subject>Implementation baseline for an open-source merchant payment, ledger, settlement, and reconciliation backend</dc:subject>
  <dc:creator>SettleFlow Project</dc:creator>
  <cp:keywords>SettleFlow, NestJS, PostgreSQL, RabbitMQ, ledger, settlement, reconciliation</cp:keywords>
  <dc:description>generated by python-docx</dc:description>
  <cp:lastModifiedBy/>
  <cp:revision>1</cp:revision>
  <dcterms:created xsi:type="dcterms:W3CDTF">2013-12-23T23:15:00Z</dcterms:created>
  <dcterms:modified xsi:type="dcterms:W3CDTF">2013-12-23T23:15:00Z</dcterms:modified>
  <cp:category/>
</cp:coreProperties>
</file>