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1295C"/>
          <w:sz w:val="44"/>
          <w:szCs w:val="44"/>
        </w:rPr>
        <w:t xml:space="preserve">CampusAI</w:t>
      </w:r>
    </w:p>
    <w:p>
      <w:pPr>
        <w:spacing w:after="40"/>
        <w:jc w:val="center"/>
      </w:pPr>
      <w:r>
        <w:rPr>
          <w:i/>
          <w:iCs/>
          <w:color w:val="1C7293"/>
          <w:sz w:val="24"/>
          <w:szCs w:val="24"/>
        </w:rPr>
        <w:t xml:space="preserve">AI-Powered Virtual Receptionist — Project Summary</w:t>
      </w:r>
    </w:p>
    <w:p>
      <w:pPr>
        <w:spacing w:after="300"/>
        <w:jc w:val="center"/>
      </w:pPr>
      <w:r>
        <w:rPr>
          <w:color w:val="777777"/>
          <w:sz w:val="20"/>
          <w:szCs w:val="20"/>
        </w:rPr>
        <w:t xml:space="preserve">Software Engineering Fundamentals — Centennial College</w:t>
      </w:r>
    </w:p>
    <w:p>
      <w:pPr>
        <w:pStyle w:val="Heading1"/>
        <w:spacing w:after="120" w:before="260"/>
      </w:pPr>
      <w:r>
        <w:rPr>
          <w:b/>
          <w:bCs/>
          <w:color w:val="21295C"/>
          <w:sz w:val="28"/>
          <w:szCs w:val="28"/>
        </w:rPr>
        <w:t xml:space="preserve">Executive Summary</w:t>
      </w:r>
    </w:p>
    <w:p>
      <w:pPr>
        <w:spacing w:after="140" w:line="288"/>
      </w:pPr>
      <w:r>
        <w:rPr>
          <w:color w:val="444444"/>
          <w:sz w:val="22"/>
          <w:szCs w:val="22"/>
        </w:rPr>
        <w:t xml:space="preserve">CampusAI is a proposed AI-powered virtual receptionist for colleges and universities. It allows students to speak naturally with a digital avatar at an information desk, kiosk, or school website. Using artificial intelligence and Retrieval-Augmented Generation (RAG), the receptionist understands student questions, searches verified school information, and responds using both voice and text.</w:t>
      </w:r>
    </w:p>
    <w:p>
      <w:pPr>
        <w:spacing w:after="140" w:line="288"/>
      </w:pPr>
      <w:r>
        <w:rPr>
          <w:color w:val="444444"/>
          <w:sz w:val="22"/>
          <w:szCs w:val="22"/>
        </w:rPr>
        <w:t xml:space="preserve">CampusAI helps students with common questions related to admissions, course registration, tuition, financial aid, campus navigation, deadlines, events, and student services. Because the system retrieves answers only from approved school websites, FAQs, academic calendars, policies, and databases, it reduces inaccurate responses and ensures information comes from official sources.</w:t>
      </w:r>
    </w:p>
    <w:p>
      <w:pPr>
        <w:spacing w:after="140" w:line="288"/>
      </w:pPr>
      <w:r>
        <w:rPr>
          <w:color w:val="444444"/>
          <w:sz w:val="22"/>
          <w:szCs w:val="22"/>
        </w:rPr>
        <w:t xml:space="preserve">The system also includes speech recognition, text-to-speech, an animated avatar, department classification, and a human escalation option. When the AI cannot confidently answer a question, it directs the student to the correct department or connects them with a staff member.</w:t>
      </w:r>
    </w:p>
    <w:p>
      <w:pPr>
        <w:spacing w:after="140" w:line="288"/>
      </w:pPr>
      <w:r>
        <w:rPr>
          <w:color w:val="444444"/>
          <w:sz w:val="22"/>
          <w:szCs w:val="22"/>
        </w:rPr>
        <w:t xml:space="preserve">The goal of CampusAI is not to replace reception staff, but to support them: handling repetitive questions, reducing wait times, providing support outside regular office hours, and freeing staff to focus on more complex student concerns.</w:t>
      </w:r>
    </w:p>
    <w:p>
      <w:pPr>
        <w:pStyle w:val="Heading1"/>
        <w:spacing w:after="120" w:before="260"/>
      </w:pPr>
      <w:r>
        <w:rPr>
          <w:b/>
          <w:bCs/>
          <w:color w:val="21295C"/>
          <w:sz w:val="28"/>
          <w:szCs w:val="28"/>
        </w:rPr>
        <w:t xml:space="preserve">Core Features (MVP)</w:t>
      </w:r>
    </w:p>
    <w:p>
      <w:pPr>
        <w:pStyle w:val="ListParagraph"/>
        <w:numPr>
          <w:ilvl w:val="0"/>
          <w:numId w:val="1"/>
        </w:numPr>
        <w:spacing w:after="80" w:line="276"/>
      </w:pPr>
      <w:r>
        <w:rPr>
          <w:color w:val="444444"/>
          <w:sz w:val="22"/>
          <w:szCs w:val="22"/>
        </w:rPr>
        <w:t xml:space="preserve">AI Chat Interface — conversational Q&amp;A with students</w:t>
      </w:r>
    </w:p>
    <w:p>
      <w:pPr>
        <w:pStyle w:val="ListParagraph"/>
        <w:numPr>
          <w:ilvl w:val="0"/>
          <w:numId w:val="1"/>
        </w:numPr>
        <w:spacing w:after="80" w:line="276"/>
      </w:pPr>
      <w:r>
        <w:rPr>
          <w:color w:val="444444"/>
          <w:sz w:val="22"/>
          <w:szCs w:val="22"/>
        </w:rPr>
        <w:t xml:space="preserve">Retrieval-Augmented Generation (RAG) — answers based on official college information</w:t>
      </w:r>
    </w:p>
    <w:p>
      <w:pPr>
        <w:pStyle w:val="ListParagraph"/>
        <w:numPr>
          <w:ilvl w:val="0"/>
          <w:numId w:val="1"/>
        </w:numPr>
        <w:spacing w:after="80" w:line="276"/>
      </w:pPr>
      <w:r>
        <w:rPr>
          <w:color w:val="444444"/>
          <w:sz w:val="22"/>
          <w:szCs w:val="22"/>
        </w:rPr>
        <w:t xml:space="preserve">Source citations — shows where each answer comes from</w:t>
      </w:r>
    </w:p>
    <w:p>
      <w:pPr>
        <w:pStyle w:val="ListParagraph"/>
        <w:numPr>
          <w:ilvl w:val="0"/>
          <w:numId w:val="1"/>
        </w:numPr>
        <w:spacing w:after="80" w:line="276"/>
      </w:pPr>
      <w:r>
        <w:rPr>
          <w:color w:val="444444"/>
          <w:sz w:val="22"/>
          <w:szCs w:val="22"/>
        </w:rPr>
        <w:t xml:space="preserve">Talking avatar — visual avatar for responses</w:t>
      </w:r>
    </w:p>
    <w:p>
      <w:pPr>
        <w:pStyle w:val="ListParagraph"/>
        <w:numPr>
          <w:ilvl w:val="0"/>
          <w:numId w:val="1"/>
        </w:numPr>
        <w:spacing w:after="80" w:line="276"/>
      </w:pPr>
      <w:r>
        <w:rPr>
          <w:color w:val="444444"/>
          <w:sz w:val="22"/>
          <w:szCs w:val="22"/>
        </w:rPr>
        <w:t xml:space="preserve">Text-to-speech — audio output of responses</w:t>
      </w:r>
    </w:p>
    <w:p>
      <w:pPr>
        <w:pStyle w:val="ListParagraph"/>
        <w:numPr>
          <w:ilvl w:val="0"/>
          <w:numId w:val="1"/>
        </w:numPr>
        <w:spacing w:after="80" w:line="276"/>
      </w:pPr>
      <w:r>
        <w:rPr>
          <w:color w:val="444444"/>
          <w:sz w:val="22"/>
          <w:szCs w:val="22"/>
        </w:rPr>
        <w:t xml:space="preserve">Department recommendations — suggests the right department for follow-up</w:t>
      </w:r>
    </w:p>
    <w:p>
      <w:pPr>
        <w:pStyle w:val="Heading1"/>
        <w:spacing w:after="120" w:before="260"/>
      </w:pPr>
      <w:r>
        <w:rPr>
          <w:b/>
          <w:bCs/>
          <w:color w:val="21295C"/>
          <w:sz w:val="28"/>
          <w:szCs w:val="28"/>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pct" w:w="25%"/>
            <w:shd w:fill="21295C" w:val="clear"/>
            <w:tcMar>
              <w:top w:type="dxa" w:w="80"/>
              <w:left w:type="dxa" w:w="100"/>
              <w:bottom w:type="dxa" w:w="80"/>
              <w:right w:type="dxa" w:w="100"/>
            </w:tcMar>
          </w:tcPr>
          <w:p>
            <w:r>
              <w:rPr>
                <w:b/>
                <w:bCs/>
                <w:color w:val="FFFFFF"/>
                <w:sz w:val="20"/>
                <w:szCs w:val="20"/>
              </w:rPr>
              <w:t xml:space="preserve">Layer</w:t>
            </w:r>
          </w:p>
        </w:tc>
        <w:tc>
          <w:tcPr>
            <w:tcW w:type="pct" w:w="75%"/>
            <w:shd w:fill="21295C" w:val="clear"/>
            <w:tcMar>
              <w:top w:type="dxa" w:w="80"/>
              <w:left w:type="dxa" w:w="100"/>
              <w:bottom w:type="dxa" w:w="80"/>
              <w:right w:type="dxa" w:w="100"/>
            </w:tcMar>
          </w:tcPr>
          <w:p>
            <w:r>
              <w:rPr>
                <w:b/>
                <w:bCs/>
                <w:color w:val="FFFFFF"/>
                <w:sz w:val="20"/>
                <w:szCs w:val="20"/>
              </w:rPr>
              <w:t xml:space="preserve">Technologies</w:t>
            </w:r>
          </w:p>
        </w:tc>
      </w:tr>
      <w:tr>
        <w:tc>
          <w:tcPr>
            <w:tcW w:type="pct" w:w="25%"/>
            <w:tcMar>
              <w:top w:type="dxa" w:w="80"/>
              <w:left w:type="dxa" w:w="100"/>
              <w:bottom w:type="dxa" w:w="80"/>
              <w:right w:type="dxa" w:w="100"/>
            </w:tcMar>
          </w:tcPr>
          <w:p>
            <w:r>
              <w:rPr>
                <w:b w:val="false"/>
                <w:bCs w:val="false"/>
                <w:color w:val="444444"/>
                <w:sz w:val="20"/>
                <w:szCs w:val="20"/>
              </w:rPr>
              <w:t xml:space="preserve">Frontend</w:t>
            </w:r>
          </w:p>
        </w:tc>
        <w:tc>
          <w:tcPr>
            <w:tcW w:type="pct" w:w="25%"/>
            <w:tcMar>
              <w:top w:type="dxa" w:w="80"/>
              <w:left w:type="dxa" w:w="100"/>
              <w:bottom w:type="dxa" w:w="80"/>
              <w:right w:type="dxa" w:w="100"/>
            </w:tcMar>
          </w:tcPr>
          <w:p>
            <w:r>
              <w:rPr>
                <w:b w:val="false"/>
                <w:bCs w:val="false"/>
                <w:color w:val="444444"/>
                <w:sz w:val="20"/>
                <w:szCs w:val="20"/>
              </w:rPr>
              <w:t xml:space="preserve">Next.js 14+, TypeScript, Tailwind CSS</w:t>
            </w:r>
          </w:p>
        </w:tc>
      </w:tr>
      <w:tr>
        <w:tc>
          <w:tcPr>
            <w:tcW w:type="pct" w:w="25%"/>
            <w:tcMar>
              <w:top w:type="dxa" w:w="80"/>
              <w:left w:type="dxa" w:w="100"/>
              <w:bottom w:type="dxa" w:w="80"/>
              <w:right w:type="dxa" w:w="100"/>
            </w:tcMar>
          </w:tcPr>
          <w:p>
            <w:r>
              <w:rPr>
                <w:b w:val="false"/>
                <w:bCs w:val="false"/>
                <w:color w:val="444444"/>
                <w:sz w:val="20"/>
                <w:szCs w:val="20"/>
              </w:rPr>
              <w:t xml:space="preserve">Backend</w:t>
            </w:r>
          </w:p>
        </w:tc>
        <w:tc>
          <w:tcPr>
            <w:tcW w:type="pct" w:w="25%"/>
            <w:tcMar>
              <w:top w:type="dxa" w:w="80"/>
              <w:left w:type="dxa" w:w="100"/>
              <w:bottom w:type="dxa" w:w="80"/>
              <w:right w:type="dxa" w:w="100"/>
            </w:tcMar>
          </w:tcPr>
          <w:p>
            <w:r>
              <w:rPr>
                <w:b w:val="false"/>
                <w:bCs w:val="false"/>
                <w:color w:val="444444"/>
                <w:sz w:val="20"/>
                <w:szCs w:val="20"/>
              </w:rPr>
              <w:t xml:space="preserve">Python 3.11+, FastAPI, Pydantic</w:t>
            </w:r>
          </w:p>
        </w:tc>
      </w:tr>
      <w:tr>
        <w:tc>
          <w:tcPr>
            <w:tcW w:type="pct" w:w="25%"/>
            <w:tcMar>
              <w:top w:type="dxa" w:w="80"/>
              <w:left w:type="dxa" w:w="100"/>
              <w:bottom w:type="dxa" w:w="80"/>
              <w:right w:type="dxa" w:w="100"/>
            </w:tcMar>
          </w:tcPr>
          <w:p>
            <w:r>
              <w:rPr>
                <w:b w:val="false"/>
                <w:bCs w:val="false"/>
                <w:color w:val="444444"/>
                <w:sz w:val="20"/>
                <w:szCs w:val="20"/>
              </w:rPr>
              <w:t xml:space="preserve">AI / ML</w:t>
            </w:r>
          </w:p>
        </w:tc>
        <w:tc>
          <w:tcPr>
            <w:tcW w:type="pct" w:w="25%"/>
            <w:tcMar>
              <w:top w:type="dxa" w:w="80"/>
              <w:left w:type="dxa" w:w="100"/>
              <w:bottom w:type="dxa" w:w="80"/>
              <w:right w:type="dxa" w:w="100"/>
            </w:tcMar>
          </w:tcPr>
          <w:p>
            <w:r>
              <w:rPr>
                <w:b w:val="false"/>
                <w:bCs w:val="false"/>
                <w:color w:val="444444"/>
                <w:sz w:val="20"/>
                <w:szCs w:val="20"/>
              </w:rPr>
              <w:t xml:space="preserve">LangChain, ChromaDB, Ollama, Sentence Transformers</w:t>
            </w:r>
          </w:p>
        </w:tc>
      </w:tr>
      <w:tr>
        <w:tc>
          <w:tcPr>
            <w:tcW w:type="pct" w:w="25%"/>
            <w:tcMar>
              <w:top w:type="dxa" w:w="80"/>
              <w:left w:type="dxa" w:w="100"/>
              <w:bottom w:type="dxa" w:w="80"/>
              <w:right w:type="dxa" w:w="100"/>
            </w:tcMar>
          </w:tcPr>
          <w:p>
            <w:r>
              <w:rPr>
                <w:b w:val="false"/>
                <w:bCs w:val="false"/>
                <w:color w:val="444444"/>
                <w:sz w:val="20"/>
                <w:szCs w:val="20"/>
              </w:rPr>
              <w:t xml:space="preserve">Infrastructure</w:t>
            </w:r>
          </w:p>
        </w:tc>
        <w:tc>
          <w:tcPr>
            <w:tcW w:type="pct" w:w="25%"/>
            <w:tcMar>
              <w:top w:type="dxa" w:w="80"/>
              <w:left w:type="dxa" w:w="100"/>
              <w:bottom w:type="dxa" w:w="80"/>
              <w:right w:type="dxa" w:w="100"/>
            </w:tcMar>
          </w:tcPr>
          <w:p>
            <w:r>
              <w:rPr>
                <w:b w:val="false"/>
                <w:bCs w:val="false"/>
                <w:color w:val="444444"/>
                <w:sz w:val="20"/>
                <w:szCs w:val="20"/>
              </w:rPr>
              <w:t xml:space="preserve">Git, GitHub, Docker (optional)</w:t>
            </w:r>
          </w:p>
        </w:tc>
      </w:tr>
    </w:tbl>
    <w:p>
      <w:r>
        <w:br w:type="page"/>
      </w:r>
    </w:p>
    <w:p>
      <w:pPr>
        <w:pStyle w:val="Heading1"/>
        <w:spacing w:after="120" w:before="260"/>
      </w:pPr>
      <w:r>
        <w:rPr>
          <w:b/>
          <w:bCs/>
          <w:color w:val="21295C"/>
          <w:sz w:val="28"/>
          <w:szCs w:val="28"/>
        </w:rPr>
        <w:t xml:space="preserve">QA &amp; Presentation — My Role</w:t>
      </w:r>
    </w:p>
    <w:p>
      <w:pPr>
        <w:spacing w:after="140" w:line="288"/>
      </w:pPr>
      <w:r>
        <w:rPr>
          <w:color w:val="444444"/>
          <w:sz w:val="22"/>
          <w:szCs w:val="22"/>
        </w:rPr>
        <w:t xml:space="preserve">As QA &amp; Presentation Lead, my responsibilities are testing, slide design, delivering the presentation, and compiling references. My focus is on making sure CampusAI gives accurate, reliable, and usable answers before each milestone demo.</w:t>
      </w:r>
    </w:p>
    <w:p>
      <w:pPr>
        <w:pStyle w:val="Heading2"/>
        <w:spacing w:after="80" w:before="200"/>
      </w:pPr>
      <w:r>
        <w:rPr>
          <w:b/>
          <w:bCs/>
          <w:color w:val="1C7293"/>
          <w:sz w:val="24"/>
          <w:szCs w:val="24"/>
        </w:rPr>
        <w:t xml:space="preserve">Testing Plan</w:t>
      </w:r>
    </w:p>
    <w:p>
      <w:pPr>
        <w:pStyle w:val="ListParagraph"/>
        <w:numPr>
          <w:ilvl w:val="0"/>
          <w:numId w:val="1"/>
        </w:numPr>
        <w:spacing w:after="80" w:line="276"/>
      </w:pPr>
      <w:r>
        <w:rPr>
          <w:color w:val="444444"/>
          <w:sz w:val="22"/>
          <w:szCs w:val="22"/>
        </w:rPr>
        <w:t xml:space="preserve">Unit Testing — verify individual functions such as API endpoints and RAG retrieval logic.</w:t>
      </w:r>
    </w:p>
    <w:p>
      <w:pPr>
        <w:pStyle w:val="ListParagraph"/>
        <w:numPr>
          <w:ilvl w:val="0"/>
          <w:numId w:val="1"/>
        </w:numPr>
        <w:spacing w:after="80" w:line="276"/>
      </w:pPr>
      <w:r>
        <w:rPr>
          <w:color w:val="444444"/>
          <w:sz w:val="22"/>
          <w:szCs w:val="22"/>
        </w:rPr>
        <w:t xml:space="preserve">Integration Testing — confirm the frontend, backend, and vector database work together end to end.</w:t>
      </w:r>
    </w:p>
    <w:p>
      <w:pPr>
        <w:pStyle w:val="ListParagraph"/>
        <w:numPr>
          <w:ilvl w:val="0"/>
          <w:numId w:val="1"/>
        </w:numPr>
        <w:spacing w:after="80" w:line="276"/>
      </w:pPr>
      <w:r>
        <w:rPr>
          <w:color w:val="444444"/>
          <w:sz w:val="22"/>
          <w:szCs w:val="22"/>
        </w:rPr>
        <w:t xml:space="preserve">RAG Accuracy Testing — check that retrieved answers are correct, sourced, and grounded in official documents.</w:t>
      </w:r>
    </w:p>
    <w:p>
      <w:pPr>
        <w:pStyle w:val="ListParagraph"/>
        <w:numPr>
          <w:ilvl w:val="0"/>
          <w:numId w:val="1"/>
        </w:numPr>
        <w:spacing w:after="80" w:line="276"/>
      </w:pPr>
      <w:r>
        <w:rPr>
          <w:color w:val="444444"/>
          <w:sz w:val="22"/>
          <w:szCs w:val="22"/>
        </w:rPr>
        <w:t xml:space="preserve">Usability Testing — observe real students using the chat interface and avatar, then collect feedback.</w:t>
      </w:r>
    </w:p>
    <w:p>
      <w:pPr>
        <w:pStyle w:val="ListParagraph"/>
        <w:numPr>
          <w:ilvl w:val="0"/>
          <w:numId w:val="1"/>
        </w:numPr>
        <w:spacing w:after="80" w:line="276"/>
      </w:pPr>
      <w:r>
        <w:rPr>
          <w:color w:val="444444"/>
          <w:sz w:val="22"/>
          <w:szCs w:val="22"/>
        </w:rPr>
        <w:t xml:space="preserve">Performance Testing — measure response time and behavior under multiple simultaneous queries.</w:t>
      </w:r>
    </w:p>
    <w:p>
      <w:pPr>
        <w:pStyle w:val="ListParagraph"/>
        <w:numPr>
          <w:ilvl w:val="0"/>
          <w:numId w:val="1"/>
        </w:numPr>
        <w:spacing w:after="80" w:line="276"/>
      </w:pPr>
      <w:r>
        <w:rPr>
          <w:color w:val="444444"/>
          <w:sz w:val="22"/>
          <w:szCs w:val="22"/>
        </w:rPr>
        <w:t xml:space="preserve">Escalation Testing — confirm low-confidence answers correctly route to a department or staff member.</w:t>
      </w:r>
    </w:p>
    <w:p>
      <w:pPr>
        <w:pStyle w:val="Heading2"/>
        <w:spacing w:after="80" w:before="200"/>
      </w:pPr>
      <w:r>
        <w:rPr>
          <w:b/>
          <w:bCs/>
          <w:color w:val="1C7293"/>
          <w:sz w:val="24"/>
          <w:szCs w:val="24"/>
        </w:rPr>
        <w:t xml:space="preserve">Sample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500"/>
        <w:gridCol w:w="2200"/>
      </w:tblGrid>
      <w:tr>
        <w:tc>
          <w:tcPr>
            <w:tcW w:type="pct" w:w="12%"/>
            <w:shd w:fill="21295C" w:val="clear"/>
            <w:tcMar>
              <w:top w:type="dxa" w:w="80"/>
              <w:left w:type="dxa" w:w="100"/>
              <w:bottom w:type="dxa" w:w="80"/>
              <w:right w:type="dxa" w:w="100"/>
            </w:tcMar>
          </w:tcPr>
          <w:p>
            <w:r>
              <w:rPr>
                <w:b/>
                <w:bCs/>
                <w:color w:val="FFFFFF"/>
                <w:sz w:val="20"/>
                <w:szCs w:val="20"/>
              </w:rPr>
              <w:t xml:space="preserve">ID</w:t>
            </w:r>
          </w:p>
        </w:tc>
        <w:tc>
          <w:tcPr>
            <w:tcW w:type="pct" w:w="21%"/>
            <w:shd w:fill="21295C" w:val="clear"/>
            <w:tcMar>
              <w:top w:type="dxa" w:w="80"/>
              <w:left w:type="dxa" w:w="100"/>
              <w:bottom w:type="dxa" w:w="80"/>
              <w:right w:type="dxa" w:w="100"/>
            </w:tcMar>
          </w:tcPr>
          <w:p>
            <w:r>
              <w:rPr>
                <w:b/>
                <w:bCs/>
                <w:color w:val="FFFFFF"/>
                <w:sz w:val="20"/>
                <w:szCs w:val="20"/>
              </w:rPr>
              <w:t xml:space="preserve">Feature</w:t>
            </w:r>
          </w:p>
        </w:tc>
        <w:tc>
          <w:tcPr>
            <w:tcW w:type="pct" w:w="35%"/>
            <w:shd w:fill="21295C" w:val="clear"/>
            <w:tcMar>
              <w:top w:type="dxa" w:w="80"/>
              <w:left w:type="dxa" w:w="100"/>
              <w:bottom w:type="dxa" w:w="80"/>
              <w:right w:type="dxa" w:w="100"/>
            </w:tcMar>
          </w:tcPr>
          <w:p>
            <w:r>
              <w:rPr>
                <w:b/>
                <w:bCs/>
                <w:color w:val="FFFFFF"/>
                <w:sz w:val="20"/>
                <w:szCs w:val="20"/>
              </w:rPr>
              <w:t xml:space="preserve">Test Description</w:t>
            </w:r>
          </w:p>
        </w:tc>
        <w:tc>
          <w:tcPr>
            <w:tcW w:type="pct" w:w="22%"/>
            <w:shd w:fill="21295C" w:val="clear"/>
            <w:tcMar>
              <w:top w:type="dxa" w:w="80"/>
              <w:left w:type="dxa" w:w="100"/>
              <w:bottom w:type="dxa" w:w="80"/>
              <w:right w:type="dxa" w:w="100"/>
            </w:tcMar>
          </w:tcPr>
          <w:p>
            <w:r>
              <w:rPr>
                <w:b/>
                <w:bCs/>
                <w:color w:val="FFFFFF"/>
                <w:sz w:val="20"/>
                <w:szCs w:val="20"/>
              </w:rPr>
              <w:t xml:space="preserve">Expected Result</w:t>
            </w:r>
          </w:p>
        </w:tc>
      </w:tr>
      <w:tr>
        <w:tc>
          <w:tcPr>
            <w:tcW w:type="pct" w:w="25%"/>
            <w:tcMar>
              <w:top w:type="dxa" w:w="80"/>
              <w:left w:type="dxa" w:w="100"/>
              <w:bottom w:type="dxa" w:w="80"/>
              <w:right w:type="dxa" w:w="100"/>
            </w:tcMar>
          </w:tcPr>
          <w:p>
            <w:r>
              <w:rPr>
                <w:b w:val="false"/>
                <w:bCs w:val="false"/>
                <w:color w:val="444444"/>
                <w:sz w:val="20"/>
                <w:szCs w:val="20"/>
              </w:rPr>
              <w:t xml:space="preserve">TC-01</w:t>
            </w:r>
          </w:p>
        </w:tc>
        <w:tc>
          <w:tcPr>
            <w:tcW w:type="pct" w:w="25%"/>
            <w:tcMar>
              <w:top w:type="dxa" w:w="80"/>
              <w:left w:type="dxa" w:w="100"/>
              <w:bottom w:type="dxa" w:w="80"/>
              <w:right w:type="dxa" w:w="100"/>
            </w:tcMar>
          </w:tcPr>
          <w:p>
            <w:r>
              <w:rPr>
                <w:b w:val="false"/>
                <w:bCs w:val="false"/>
                <w:color w:val="444444"/>
                <w:sz w:val="20"/>
                <w:szCs w:val="20"/>
              </w:rPr>
              <w:t xml:space="preserve">AI Chat</w:t>
            </w:r>
          </w:p>
        </w:tc>
        <w:tc>
          <w:tcPr>
            <w:tcW w:type="pct" w:w="25%"/>
            <w:tcMar>
              <w:top w:type="dxa" w:w="80"/>
              <w:left w:type="dxa" w:w="100"/>
              <w:bottom w:type="dxa" w:w="80"/>
              <w:right w:type="dxa" w:w="100"/>
            </w:tcMar>
          </w:tcPr>
          <w:p>
            <w:r>
              <w:rPr>
                <w:b w:val="false"/>
                <w:bCs w:val="false"/>
                <w:color w:val="444444"/>
                <w:sz w:val="20"/>
                <w:szCs w:val="20"/>
              </w:rPr>
              <w:t xml:space="preserve">Ask a tuition fee question</w:t>
            </w:r>
          </w:p>
        </w:tc>
        <w:tc>
          <w:tcPr>
            <w:tcW w:type="pct" w:w="25%"/>
            <w:tcMar>
              <w:top w:type="dxa" w:w="80"/>
              <w:left w:type="dxa" w:w="100"/>
              <w:bottom w:type="dxa" w:w="80"/>
              <w:right w:type="dxa" w:w="100"/>
            </w:tcMar>
          </w:tcPr>
          <w:p>
            <w:r>
              <w:rPr>
                <w:b w:val="false"/>
                <w:bCs w:val="false"/>
                <w:color w:val="444444"/>
                <w:sz w:val="20"/>
                <w:szCs w:val="20"/>
              </w:rPr>
              <w:t xml:space="preserve">Correct, sourced answer within seconds</w:t>
            </w:r>
          </w:p>
        </w:tc>
      </w:tr>
      <w:tr>
        <w:tc>
          <w:tcPr>
            <w:tcW w:type="pct" w:w="25%"/>
            <w:tcMar>
              <w:top w:type="dxa" w:w="80"/>
              <w:left w:type="dxa" w:w="100"/>
              <w:bottom w:type="dxa" w:w="80"/>
              <w:right w:type="dxa" w:w="100"/>
            </w:tcMar>
          </w:tcPr>
          <w:p>
            <w:r>
              <w:rPr>
                <w:b w:val="false"/>
                <w:bCs w:val="false"/>
                <w:color w:val="444444"/>
                <w:sz w:val="20"/>
                <w:szCs w:val="20"/>
              </w:rPr>
              <w:t xml:space="preserve">TC-02</w:t>
            </w:r>
          </w:p>
        </w:tc>
        <w:tc>
          <w:tcPr>
            <w:tcW w:type="pct" w:w="25%"/>
            <w:tcMar>
              <w:top w:type="dxa" w:w="80"/>
              <w:left w:type="dxa" w:w="100"/>
              <w:bottom w:type="dxa" w:w="80"/>
              <w:right w:type="dxa" w:w="100"/>
            </w:tcMar>
          </w:tcPr>
          <w:p>
            <w:r>
              <w:rPr>
                <w:b w:val="false"/>
                <w:bCs w:val="false"/>
                <w:color w:val="444444"/>
                <w:sz w:val="20"/>
                <w:szCs w:val="20"/>
              </w:rPr>
              <w:t xml:space="preserve">RAG Retrieval</w:t>
            </w:r>
          </w:p>
        </w:tc>
        <w:tc>
          <w:tcPr>
            <w:tcW w:type="pct" w:w="25%"/>
            <w:tcMar>
              <w:top w:type="dxa" w:w="80"/>
              <w:left w:type="dxa" w:w="100"/>
              <w:bottom w:type="dxa" w:w="80"/>
              <w:right w:type="dxa" w:w="100"/>
            </w:tcMar>
          </w:tcPr>
          <w:p>
            <w:r>
              <w:rPr>
                <w:b w:val="false"/>
                <w:bCs w:val="false"/>
                <w:color w:val="444444"/>
                <w:sz w:val="20"/>
                <w:szCs w:val="20"/>
              </w:rPr>
              <w:t xml:space="preserve">Ask about a policy not in the knowledge base</w:t>
            </w:r>
          </w:p>
        </w:tc>
        <w:tc>
          <w:tcPr>
            <w:tcW w:type="pct" w:w="25%"/>
            <w:tcMar>
              <w:top w:type="dxa" w:w="80"/>
              <w:left w:type="dxa" w:w="100"/>
              <w:bottom w:type="dxa" w:w="80"/>
              <w:right w:type="dxa" w:w="100"/>
            </w:tcMar>
          </w:tcPr>
          <w:p>
            <w:r>
              <w:rPr>
                <w:b w:val="false"/>
                <w:bCs w:val="false"/>
                <w:color w:val="444444"/>
                <w:sz w:val="20"/>
                <w:szCs w:val="20"/>
              </w:rPr>
              <w:t xml:space="preserve">System admits uncertainty, no fabricated answer</w:t>
            </w:r>
          </w:p>
        </w:tc>
      </w:tr>
      <w:tr>
        <w:tc>
          <w:tcPr>
            <w:tcW w:type="pct" w:w="25%"/>
            <w:tcMar>
              <w:top w:type="dxa" w:w="80"/>
              <w:left w:type="dxa" w:w="100"/>
              <w:bottom w:type="dxa" w:w="80"/>
              <w:right w:type="dxa" w:w="100"/>
            </w:tcMar>
          </w:tcPr>
          <w:p>
            <w:r>
              <w:rPr>
                <w:b w:val="false"/>
                <w:bCs w:val="false"/>
                <w:color w:val="444444"/>
                <w:sz w:val="20"/>
                <w:szCs w:val="20"/>
              </w:rPr>
              <w:t xml:space="preserve">TC-03</w:t>
            </w:r>
          </w:p>
        </w:tc>
        <w:tc>
          <w:tcPr>
            <w:tcW w:type="pct" w:w="25%"/>
            <w:tcMar>
              <w:top w:type="dxa" w:w="80"/>
              <w:left w:type="dxa" w:w="100"/>
              <w:bottom w:type="dxa" w:w="80"/>
              <w:right w:type="dxa" w:w="100"/>
            </w:tcMar>
          </w:tcPr>
          <w:p>
            <w:r>
              <w:rPr>
                <w:b w:val="false"/>
                <w:bCs w:val="false"/>
                <w:color w:val="444444"/>
                <w:sz w:val="20"/>
                <w:szCs w:val="20"/>
              </w:rPr>
              <w:t xml:space="preserve">Source Citations</w:t>
            </w:r>
          </w:p>
        </w:tc>
        <w:tc>
          <w:tcPr>
            <w:tcW w:type="pct" w:w="25%"/>
            <w:tcMar>
              <w:top w:type="dxa" w:w="80"/>
              <w:left w:type="dxa" w:w="100"/>
              <w:bottom w:type="dxa" w:w="80"/>
              <w:right w:type="dxa" w:w="100"/>
            </w:tcMar>
          </w:tcPr>
          <w:p>
            <w:r>
              <w:rPr>
                <w:b w:val="false"/>
                <w:bCs w:val="false"/>
                <w:color w:val="444444"/>
                <w:sz w:val="20"/>
                <w:szCs w:val="20"/>
              </w:rPr>
              <w:t xml:space="preserve">Ask about registration deadlines</w:t>
            </w:r>
          </w:p>
        </w:tc>
        <w:tc>
          <w:tcPr>
            <w:tcW w:type="pct" w:w="25%"/>
            <w:tcMar>
              <w:top w:type="dxa" w:w="80"/>
              <w:left w:type="dxa" w:w="100"/>
              <w:bottom w:type="dxa" w:w="80"/>
              <w:right w:type="dxa" w:w="100"/>
            </w:tcMar>
          </w:tcPr>
          <w:p>
            <w:r>
              <w:rPr>
                <w:b w:val="false"/>
                <w:bCs w:val="false"/>
                <w:color w:val="444444"/>
                <w:sz w:val="20"/>
                <w:szCs w:val="20"/>
              </w:rPr>
              <w:t xml:space="preserve">Answer displays the originating source</w:t>
            </w:r>
          </w:p>
        </w:tc>
      </w:tr>
      <w:tr>
        <w:tc>
          <w:tcPr>
            <w:tcW w:type="pct" w:w="25%"/>
            <w:tcMar>
              <w:top w:type="dxa" w:w="80"/>
              <w:left w:type="dxa" w:w="100"/>
              <w:bottom w:type="dxa" w:w="80"/>
              <w:right w:type="dxa" w:w="100"/>
            </w:tcMar>
          </w:tcPr>
          <w:p>
            <w:r>
              <w:rPr>
                <w:b w:val="false"/>
                <w:bCs w:val="false"/>
                <w:color w:val="444444"/>
                <w:sz w:val="20"/>
                <w:szCs w:val="20"/>
              </w:rPr>
              <w:t xml:space="preserve">TC-04</w:t>
            </w:r>
          </w:p>
        </w:tc>
        <w:tc>
          <w:tcPr>
            <w:tcW w:type="pct" w:w="25%"/>
            <w:tcMar>
              <w:top w:type="dxa" w:w="80"/>
              <w:left w:type="dxa" w:w="100"/>
              <w:bottom w:type="dxa" w:w="80"/>
              <w:right w:type="dxa" w:w="100"/>
            </w:tcMar>
          </w:tcPr>
          <w:p>
            <w:r>
              <w:rPr>
                <w:b w:val="false"/>
                <w:bCs w:val="false"/>
                <w:color w:val="444444"/>
                <w:sz w:val="20"/>
                <w:szCs w:val="20"/>
              </w:rPr>
              <w:t xml:space="preserve">Escalation</w:t>
            </w:r>
          </w:p>
        </w:tc>
        <w:tc>
          <w:tcPr>
            <w:tcW w:type="pct" w:w="25%"/>
            <w:tcMar>
              <w:top w:type="dxa" w:w="80"/>
              <w:left w:type="dxa" w:w="100"/>
              <w:bottom w:type="dxa" w:w="80"/>
              <w:right w:type="dxa" w:w="100"/>
            </w:tcMar>
          </w:tcPr>
          <w:p>
            <w:r>
              <w:rPr>
                <w:b w:val="false"/>
                <w:bCs w:val="false"/>
                <w:color w:val="444444"/>
                <w:sz w:val="20"/>
                <w:szCs w:val="20"/>
              </w:rPr>
              <w:t xml:space="preserve">Ask an ambiguous, low-confidence question</w:t>
            </w:r>
          </w:p>
        </w:tc>
        <w:tc>
          <w:tcPr>
            <w:tcW w:type="pct" w:w="25%"/>
            <w:tcMar>
              <w:top w:type="dxa" w:w="80"/>
              <w:left w:type="dxa" w:w="100"/>
              <w:bottom w:type="dxa" w:w="80"/>
              <w:right w:type="dxa" w:w="100"/>
            </w:tcMar>
          </w:tcPr>
          <w:p>
            <w:r>
              <w:rPr>
                <w:b w:val="false"/>
                <w:bCs w:val="false"/>
                <w:color w:val="444444"/>
                <w:sz w:val="20"/>
                <w:szCs w:val="20"/>
              </w:rPr>
              <w:t xml:space="preserve">Student redirected to correct department</w:t>
            </w:r>
          </w:p>
        </w:tc>
      </w:tr>
      <w:tr>
        <w:tc>
          <w:tcPr>
            <w:tcW w:type="pct" w:w="25%"/>
            <w:tcMar>
              <w:top w:type="dxa" w:w="80"/>
              <w:left w:type="dxa" w:w="100"/>
              <w:bottom w:type="dxa" w:w="80"/>
              <w:right w:type="dxa" w:w="100"/>
            </w:tcMar>
          </w:tcPr>
          <w:p>
            <w:r>
              <w:rPr>
                <w:b w:val="false"/>
                <w:bCs w:val="false"/>
                <w:color w:val="444444"/>
                <w:sz w:val="20"/>
                <w:szCs w:val="20"/>
              </w:rPr>
              <w:t xml:space="preserve">TC-05</w:t>
            </w:r>
          </w:p>
        </w:tc>
        <w:tc>
          <w:tcPr>
            <w:tcW w:type="pct" w:w="25%"/>
            <w:tcMar>
              <w:top w:type="dxa" w:w="80"/>
              <w:left w:type="dxa" w:w="100"/>
              <w:bottom w:type="dxa" w:w="80"/>
              <w:right w:type="dxa" w:w="100"/>
            </w:tcMar>
          </w:tcPr>
          <w:p>
            <w:r>
              <w:rPr>
                <w:b w:val="false"/>
                <w:bCs w:val="false"/>
                <w:color w:val="444444"/>
                <w:sz w:val="20"/>
                <w:szCs w:val="20"/>
              </w:rPr>
              <w:t xml:space="preserve">Avatar + TTS</w:t>
            </w:r>
          </w:p>
        </w:tc>
        <w:tc>
          <w:tcPr>
            <w:tcW w:type="pct" w:w="25%"/>
            <w:tcMar>
              <w:top w:type="dxa" w:w="80"/>
              <w:left w:type="dxa" w:w="100"/>
              <w:bottom w:type="dxa" w:w="80"/>
              <w:right w:type="dxa" w:w="100"/>
            </w:tcMar>
          </w:tcPr>
          <w:p>
            <w:r>
              <w:rPr>
                <w:b w:val="false"/>
                <w:bCs w:val="false"/>
                <w:color w:val="444444"/>
                <w:sz w:val="20"/>
                <w:szCs w:val="20"/>
              </w:rPr>
              <w:t xml:space="preserve">Submit any valid query</w:t>
            </w:r>
          </w:p>
        </w:tc>
        <w:tc>
          <w:tcPr>
            <w:tcW w:type="pct" w:w="25%"/>
            <w:tcMar>
              <w:top w:type="dxa" w:w="80"/>
              <w:left w:type="dxa" w:w="100"/>
              <w:bottom w:type="dxa" w:w="80"/>
              <w:right w:type="dxa" w:w="100"/>
            </w:tcMar>
          </w:tcPr>
          <w:p>
            <w:r>
              <w:rPr>
                <w:b w:val="false"/>
                <w:bCs w:val="false"/>
                <w:color w:val="444444"/>
                <w:sz w:val="20"/>
                <w:szCs w:val="20"/>
              </w:rPr>
              <w:t xml:space="preserve">Avatar animates, audio matches on-screen text</w:t>
            </w:r>
          </w:p>
        </w:tc>
      </w:tr>
      <w:tr>
        <w:tc>
          <w:tcPr>
            <w:tcW w:type="pct" w:w="25%"/>
            <w:tcMar>
              <w:top w:type="dxa" w:w="80"/>
              <w:left w:type="dxa" w:w="100"/>
              <w:bottom w:type="dxa" w:w="80"/>
              <w:right w:type="dxa" w:w="100"/>
            </w:tcMar>
          </w:tcPr>
          <w:p>
            <w:r>
              <w:rPr>
                <w:b w:val="false"/>
                <w:bCs w:val="false"/>
                <w:color w:val="444444"/>
                <w:sz w:val="20"/>
                <w:szCs w:val="20"/>
              </w:rPr>
              <w:t xml:space="preserve">TC-06</w:t>
            </w:r>
          </w:p>
        </w:tc>
        <w:tc>
          <w:tcPr>
            <w:tcW w:type="pct" w:w="25%"/>
            <w:tcMar>
              <w:top w:type="dxa" w:w="80"/>
              <w:left w:type="dxa" w:w="100"/>
              <w:bottom w:type="dxa" w:w="80"/>
              <w:right w:type="dxa" w:w="100"/>
            </w:tcMar>
          </w:tcPr>
          <w:p>
            <w:r>
              <w:rPr>
                <w:b w:val="false"/>
                <w:bCs w:val="false"/>
                <w:color w:val="444444"/>
                <w:sz w:val="20"/>
                <w:szCs w:val="20"/>
              </w:rPr>
              <w:t xml:space="preserve">Performance</w:t>
            </w:r>
          </w:p>
        </w:tc>
        <w:tc>
          <w:tcPr>
            <w:tcW w:type="pct" w:w="25%"/>
            <w:tcMar>
              <w:top w:type="dxa" w:w="80"/>
              <w:left w:type="dxa" w:w="100"/>
              <w:bottom w:type="dxa" w:w="80"/>
              <w:right w:type="dxa" w:w="100"/>
            </w:tcMar>
          </w:tcPr>
          <w:p>
            <w:r>
              <w:rPr>
                <w:b w:val="false"/>
                <w:bCs w:val="false"/>
                <w:color w:val="444444"/>
                <w:sz w:val="20"/>
                <w:szCs w:val="20"/>
              </w:rPr>
              <w:t xml:space="preserve">Send 20 concurrent queries</w:t>
            </w:r>
          </w:p>
        </w:tc>
        <w:tc>
          <w:tcPr>
            <w:tcW w:type="pct" w:w="25%"/>
            <w:tcMar>
              <w:top w:type="dxa" w:w="80"/>
              <w:left w:type="dxa" w:w="100"/>
              <w:bottom w:type="dxa" w:w="80"/>
              <w:right w:type="dxa" w:w="100"/>
            </w:tcMar>
          </w:tcPr>
          <w:p>
            <w:r>
              <w:rPr>
                <w:b w:val="false"/>
                <w:bCs w:val="false"/>
                <w:color w:val="444444"/>
                <w:sz w:val="20"/>
                <w:szCs w:val="20"/>
              </w:rPr>
              <w:t xml:space="preserve">All responses returned without failure or delay</w:t>
            </w:r>
          </w:p>
        </w:tc>
      </w:tr>
    </w:tbl>
    <w:p>
      <w:pPr>
        <w:pStyle w:val="Heading2"/>
        <w:spacing w:after="80" w:before="200"/>
      </w:pPr>
      <w:r>
        <w:rPr>
          <w:b/>
          <w:bCs/>
          <w:color w:val="1C7293"/>
          <w:sz w:val="24"/>
          <w:szCs w:val="24"/>
        </w:rPr>
        <w:t xml:space="preserve">Presentation Plan</w:t>
      </w:r>
    </w:p>
    <w:p>
      <w:pPr>
        <w:spacing w:after="140" w:line="288"/>
      </w:pPr>
      <w:r>
        <w:rPr>
          <w:color w:val="444444"/>
          <w:sz w:val="22"/>
          <w:szCs w:val="22"/>
        </w:rPr>
        <w:t xml:space="preserve">The final presentation will walk through: the problem and motivation, project overview, MVP features, system architecture, technology stack, the QA and testing results, and next steps. Slides will use visuals, diagrams, and short demo clips instead of long blocks of text, keeping the audience focused on results.</w:t>
      </w:r>
    </w:p>
    <w:p>
      <w:pPr>
        <w:pStyle w:val="Heading1"/>
        <w:spacing w:after="120" w:before="260"/>
      </w:pPr>
      <w:r>
        <w:rPr>
          <w:b/>
          <w:bCs/>
          <w:color w:val="21295C"/>
          <w:sz w:val="28"/>
          <w:szCs w:val="28"/>
        </w:rPr>
        <w:t xml:space="preserve">References</w:t>
      </w:r>
    </w:p>
    <w:p>
      <w:pPr>
        <w:pStyle w:val="ListParagraph"/>
        <w:numPr>
          <w:ilvl w:val="0"/>
          <w:numId w:val="1"/>
        </w:numPr>
        <w:spacing w:after="80" w:line="276"/>
      </w:pPr>
      <w:r>
        <w:rPr>
          <w:color w:val="444444"/>
          <w:sz w:val="22"/>
          <w:szCs w:val="22"/>
        </w:rPr>
        <w:t xml:space="preserve">Lewis, P., et al. (2020). Retrieval-Augmented Generation for Knowledge-Intensive NLP Tasks. NeurIPS.</w:t>
      </w:r>
    </w:p>
    <w:p>
      <w:pPr>
        <w:pStyle w:val="ListParagraph"/>
        <w:numPr>
          <w:ilvl w:val="0"/>
          <w:numId w:val="1"/>
        </w:numPr>
        <w:spacing w:after="80" w:line="276"/>
      </w:pPr>
      <w:r>
        <w:rPr>
          <w:color w:val="444444"/>
          <w:sz w:val="22"/>
          <w:szCs w:val="22"/>
        </w:rPr>
        <w:t xml:space="preserve">LangChain Documentation. Retrieved 2026, from https://python.langchain.com/</w:t>
      </w:r>
    </w:p>
    <w:p>
      <w:pPr>
        <w:pStyle w:val="ListParagraph"/>
        <w:numPr>
          <w:ilvl w:val="0"/>
          <w:numId w:val="1"/>
        </w:numPr>
        <w:spacing w:after="80" w:line="276"/>
      </w:pPr>
      <w:r>
        <w:rPr>
          <w:color w:val="444444"/>
          <w:sz w:val="22"/>
          <w:szCs w:val="22"/>
        </w:rPr>
        <w:t xml:space="preserve">ChromaDB Documentation. Retrieved 2026, from https://docs.trychroma.com/</w:t>
      </w:r>
    </w:p>
    <w:p>
      <w:pPr>
        <w:pStyle w:val="ListParagraph"/>
        <w:numPr>
          <w:ilvl w:val="0"/>
          <w:numId w:val="1"/>
        </w:numPr>
        <w:spacing w:after="80" w:line="276"/>
      </w:pPr>
      <w:r>
        <w:rPr>
          <w:color w:val="444444"/>
          <w:sz w:val="22"/>
          <w:szCs w:val="22"/>
        </w:rPr>
        <w:t xml:space="preserve">Ollama Documentation. Retrieved 2026, from https://ollama.ai/</w:t>
      </w:r>
    </w:p>
    <w:p>
      <w:pPr>
        <w:pStyle w:val="ListParagraph"/>
        <w:numPr>
          <w:ilvl w:val="0"/>
          <w:numId w:val="1"/>
        </w:numPr>
        <w:spacing w:after="80" w:line="276"/>
      </w:pPr>
      <w:r>
        <w:rPr>
          <w:color w:val="444444"/>
          <w:sz w:val="22"/>
          <w:szCs w:val="22"/>
        </w:rPr>
        <w:t xml:space="preserve">Next.js Documentation. Retrieved 2026, from https://nextjs.org/docs</w:t>
      </w:r>
    </w:p>
    <w:p>
      <w:pPr>
        <w:pStyle w:val="ListParagraph"/>
        <w:numPr>
          <w:ilvl w:val="0"/>
          <w:numId w:val="1"/>
        </w:numPr>
        <w:spacing w:after="80" w:line="276"/>
      </w:pPr>
      <w:r>
        <w:rPr>
          <w:color w:val="444444"/>
          <w:sz w:val="22"/>
          <w:szCs w:val="22"/>
        </w:rPr>
        <w:t xml:space="preserve">FastAPI Documentation. Retrieved 2026, from https://fastapi.tiangolo.com/</w:t>
      </w:r>
    </w:p>
    <w:p>
      <w:pPr>
        <w:pStyle w:val="ListParagraph"/>
        <w:numPr>
          <w:ilvl w:val="0"/>
          <w:numId w:val="1"/>
        </w:numPr>
        <w:spacing w:after="80" w:line="276"/>
      </w:pPr>
      <w:r>
        <w:rPr>
          <w:color w:val="444444"/>
          <w:sz w:val="22"/>
          <w:szCs w:val="22"/>
        </w:rPr>
        <w:t xml:space="preserve">Centennial College. Official Programs, Policies and Academic Calendar. Retrieved 2026, from https://www.centennialcollege.ca/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2026-07-30T10:34:43.393Z</dcterms:created>
  <dcterms:modified xsi:type="dcterms:W3CDTF">2026-07-30T10:34:43.394Z</dcterms:modified>
</cp:coreProperties>
</file>

<file path=docProps/custom.xml><?xml version="1.0" encoding="utf-8"?>
<Properties xmlns="http://schemas.openxmlformats.org/officeDocument/2006/custom-properties" xmlns:vt="http://schemas.openxmlformats.org/officeDocument/2006/docPropsVTypes"/>
</file>