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00 — Documentation Set: Start Here</w:t>
      </w:r>
    </w:p>
    <w:p>
      <w:pPr>
        <w:pStyle w:val="Date"/>
      </w:pPr>
      <w:r>
        <w:t xml:space="preserve">2026-11-01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18" w:name="what-this-set-is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What this set is</w:t>
      </w:r>
    </w:p>
    <w:p>
      <w:pPr>
        <w:pStyle w:val="FirstParagraph"/>
      </w:pPr>
      <w:r>
        <w:t xml:space="preserve">Nine documents about the asset-management application in this folder: what it</w:t>
      </w:r>
      <w:r>
        <w:t xml:space="preserve"> </w:t>
      </w:r>
      <w:r>
        <w:t xml:space="preserve">does, how it is built, how it is used, how it runs, and how it is deployed.</w:t>
      </w:r>
      <w:r>
        <w:t xml:space="preserve"> </w:t>
      </w:r>
      <w:r>
        <w:t xml:space="preserve">They describe the code as it stands on</w:t>
      </w:r>
      <w:r>
        <w:t xml:space="preserve"> </w:t>
      </w:r>
      <w:r>
        <w:rPr>
          <w:b/>
          <w:bCs/>
        </w:rPr>
        <w:t xml:space="preserve">2026-11-01</w:t>
      </w:r>
      <w:r>
        <w:t xml:space="preserve">, after the modularisation</w:t>
      </w:r>
      <w:r>
        <w:t xml:space="preserve"> </w:t>
      </w:r>
      <w:r>
        <w:t xml:space="preserve">refactor and the 2026-11-01 production release.</w:t>
      </w:r>
    </w:p>
    <w:p>
      <w:pPr>
        <w:pStyle w:val="BodyText"/>
      </w:pPr>
      <w:r>
        <w:t xml:space="preserve">Every factual statement was taken from the source, from a live read of the</w:t>
      </w:r>
      <w:r>
        <w:t xml:space="preserve"> </w:t>
      </w:r>
      <w:r>
        <w:t xml:space="preserve">database, or from a measured run — not from the older</w:t>
      </w:r>
      <w:r>
        <w:t xml:space="preserve"> </w:t>
      </w:r>
      <w:r>
        <w:rPr>
          <w:rStyle w:val="VerbatimChar"/>
        </w:rPr>
        <w:t xml:space="preserve">README.md</w:t>
      </w:r>
      <w:r>
        <w:t xml:space="preserve">. Where the</w:t>
      </w:r>
      <w:r>
        <w:t xml:space="preserve"> </w:t>
      </w:r>
      <w:r>
        <w:rPr>
          <w:rStyle w:val="VerbatimChar"/>
        </w:rPr>
        <w:t xml:space="preserve">README.md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IMPLEMENTATION-PLAN.md</w:t>
      </w:r>
      <w:r>
        <w:t xml:space="preserve"> </w:t>
      </w:r>
      <w:r>
        <w:t xml:space="preserve">disagree with the code, document 02</w:t>
      </w:r>
      <w:r>
        <w:t xml:space="preserve"> </w:t>
      </w:r>
      <w:r>
        <w:t xml:space="preserve">lists the differences.</w:t>
      </w:r>
    </w:p>
    <w:bookmarkEnd w:id="18"/>
    <w:bookmarkStart w:id="19" w:name="which-document-to-read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Which document to read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Document</w:t>
            </w:r>
          </w:p>
        </w:tc>
        <w:tc>
          <w:tcPr/>
          <w:p>
            <w:pPr>
              <w:pStyle w:val="Compact"/>
            </w:pPr>
            <w:r>
              <w:t xml:space="preserve">Read it if you are</w:t>
            </w:r>
          </w:p>
        </w:tc>
        <w:tc>
          <w:tcPr/>
          <w:p>
            <w:pPr>
              <w:pStyle w:val="Compact"/>
            </w:pPr>
            <w:r>
              <w:t xml:space="preserve">Rough length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01 — Overview</w:t>
            </w:r>
          </w:p>
        </w:tc>
        <w:tc>
          <w:tcPr/>
          <w:p>
            <w:pPr>
              <w:pStyle w:val="Compact"/>
            </w:pPr>
            <w:r>
              <w:t xml:space="preserve">new to the app, an office user, or deciding what this software does</w:t>
            </w:r>
          </w:p>
        </w:tc>
        <w:tc>
          <w:tcPr/>
          <w:p>
            <w:pPr>
              <w:pStyle w:val="Compact"/>
            </w:pPr>
            <w:r>
              <w:t xml:space="preserve">short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02 — Architecture</w:t>
            </w:r>
          </w:p>
        </w:tc>
        <w:tc>
          <w:tcPr/>
          <w:p>
            <w:pPr>
              <w:pStyle w:val="Compact"/>
            </w:pPr>
            <w:r>
              <w:t xml:space="preserve">about to change the code, or reviewing an approach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03 — Data Model and Migrations</w:t>
            </w:r>
          </w:p>
        </w:tc>
        <w:tc>
          <w:tcPr/>
          <w:p>
            <w:pPr>
              <w:pStyle w:val="Compact"/>
            </w:pPr>
            <w:r>
              <w:t xml:space="preserve">working on the database, or on a migration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04 — Backend Guide</w:t>
            </w:r>
          </w:p>
        </w:tc>
        <w:tc>
          <w:tcPr/>
          <w:p>
            <w:pPr>
              <w:pStyle w:val="Compact"/>
            </w:pPr>
            <w:r>
              <w:t xml:space="preserve">writing or reviewing server code</w:t>
            </w:r>
          </w:p>
        </w:tc>
        <w:tc>
          <w:tcPr/>
          <w:p>
            <w:pPr>
              <w:pStyle w:val="Compact"/>
            </w:pPr>
            <w:r>
              <w:t xml:space="preserve">long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05 — API Reference</w:t>
            </w:r>
          </w:p>
        </w:tc>
        <w:tc>
          <w:tcPr/>
          <w:p>
            <w:pPr>
              <w:pStyle w:val="Compact"/>
            </w:pPr>
            <w:r>
              <w:t xml:space="preserve">calling the API, from the client or from your own script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06 — Frontend Guide</w:t>
            </w:r>
          </w:p>
        </w:tc>
        <w:tc>
          <w:tcPr/>
          <w:p>
            <w:pPr>
              <w:pStyle w:val="Compact"/>
            </w:pPr>
            <w:r>
              <w:t xml:space="preserve">writing or reviewing React code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07 — User Guide</w:t>
            </w:r>
          </w:p>
        </w:tc>
        <w:tc>
          <w:tcPr/>
          <w:p>
            <w:pPr>
              <w:pStyle w:val="Compact"/>
            </w:pPr>
            <w:r>
              <w:t xml:space="preserve">using or administering the app in a browser, or training someone</w:t>
            </w:r>
          </w:p>
        </w:tc>
        <w:tc>
          <w:tcPr/>
          <w:p>
            <w:pPr>
              <w:pStyle w:val="Compact"/>
            </w:pPr>
            <w:r>
              <w:t xml:space="preserve">long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08 — Setup and Development</w:t>
            </w:r>
          </w:p>
        </w:tc>
        <w:tc>
          <w:tcPr/>
          <w:p>
            <w:pPr>
              <w:pStyle w:val="Compact"/>
            </w:pPr>
            <w:r>
              <w:t xml:space="preserve">setting up a machine, running tests, making a change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09 — Docker, Deployment and Operations</w:t>
            </w:r>
          </w:p>
        </w:tc>
        <w:tc>
          <w:tcPr/>
          <w:p>
            <w:pPr>
              <w:pStyle w:val="Compact"/>
            </w:pPr>
            <w:r>
              <w:t xml:space="preserve">running it in production, deploying, or fixing an outage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</w:tr>
    </w:tbl>
    <w:p>
      <w:pPr>
        <w:pStyle w:val="BodyText"/>
      </w:pPr>
      <w:r>
        <w:t xml:space="preserve">A new developer’s path:</w:t>
      </w:r>
      <w:r>
        <w:t xml:space="preserve"> </w:t>
      </w:r>
      <w:r>
        <w:rPr>
          <w:b/>
          <w:bCs/>
        </w:rPr>
        <w:t xml:space="preserve">01 → 07 (skim) → 02 → 08</w:t>
      </w:r>
      <w:r>
        <w:t xml:space="preserve">, then 03/04/05/06 as</w:t>
      </w:r>
      <w:r>
        <w:t xml:space="preserve"> </w:t>
      </w:r>
      <w:r>
        <w:t xml:space="preserve">needed per task. An admin’s path:</w:t>
      </w:r>
      <w:r>
        <w:t xml:space="preserve"> </w:t>
      </w:r>
      <w:r>
        <w:rPr>
          <w:b/>
          <w:bCs/>
        </w:rPr>
        <w:t xml:space="preserve">01 → 07 → 09</w:t>
      </w:r>
      <w:r>
        <w:t xml:space="preserve"> </w:t>
      </w:r>
      <w:r>
        <w:t xml:space="preserve">for the Settings cards.</w:t>
      </w:r>
    </w:p>
    <w:bookmarkEnd w:id="19"/>
    <w:bookmarkStart w:id="20" w:name="the-app-in-eight-lines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The app in eight lines</w:t>
      </w:r>
    </w:p>
    <w:p>
      <w:pPr>
        <w:pStyle w:val="Compact"/>
        <w:numPr>
          <w:ilvl w:val="0"/>
          <w:numId w:val="1001"/>
        </w:numPr>
      </w:pPr>
      <w:r>
        <w:t xml:space="preserve">It tracks</w:t>
      </w:r>
      <w:r>
        <w:t xml:space="preserve"> </w:t>
      </w:r>
      <w:r>
        <w:rPr>
          <w:b/>
          <w:bCs/>
        </w:rPr>
        <w:t xml:space="preserve">assets</w:t>
      </w:r>
      <w:r>
        <w:t xml:space="preserve"> </w:t>
      </w:r>
      <w:r>
        <w:t xml:space="preserve">— laptops, printers, chairs — for an organisation.</w:t>
      </w:r>
    </w:p>
    <w:p>
      <w:pPr>
        <w:pStyle w:val="Compact"/>
        <w:numPr>
          <w:ilvl w:val="0"/>
          <w:numId w:val="1001"/>
        </w:numPr>
      </w:pPr>
      <w:r>
        <w:t xml:space="preserve">An</w:t>
      </w:r>
      <w:r>
        <w:t xml:space="preserve"> </w:t>
      </w:r>
      <w:r>
        <w:rPr>
          <w:b/>
          <w:bCs/>
        </w:rPr>
        <w:t xml:space="preserve">asset type</w:t>
      </w:r>
      <w:r>
        <w:t xml:space="preserve"> </w:t>
      </w:r>
      <w:r>
        <w:t xml:space="preserve">is a name plus a form; the form is built from reusable</w:t>
      </w:r>
      <w:r>
        <w:t xml:space="preserve"> </w:t>
      </w:r>
      <w:r>
        <w:rPr>
          <w:b/>
          <w:bCs/>
        </w:rPr>
        <w:t xml:space="preserve">field definitions</w:t>
      </w:r>
      <w:r>
        <w:t xml:space="preserve">, so nothing about the data model is hard-coded.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Users</w:t>
      </w:r>
      <w:r>
        <w:t xml:space="preserve"> </w:t>
      </w:r>
      <w:r>
        <w:t xml:space="preserve">each own their own asset types, fields, dropdowns and forms. A</w:t>
      </w:r>
      <w:r>
        <w:t xml:space="preserve"> </w:t>
      </w:r>
      <w:r>
        <w:t xml:space="preserve">person sees only their own work unless an admin shares a type with them; an</w:t>
      </w:r>
      <w:r>
        <w:t xml:space="preserve"> </w:t>
      </w:r>
      <w:r>
        <w:t xml:space="preserve">admin sees everything.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Automation rules</w:t>
      </w:r>
      <w:r>
        <w:t xml:space="preserve"> </w:t>
      </w:r>
      <w:r>
        <w:t xml:space="preserve">fill or clear one field when another field changes.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Email notification rules</w:t>
      </w:r>
      <w:r>
        <w:t xml:space="preserve"> </w:t>
      </w:r>
      <w:r>
        <w:t xml:space="preserve">mail named recipients when an asset is created</w:t>
      </w:r>
      <w:r>
        <w:t xml:space="preserve"> </w:t>
      </w:r>
      <w:r>
        <w:t xml:space="preserve">or a field changes. Mail is queued in the database and sent by a worker</w:t>
      </w:r>
      <w:r>
        <w:t xml:space="preserve"> </w:t>
      </w:r>
      <w:r>
        <w:t xml:space="preserve">inside the server process.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Quick Entry</w:t>
      </w:r>
      <w:r>
        <w:t xml:space="preserve"> </w:t>
      </w:r>
      <w:r>
        <w:t xml:space="preserve">puts a public form on the sign-in screen so an outsider can</w:t>
      </w:r>
      <w:r>
        <w:t xml:space="preserve"> </w:t>
      </w:r>
      <w:r>
        <w:t xml:space="preserve">submit a request, which becomes a notification rather than an asset.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Reports</w:t>
      </w:r>
      <w:r>
        <w:t xml:space="preserve"> </w:t>
      </w:r>
      <w:r>
        <w:t xml:space="preserve">cross asset types, and both table pages export to Excel in the</w:t>
      </w:r>
      <w:r>
        <w:t xml:space="preserve"> </w:t>
      </w:r>
      <w:r>
        <w:t xml:space="preserve">browser.</w:t>
      </w:r>
    </w:p>
    <w:p>
      <w:pPr>
        <w:pStyle w:val="Compact"/>
        <w:numPr>
          <w:ilvl w:val="0"/>
          <w:numId w:val="1001"/>
        </w:numPr>
      </w:pPr>
      <w:r>
        <w:t xml:space="preserve">One Docker container runs the API and the built website together; MySQL 8</w:t>
      </w:r>
      <w:r>
        <w:t xml:space="preserve"> </w:t>
      </w:r>
      <w:r>
        <w:t xml:space="preserve">holds every byte of state.</w:t>
      </w:r>
    </w:p>
    <w:bookmarkEnd w:id="20"/>
    <w:bookmarkStart w:id="21" w:name="vocabulary-used-consistently"/>
    <w:p>
      <w:pPr>
        <w:pStyle w:val="Heading1"/>
      </w:pPr>
      <w:r>
        <w:rPr>
          <w:rStyle w:val="SectionNumber"/>
        </w:rPr>
        <w:t xml:space="preserve">4</w:t>
      </w:r>
      <w:r>
        <w:tab/>
      </w:r>
      <w:r>
        <w:t xml:space="preserve">Vocabulary used consistently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Word</w:t>
            </w:r>
          </w:p>
        </w:tc>
        <w:tc>
          <w:tcPr/>
          <w:p>
            <w:pPr>
              <w:pStyle w:val="Compact"/>
            </w:pPr>
            <w:r>
              <w:t xml:space="preserve">Means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asset type</w:t>
            </w:r>
          </w:p>
        </w:tc>
        <w:tc>
          <w:tcPr/>
          <w:p>
            <w:pPr>
              <w:pStyle w:val="Compact"/>
            </w:pPr>
            <w:r>
              <w:t xml:space="preserve">a category with a form, e.g. </w:t>
            </w:r>
            <w:r>
              <w:rPr>
                <w:i/>
                <w:iCs/>
              </w:rPr>
              <w:t xml:space="preserve">Laptop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field definition</w:t>
            </w:r>
          </w:p>
        </w:tc>
        <w:tc>
          <w:tcPr/>
          <w:p>
            <w:pPr>
              <w:pStyle w:val="Compact"/>
            </w:pPr>
            <w:r>
              <w:t xml:space="preserve">one reusable question, e.g. </w:t>
            </w:r>
            <w:r>
              <w:rPr>
                <w:i/>
                <w:iCs/>
              </w:rPr>
              <w:t xml:space="preserve">Serial Number</w:t>
            </w:r>
            <w:r>
              <w:t xml:space="preserve"> </w:t>
            </w:r>
            <w:r>
              <w:t xml:space="preserve">with key</w:t>
            </w:r>
            <w:r>
              <w:t xml:space="preserve"> </w:t>
            </w:r>
            <w:r>
              <w:rPr>
                <w:rStyle w:val="VerbatimChar"/>
              </w:rPr>
              <w:t xml:space="preserve">serial_number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form</w:t>
            </w:r>
          </w:p>
        </w:tc>
        <w:tc>
          <w:tcPr/>
          <w:p>
            <w:pPr>
              <w:pStyle w:val="Compact"/>
            </w:pPr>
            <w:r>
              <w:t xml:space="preserve">the ordered set of fields attached to one asset type, or the common form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common form</w:t>
            </w:r>
          </w:p>
        </w:tc>
        <w:tc>
          <w:tcPr/>
          <w:p>
            <w:pPr>
              <w:pStyle w:val="Compact"/>
            </w:pPr>
            <w:r>
              <w:t xml:space="preserve">the field set automatically offered to every asset type of the owner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capability</w:t>
            </w:r>
          </w:p>
        </w:tc>
        <w:tc>
          <w:tcPr/>
          <w:p>
            <w:pPr>
              <w:pStyle w:val="Compact"/>
            </w:pPr>
            <w:r>
              <w:t xml:space="preserve">a permission key such as</w:t>
            </w:r>
            <w:r>
              <w:t xml:space="preserve"> </w:t>
            </w:r>
            <w:r>
              <w:rPr>
                <w:rStyle w:val="VerbatimChar"/>
              </w:rPr>
              <w:t xml:space="preserve">assets.edit_own</w:t>
            </w:r>
            <w:r>
              <w:t xml:space="preserve">; see documents 01 and 04</w:t>
            </w:r>
          </w:p>
        </w:tc>
      </w:tr>
      <w:tr>
        <w:tc>
          <w:tcPr/>
          <w:p>
            <w:pPr>
              <w:pStyle w:val="Compact"/>
            </w:pPr>
            <w:r>
              <w:t xml:space="preserve">owner</w:t>
            </w:r>
          </w:p>
        </w:tc>
        <w:tc>
          <w:tcPr/>
          <w:p>
            <w:pPr>
              <w:pStyle w:val="Compact"/>
            </w:pPr>
            <w:r>
              <w:t xml:space="preserve">the single user a record belongs to;</w:t>
            </w:r>
            <w:r>
              <w:t xml:space="preserve"> </w:t>
            </w:r>
            <w:r>
              <w:rPr>
                <w:rStyle w:val="VerbatimChar"/>
              </w:rPr>
              <w:t xml:space="preserve">_own</w:t>
            </w:r>
            <w:r>
              <w:t xml:space="preserve"> </w:t>
            </w:r>
            <w:r>
              <w:t xml:space="preserve">in a capability refers to them</w:t>
            </w:r>
          </w:p>
        </w:tc>
      </w:tr>
      <w:tr>
        <w:tc>
          <w:tcPr/>
          <w:p>
            <w:pPr>
              <w:pStyle w:val="Compact"/>
            </w:pPr>
            <w:r>
              <w:t xml:space="preserve">outbox</w:t>
            </w:r>
          </w:p>
        </w:tc>
        <w:tc>
          <w:tcPr/>
          <w:p>
            <w:pPr>
              <w:pStyle w:val="Compact"/>
            </w:pPr>
            <w:r>
              <w:t xml:space="preserve">the</w:t>
            </w:r>
            <w:r>
              <w:t xml:space="preserve"> </w:t>
            </w:r>
            <w:r>
              <w:rPr>
                <w:rStyle w:val="VerbatimChar"/>
              </w:rPr>
              <w:t xml:space="preserve">email_outbox</w:t>
            </w:r>
            <w:r>
              <w:t xml:space="preserve"> </w:t>
            </w:r>
            <w:r>
              <w:t xml:space="preserve">table; every queued mail is one row and is what the Email History page reads</w:t>
            </w:r>
          </w:p>
        </w:tc>
      </w:tr>
      <w:tr>
        <w:tc>
          <w:tcPr/>
          <w:p>
            <w:pPr>
              <w:pStyle w:val="Compact"/>
            </w:pPr>
            <w:r>
              <w:t xml:space="preserve">break-glass</w:t>
            </w:r>
          </w:p>
        </w:tc>
        <w:tc>
          <w:tcPr/>
          <w:p>
            <w:pPr>
              <w:pStyle w:val="Compact"/>
            </w:pPr>
            <w:r>
              <w:t xml:space="preserve">an environment variable that disables a safety gate when it has locked people out</w:t>
            </w:r>
          </w:p>
        </w:tc>
      </w:tr>
    </w:tbl>
    <w:bookmarkEnd w:id="21"/>
    <w:bookmarkStart w:id="22" w:name="housekeeping-for-these-documents"/>
    <w:p>
      <w:pPr>
        <w:pStyle w:val="Heading1"/>
      </w:pPr>
      <w:r>
        <w:rPr>
          <w:rStyle w:val="SectionNumber"/>
        </w:rPr>
        <w:t xml:space="preserve">5</w:t>
      </w:r>
      <w:r>
        <w:tab/>
      </w:r>
      <w:r>
        <w:t xml:space="preserve">Housekeeping for these documents</w:t>
      </w:r>
    </w:p>
    <w:p>
      <w:pPr>
        <w:pStyle w:val="Compact"/>
        <w:numPr>
          <w:ilvl w:val="0"/>
          <w:numId w:val="1002"/>
        </w:numPr>
      </w:pPr>
      <w:r>
        <w:t xml:space="preserve">Editable Markdown sources are in</w:t>
      </w:r>
      <w:r>
        <w:t xml:space="preserve"> </w:t>
      </w:r>
      <w:r>
        <w:rPr>
          <w:rStyle w:val="VerbatimChar"/>
        </w:rPr>
        <w:t xml:space="preserve">doc/src/</w:t>
      </w:r>
      <w:r>
        <w:t xml:space="preserve">. The Word files in</w:t>
      </w:r>
      <w:r>
        <w:t xml:space="preserve"> </w:t>
      </w:r>
      <w:r>
        <w:rPr>
          <w:rStyle w:val="VerbatimChar"/>
        </w:rPr>
        <w:t xml:space="preserve">doc/</w:t>
      </w:r>
      <w:r>
        <w:t xml:space="preserve"> </w:t>
      </w:r>
      <w:r>
        <w:t xml:space="preserve">are</w:t>
      </w:r>
      <w:r>
        <w:t xml:space="preserve"> </w:t>
      </w:r>
      <w:r>
        <w:t xml:space="preserve">generated from them — do not hand-edit a</w:t>
      </w:r>
      <w:r>
        <w:t xml:space="preserve"> </w:t>
      </w:r>
      <w:r>
        <w:rPr>
          <w:rStyle w:val="VerbatimChar"/>
        </w:rPr>
        <w:t xml:space="preserve">.docx</w:t>
      </w:r>
      <w:r>
        <w:t xml:space="preserve"> </w:t>
      </w:r>
      <w:r>
        <w:t xml:space="preserve">and expect it to survive.</w:t>
      </w:r>
    </w:p>
    <w:p>
      <w:pPr>
        <w:pStyle w:val="Compact"/>
        <w:numPr>
          <w:ilvl w:val="0"/>
          <w:numId w:val="1002"/>
        </w:numPr>
      </w:pPr>
      <w:r>
        <w:t xml:space="preserve">Regenerate the whole set with</w:t>
      </w:r>
      <w:r>
        <w:t xml:space="preserve"> </w:t>
      </w:r>
      <w:r>
        <w:rPr>
          <w:rStyle w:val="VerbatimChar"/>
        </w:rPr>
        <w:t xml:space="preserve">python doc/_build/build_docs.py</w:t>
      </w:r>
      <w:r>
        <w:t xml:space="preserve"> </w:t>
      </w:r>
      <w:r>
        <w:t xml:space="preserve">(or one</w:t>
      </w:r>
      <w:r>
        <w:t xml:space="preserve"> </w:t>
      </w:r>
      <w:r>
        <w:t xml:space="preserve">document by name). Styling comes from</w:t>
      </w:r>
      <w:r>
        <w:t xml:space="preserve"> </w:t>
      </w:r>
      <w:r>
        <w:rPr>
          <w:rStyle w:val="VerbatimChar"/>
        </w:rPr>
        <w:t xml:space="preserve">doc/_build/reference.docx</w:t>
      </w:r>
      <w:r>
        <w:t xml:space="preserve">, which</w:t>
      </w:r>
      <w:r>
        <w:t xml:space="preserve"> </w:t>
      </w:r>
      <w:r>
        <w:rPr>
          <w:rStyle w:val="VerbatimChar"/>
        </w:rPr>
        <w:t xml:space="preserve">python doc/_build/make_reference.py</w:t>
      </w:r>
      <w:r>
        <w:t xml:space="preserve"> </w:t>
      </w:r>
      <w:r>
        <w:t xml:space="preserve">rebuilds.</w:t>
      </w:r>
      <w:r>
        <w:t xml:space="preserve"> </w:t>
      </w:r>
      <w:r>
        <w:rPr>
          <w:rStyle w:val="VerbatimChar"/>
        </w:rPr>
        <w:t xml:space="preserve">doc/README.md</w:t>
      </w:r>
      <w:r>
        <w:t xml:space="preserve"> </w:t>
      </w:r>
      <w:r>
        <w:t xml:space="preserve">has details.</w:t>
      </w:r>
    </w:p>
    <w:p>
      <w:pPr>
        <w:pStyle w:val="Compact"/>
        <w:numPr>
          <w:ilvl w:val="0"/>
          <w:numId w:val="1002"/>
        </w:numPr>
      </w:pPr>
      <w:r>
        <w:t xml:space="preserve">Each document is self-contained on purpose, with its own contents page, so it</w:t>
      </w:r>
      <w:r>
        <w:t xml:space="preserve"> </w:t>
      </w:r>
      <w:r>
        <w:t xml:space="preserve">can be sent to one person on its own.</w:t>
      </w:r>
    </w:p>
    <w:p>
      <w:pPr>
        <w:pStyle w:val="Compact"/>
        <w:numPr>
          <w:ilvl w:val="0"/>
          <w:numId w:val="1002"/>
        </w:numPr>
      </w:pPr>
      <w:r>
        <w:t xml:space="preserve">Nothing in here contains a password, a token, a live Turnstile key or a</w:t>
      </w:r>
      <w:r>
        <w:t xml:space="preserve"> </w:t>
      </w:r>
      <w:r>
        <w:t xml:space="preserve">database credential. Where a value is needed, the documents say so in words.</w:t>
      </w:r>
    </w:p>
    <w:bookmarkEnd w:id="22"/>
    <w:sectPr>
      <w:footerReference r:id="rId9" w:type="default"/>
      <w:footnotePr>
        <w:numRestart w:val="eachSect"/>
      </w:footnotePr>
      <w:pgMar w:bottom="1077" w:left="1191" w:right="1191" w:top="1077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4748B"/>
        <w:sz w:val="16"/>
      </w:rPr>
      <w:t xml:space="preserve">Asset Management App  |  documentation set  |  page </w:t>
    </w:r>
    <w:r>
      <w:rPr>
        <w:color w:val="64748B"/>
        <w:sz w:val="16"/>
      </w:rPr>
    </w:r>
    <w:fldSimple w:instr=" PAGE "/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pPr>
      <w:spacing w:after="120" w:line="269" w:lineRule="auto"/>
    </w:pPr>
    <w:rPr>
      <w:rFonts w:ascii="Calibri" w:hAnsi="Calibri"/>
      <w:sz w:val="21"/>
    </w:rPr>
  </w:style>
  <w:style w:styleId="BodyText" w:type="paragraph">
    <w:name w:val="Body Text"/>
    <w:basedOn w:val="Normal"/>
    <w:link w:val="BodyTextChar"/>
    <w:qFormat/>
    <w:pPr>
      <w:spacing w:after="180" w:before="180"/>
    </w:pPr>
    <w:rPr>
      <w:sz w:val="21"/>
    </w:rPr>
  </w:style>
  <w:style w:customStyle="1" w:styleId="FirstParagraph" w:type="paragraph">
    <w:name w:val="First Paragraph"/>
    <w:basedOn w:val="BodyText"/>
    <w:next w:val="BodyText"/>
    <w:qFormat/>
    <w:rPr>
      <w:sz w:val="21"/>
    </w:rPr>
  </w:style>
  <w:style w:customStyle="1" w:styleId="Compact" w:type="paragraph">
    <w:name w:val="Compact"/>
    <w:basedOn w:val="BodyText"/>
    <w:qFormat/>
    <w:pPr>
      <w:spacing w:after="36" w:before="36"/>
    </w:pPr>
    <w:rPr>
      <w:sz w:val="21"/>
    </w:r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b/>
      <w:color w:val="0F172A"/>
      <w:sz w:val="52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color w:val="64748B"/>
      <w:spacing w:val="15"/>
      <w:sz w:val="23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color w:val="64748B"/>
      <w:sz w:val="21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color w:val="64748B"/>
      <w:sz w:val="21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280"/>
      <w:outlineLvl w:val="0"/>
    </w:pPr>
    <w:rPr>
      <w:rFonts w:ascii="Calibri" w:asciiTheme="majorHAnsi" w:cstheme="majorBidi" w:eastAsiaTheme="majorEastAsia" w:hAnsi="Calibri" w:hAnsiTheme="majorHAnsi"/>
      <w:b/>
      <w:color w:val="0F172A"/>
      <w:sz w:val="3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200"/>
      <w:outlineLvl w:val="1"/>
    </w:pPr>
    <w:rPr>
      <w:rFonts w:ascii="Calibri" w:asciiTheme="majorHAnsi" w:cstheme="majorBidi" w:eastAsiaTheme="majorEastAsia" w:hAnsi="Calibri" w:hAnsiTheme="majorHAnsi"/>
      <w:b/>
      <w:color w:val="1D4ED8"/>
      <w:sz w:val="25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200"/>
      <w:outlineLvl w:val="2"/>
    </w:pPr>
    <w:rPr>
      <w:rFonts w:ascii="Calibri" w:cstheme="majorBidi" w:eastAsiaTheme="majorEastAsia" w:hAnsi="Calibri"/>
      <w:b/>
      <w:color w:val="334155"/>
      <w:sz w:val="23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80" w:before="200"/>
      <w:outlineLvl w:val="3"/>
    </w:pPr>
    <w:rPr>
      <w:rFonts w:ascii="Calibri" w:cstheme="majorBidi" w:eastAsiaTheme="majorEastAsia" w:hAnsi="Calibri"/>
      <w:b/>
      <w:i/>
      <w:iCs/>
      <w:color w:val="334155"/>
      <w:sz w:val="22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StylePr w:type="firstRow">
      <w:tcPr>
        <w:shd w:color="auto" w:fill="EEF2F7" w:val="clear"/>
        <w:tcBorders>
          <w:bottom w:val="single"/>
        </w:tcBorders>
        <w:vAlign w:val="bottom"/>
      </w:tcPr>
    </w:tblStylePr>
    <w:tblPr>
      <w:tblBorders>
        <w:top w:color="94A3B8" w:space="0" w:sz="6" w:val="single"/>
        <w:left w:color="94A3B8" w:space="0" w:sz="6" w:val="single"/>
        <w:bottom w:color="94A3B8" w:space="0" w:sz="6" w:val="single"/>
        <w:right w:color="94A3B8" w:space="0" w:sz="6" w:val="single"/>
        <w:insideH w:color="94A3B8" w:space="0" w:sz="4" w:val="single"/>
        <w:insideV w:color="94A3B8" w:space="0" w:sz="4" w:val="single"/>
      </w:tblBorders>
      <w:tblCellMar>
        <w:top w:type="dxa" w:w="60"/>
        <w:left w:type="dxa" w:w="90"/>
        <w:bottom w:type="dxa" w:w="60"/>
        <w:right w:type="dxa" w:w="90"/>
      </w:tblCellMar>
    </w:tbl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  <w:color w:val="64748B"/>
      <w:sz w:val="18"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18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7" Target="numbering.xml" /><Relationship Type="http://schemas.openxmlformats.org/officeDocument/2006/relationships/styles" Id="rId16" Target="styles.xml" /><Relationship Type="http://schemas.openxmlformats.org/officeDocument/2006/relationships/settings" Id="rId15" Target="settings.xml" /><Relationship Type="http://schemas.openxmlformats.org/officeDocument/2006/relationships/webSettings" Id="rId14" Target="webSettings.xml" /><Relationship Type="http://schemas.openxmlformats.org/officeDocument/2006/relationships/fontTable" Id="rId13" Target="fontTable.xml" /><Relationship Type="http://schemas.openxmlformats.org/officeDocument/2006/relationships/theme" Id="rId12" Target="theme/theme1.xml" /><Relationship Type="http://schemas.openxmlformats.org/officeDocument/2006/relationships/footnotes" Id="rId11" Target="footnotes.xml" /><Relationship Type="http://schemas.openxmlformats.org/officeDocument/2006/relationships/comments" Id="rId10" Target="comments.xml" /><Relationship Id="rId9" Target="footer1.xml" Type="http://schemas.openxmlformats.org/officeDocument/2006/relationships/foot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00 — Documentation Set: Start Here</dc:title>
  <dc:creator/>
  <dc:language>en</dc:language>
  <cp:keywords/>
  <dcterms:created xsi:type="dcterms:W3CDTF">2026-10-31T20:16:17Z</dcterms:created>
  <dcterms:modified xsi:type="dcterms:W3CDTF">2026-10-31T20:16:17Z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2026-11-01</vt:lpwstr>
  </property>
</Properties>
</file>