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PPIT - QUIZ #2</w:t>
      </w:r>
    </w:p>
    <w:p>
      <w:pPr>
        <w:rPr>
          <w:rFonts w:hint="default"/>
          <w:b/>
          <w:bCs/>
          <w:sz w:val="28"/>
          <w:szCs w:val="28"/>
          <w:lang w:val="en-US"/>
        </w:rPr>
      </w:pPr>
      <w:r>
        <w:rPr>
          <w:rFonts w:hint="default"/>
          <w:b/>
          <w:bCs/>
          <w:sz w:val="28"/>
          <w:szCs w:val="28"/>
          <w:lang w:val="en-US"/>
        </w:rPr>
        <w:t>K20-1052 Hassan Ali</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Example comprehensive policy that SUNITHA NATH BOUTIQUES could implement after the incident with Raghu:</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Employee Recruitment Policy: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Conduct thorough background checks on all potential new hires, including reference checks with previous employers.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Have new employees sign more extensive confidentiality and non-compete agreements clearly laying out expectations around protecting company information.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Provide training for new employees on company policies and code of conduct. Ensure they understand expectations.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Implement procedures for granting access to confidential company information and systems. Access should be given only on a need-to-know basis.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Design Rights Policy: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Register all original designs with the appropriate intellectual property authorities.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Have clear written agreements with designers acknowledging company ownership of designs created for the company.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Include strong non-disclosure language in designer contracts to protect company design IP.</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Implement a digital rights management system to control access to design files.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Business Transaction Policy: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Require written approval from senior management for major deals or </w:t>
      </w:r>
      <w:bookmarkStart w:id="0" w:name="_GoBack"/>
      <w:bookmarkEnd w:id="0"/>
      <w:r>
        <w:rPr>
          <w:rFonts w:hint="default"/>
          <w:b w:val="0"/>
          <w:bCs w:val="0"/>
          <w:sz w:val="28"/>
          <w:szCs w:val="28"/>
          <w:lang w:val="en-US"/>
        </w:rPr>
        <w:t>contracts.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Implement a standard operating procedure for reviewing, approving and executing contracts.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Maintain a contract management system to store executed deals and track deliverables.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Only authorized executives should execute binding contracts on behalf of the company.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Institute financial controls like multi-signatory requirements on bank accounts.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To conclude, SNB should strengthen its policies around information security, IP protection, financial controls and contract management. It should also be more selective in hiring and training employees. With stronger systems and processes, SNB can prevent issues like the one with Raghu.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44D64"/>
    <w:rsid w:val="16604D44"/>
    <w:rsid w:val="19F44D64"/>
    <w:rsid w:val="264A075D"/>
    <w:rsid w:val="2B3E6082"/>
    <w:rsid w:val="308D5EB4"/>
    <w:rsid w:val="3C587C0F"/>
    <w:rsid w:val="6E112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2023-11-01T05:22:00Z</dcterms:created>
  <dc:creator>Syed Hassan</dc:creator>
  <cp:lastModifiedBy>Syed Hassan</cp:lastModifiedBy>
  <dcterms:modified xsi:type="dcterms:W3CDTF">2023-11-01T05:31:29Z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73836F1D5C29416B971C7D2686615871_11</vt:lpwstr>
  </property>
</Properties>
</file>