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bstractTitle"/>
      </w:pPr>
      <w:r>
        <w:t xml:space="preserve">Abstract</w:t>
      </w:r>
    </w:p>
    <w:p>
      <w:pPr>
        <w:pStyle w:val="Abstract"/>
      </w:pPr>
      <w:r>
        <w:t xml:space="preserve">This</w:t>
      </w:r>
      <w:r>
        <w:t xml:space="preserve"> </w:t>
      </w:r>
      <w:r>
        <w:t xml:space="preserve">article</w:t>
      </w:r>
      <w:r>
        <w:t xml:space="preserve"> </w:t>
      </w:r>
      <w:r>
        <w:t xml:space="preserve">evaluates</w:t>
      </w:r>
      <w:r>
        <w:t xml:space="preserve"> </w:t>
      </w:r>
      <w:r>
        <w:t xml:space="preserve">novel</w:t>
      </w:r>
      <w:r>
        <w:t xml:space="preserve"> </w:t>
      </w:r>
      <w:r>
        <w:t xml:space="preserve">approaches</w:t>
      </w:r>
      <w:r>
        <w:t xml:space="preserve"> </w:t>
      </w:r>
      <w:r>
        <w:t xml:space="preserve">to</w:t>
      </w:r>
      <w:r>
        <w:t xml:space="preserve"> </w:t>
      </w:r>
      <w:r>
        <w:t xml:space="preserve">do</w:t>
      </w:r>
      <w:r>
        <w:t xml:space="preserve"> </w:t>
      </w:r>
      <w:r>
        <w:t xml:space="preserve">some</w:t>
      </w:r>
      <w:r>
        <w:t xml:space="preserve"> </w:t>
      </w:r>
      <w:r>
        <w:t xml:space="preserve">really</w:t>
      </w:r>
      <w:r>
        <w:t xml:space="preserve"> </w:t>
      </w:r>
      <w:r>
        <w:t xml:space="preserve">important</w:t>
      </w:r>
      <w:r>
        <w:t xml:space="preserve"> </w:t>
      </w:r>
      <w:r>
        <w:t xml:space="preserve">things.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[1] "R commands read into memory"</w:t>
      </w:r>
    </w:p>
    <w:bookmarkStart w:id="20" w:name="X4f62a3b193b63ec77a83a4a89baf09413c062fc"/>
    <w:p>
      <w:pPr>
        <w:pStyle w:val="Heading1"/>
      </w:pPr>
      <w:r>
        <w:t xml:space="preserve">Adjust the output text below and insert at a appropriate place in the document below</w:t>
      </w:r>
    </w:p>
    <w:p>
      <w:pPr>
        <w:pStyle w:val="FirstParagraph"/>
      </w:pPr>
      <w:r>
        <w:t xml:space="preserve">Would like to refer to</w:t>
      </w:r>
      <w:r>
        <w:t xml:space="preserve"> </w:t>
      </w:r>
      <w:r>
        <w:t xml:space="preserve">(Wickham, Çetinkaya-Rundel, and Grolemund 2023)</w:t>
      </w:r>
      <w:r>
        <w:t xml:space="preserve"> </w:t>
      </w:r>
      <w:r>
        <w:t xml:space="preserve">and</w:t>
      </w:r>
      <w:r>
        <w:t xml:space="preserve"> </w:t>
      </w:r>
      <w:r>
        <w:t xml:space="preserve">(Karlsen Kivedal 2023)</w:t>
      </w:r>
    </w:p>
    <w:p>
      <w:pPr>
        <w:pStyle w:val="BodyText"/>
      </w:pPr>
      <w:r>
        <w:t xml:space="preserve">Model 1: One variable and linear</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m</m:t>
          </m:r>
          <m:r>
            <m:t>i</m:t>
          </m:r>
          <m:r>
            <m:t>l</m:t>
          </m:r>
          <m:r>
            <m:t>e</m:t>
          </m:r>
          <m:r>
            <m:t>a</m:t>
          </m:r>
          <m:r>
            <m:t>g</m:t>
          </m:r>
          <m:sSub>
            <m:e>
              <m:r>
                <m:t>e</m:t>
              </m:r>
            </m:e>
            <m:sub>
              <m:r>
                <m:t>i</m:t>
              </m:r>
            </m:sub>
          </m:sSub>
          <m:r>
            <m:rPr>
              <m:sty m:val="p"/>
            </m:rPr>
            <m:t>+</m:t>
          </m:r>
          <m:sSub>
            <m:e>
              <m:r>
                <m:t>u</m:t>
              </m:r>
            </m:e>
            <m:sub>
              <m:r>
                <m:t>i</m:t>
              </m:r>
            </m:sub>
          </m:sSub>
        </m:oMath>
      </m:oMathPara>
    </w:p>
    <w:p>
      <w:pPr>
        <w:pStyle w:val="FirstParagraph"/>
      </w:pPr>
      <w:r>
        <w:t xml:space="preserve">Model 2: Two variables and non-linear</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m</m:t>
          </m:r>
          <m:r>
            <m:t>i</m:t>
          </m:r>
          <m:r>
            <m:t>l</m:t>
          </m:r>
          <m:r>
            <m:t>e</m:t>
          </m:r>
          <m:r>
            <m:t>a</m:t>
          </m:r>
          <m:r>
            <m:t>g</m:t>
          </m:r>
          <m:sSub>
            <m:e>
              <m:r>
                <m:t>e</m:t>
              </m:r>
            </m:e>
            <m:sub>
              <m:r>
                <m:t>i</m:t>
              </m:r>
            </m:sub>
          </m:sSub>
          <m:r>
            <m:rPr>
              <m:sty m:val="p"/>
            </m:rPr>
            <m:t>+</m:t>
          </m:r>
          <m:sSub>
            <m:e>
              <m:r>
                <m:t>β</m:t>
              </m:r>
            </m:e>
            <m:sub>
              <m:r>
                <m:t>2</m:t>
              </m:r>
            </m:sub>
          </m:sSub>
          <m:r>
            <m:t>m</m:t>
          </m:r>
          <m:r>
            <m:t>i</m:t>
          </m:r>
          <m:r>
            <m:t>l</m:t>
          </m:r>
          <m:r>
            <m:t>e</m:t>
          </m:r>
          <m:r>
            <m:t>a</m:t>
          </m:r>
          <m:r>
            <m:t>g</m:t>
          </m:r>
          <m:sSubSup>
            <m:e>
              <m:r>
                <m:t>e</m:t>
              </m:r>
            </m:e>
            <m:sub>
              <m:r>
                <m:t>i</m:t>
              </m:r>
            </m:sub>
            <m:sup>
              <m:r>
                <m:t>2</m:t>
              </m:r>
            </m:sup>
          </m:sSubSup>
          <m:r>
            <m:rPr>
              <m:sty m:val="p"/>
            </m:rPr>
            <m:t>+</m:t>
          </m:r>
          <m:sSub>
            <m:e>
              <m:r>
                <m:t>u</m:t>
              </m:r>
            </m:e>
            <m:sub>
              <m:r>
                <m:t>i</m:t>
              </m:r>
            </m:sub>
          </m:sSub>
        </m:oMath>
      </m:oMathPara>
    </w:p>
    <w:bookmarkEnd w:id="20"/>
    <w:bookmarkStart w:id="21" w:name="data"/>
    <w:p>
      <w:pPr>
        <w:pStyle w:val="Heading1"/>
      </w:pPr>
      <w:r>
        <w:t xml:space="preserve">Data</w:t>
      </w:r>
    </w:p>
    <w:p>
      <w:pPr>
        <w:pStyle w:val="FirstParagraph"/>
      </w:pPr>
      <w:r>
        <w:t xml:space="preserve">summary statistics</w:t>
      </w:r>
    </w:p>
    <w:p>
      <w:pPr>
        <w:pStyle w:val="SourceCode"/>
      </w:pPr>
      <w:r>
        <w:rPr>
          <w:rStyle w:val="NormalTok"/>
        </w:rPr>
        <w:t xml:space="preserve">descsum </w:t>
      </w:r>
    </w:p>
    <w:p>
      <w:pPr>
        <w:pStyle w:val="SourceCode"/>
      </w:pPr>
      <w:r>
        <w:rPr>
          <w:rStyle w:val="VerbatimChar"/>
        </w:rPr>
        <w:t xml:space="preserve">     model            price        transmission    mileage      </w:t>
      </w:r>
      <w:r>
        <w:br/>
      </w:r>
      <w:r>
        <w:rPr>
          <w:rStyle w:val="VerbatimChar"/>
        </w:rPr>
        <w:t xml:space="preserve"> Min.   : 1.000   Min.   : 6038   Min.   :1     Min.   :    50  </w:t>
      </w:r>
      <w:r>
        <w:br/>
      </w:r>
      <w:r>
        <w:rPr>
          <w:rStyle w:val="VerbatimChar"/>
        </w:rPr>
        <w:t xml:space="preserve"> 1st Qu.: 2.000   1st Qu.:10950   1st Qu.:2     1st Qu.:  6345  </w:t>
      </w:r>
      <w:r>
        <w:br/>
      </w:r>
      <w:r>
        <w:rPr>
          <w:rStyle w:val="VerbatimChar"/>
        </w:rPr>
        <w:t xml:space="preserve"> Median : 4.000   Median :15499   Median :2     Median : 15096  </w:t>
      </w:r>
      <w:r>
        <w:br/>
      </w:r>
      <w:r>
        <w:rPr>
          <w:rStyle w:val="VerbatimChar"/>
        </w:rPr>
        <w:t xml:space="preserve"> Mean   : 4.317   Mean   :15849   Mean   :2     Mean   : 21975  </w:t>
      </w:r>
      <w:r>
        <w:br/>
      </w:r>
      <w:r>
        <w:rPr>
          <w:rStyle w:val="VerbatimChar"/>
        </w:rPr>
        <w:t xml:space="preserve"> 3rd Qu.: 5.000   3rd Qu.:17998   3rd Qu.:2     3rd Qu.: 31558  </w:t>
      </w:r>
      <w:r>
        <w:br/>
      </w:r>
      <w:r>
        <w:rPr>
          <w:rStyle w:val="VerbatimChar"/>
        </w:rPr>
        <w:t xml:space="preserve"> Max.   :11.000   Max.   :39923   Max.   :3     Max.   :130400  </w:t>
      </w:r>
      <w:r>
        <w:br/>
      </w:r>
      <w:r>
        <w:rPr>
          <w:rStyle w:val="VerbatimChar"/>
        </w:rPr>
        <w:t xml:space="preserve">    fuelType          age       </w:t>
      </w:r>
      <w:r>
        <w:br/>
      </w:r>
      <w:r>
        <w:rPr>
          <w:rStyle w:val="VerbatimChar"/>
        </w:rPr>
        <w:t xml:space="preserve"> Min.   :1.000   Min.   :4.000  </w:t>
      </w:r>
      <w:r>
        <w:br/>
      </w:r>
      <w:r>
        <w:rPr>
          <w:rStyle w:val="VerbatimChar"/>
        </w:rPr>
        <w:t xml:space="preserve"> 1st Qu.:1.000   1st Qu.:5.000  </w:t>
      </w:r>
      <w:r>
        <w:br/>
      </w:r>
      <w:r>
        <w:rPr>
          <w:rStyle w:val="VerbatimChar"/>
        </w:rPr>
        <w:t xml:space="preserve"> Median :1.000   Median :7.000  </w:t>
      </w:r>
      <w:r>
        <w:br/>
      </w:r>
      <w:r>
        <w:rPr>
          <w:rStyle w:val="VerbatimChar"/>
        </w:rPr>
        <w:t xml:space="preserve"> Mean   :1.317   Mean   :6.585  </w:t>
      </w:r>
      <w:r>
        <w:br/>
      </w:r>
      <w:r>
        <w:rPr>
          <w:rStyle w:val="VerbatimChar"/>
        </w:rPr>
        <w:t xml:space="preserve"> 3rd Qu.:2.000   3rd Qu.:8.000  </w:t>
      </w:r>
      <w:r>
        <w:br/>
      </w:r>
      <w:r>
        <w:rPr>
          <w:rStyle w:val="VerbatimChar"/>
        </w:rPr>
        <w:t xml:space="preserve"> Max.   :2.000   Max.   :9.000  </w:t>
      </w:r>
    </w:p>
    <w:p>
      <w:pPr>
        <w:pStyle w:val="FirstParagraph"/>
      </w:pPr>
      <w:r>
        <w:t xml:space="preserve">correlation matrix</w:t>
      </w:r>
    </w:p>
    <w:p>
      <w:pPr>
        <w:pStyle w:val="SourceCode"/>
      </w:pPr>
      <w:r>
        <w:rPr>
          <w:rStyle w:val="FunctionTok"/>
        </w:rPr>
        <w:t xml:space="preserve">kable</w:t>
      </w:r>
      <w:r>
        <w:rPr>
          <w:rStyle w:val="NormalTok"/>
        </w:rPr>
        <w:t xml:space="preserve">(desccor)</w:t>
      </w:r>
    </w:p>
    <w:tbl>
      <w:tblPr>
        <w:tblStyle w:val="Table"/>
        <w:tblW w:type="pct" w:w="5000"/>
        <w:jc w:val="left"/>
        <w:tblLayout w:type="fixed"/>
        <w:tblLook w:firstRow="1" w:lastRow="0" w:firstColumn="0" w:lastColumn="0" w:noHBand="0" w:noVBand="0" w:val="0020"/>
      </w:tblPr>
      <w:tblGrid>
        <w:gridCol w:w="1271"/>
        <w:gridCol w:w="1075"/>
        <w:gridCol w:w="1075"/>
        <w:gridCol w:w="1271"/>
        <w:gridCol w:w="1075"/>
        <w:gridCol w:w="1075"/>
        <w:gridCol w:w="1075"/>
      </w:tblGrid>
      <w:tr>
        <w:trPr>
          <w:tblHeader w:val="on"/>
        </w:trPr>
        <w:tc>
          <w:tcPr/>
          <w:p>
            <w:pPr>
              <w:pStyle w:val="Compact"/>
            </w:pPr>
          </w:p>
        </w:tc>
        <w:tc>
          <w:tcPr/>
          <w:p>
            <w:pPr>
              <w:pStyle w:val="Compact"/>
              <w:jc w:val="right"/>
            </w:pPr>
            <w:r>
              <w:t xml:space="preserve">model</w:t>
            </w:r>
          </w:p>
        </w:tc>
        <w:tc>
          <w:tcPr/>
          <w:p>
            <w:pPr>
              <w:pStyle w:val="Compact"/>
              <w:jc w:val="right"/>
            </w:pPr>
            <w:r>
              <w:t xml:space="preserve">price</w:t>
            </w:r>
          </w:p>
        </w:tc>
        <w:tc>
          <w:tcPr/>
          <w:p>
            <w:pPr>
              <w:pStyle w:val="Compact"/>
              <w:jc w:val="right"/>
            </w:pPr>
            <w:r>
              <w:t xml:space="preserve">transmission</w:t>
            </w:r>
          </w:p>
        </w:tc>
        <w:tc>
          <w:tcPr/>
          <w:p>
            <w:pPr>
              <w:pStyle w:val="Compact"/>
              <w:jc w:val="right"/>
            </w:pPr>
            <w:r>
              <w:t xml:space="preserve">mileage</w:t>
            </w:r>
          </w:p>
        </w:tc>
        <w:tc>
          <w:tcPr/>
          <w:p>
            <w:pPr>
              <w:pStyle w:val="Compact"/>
              <w:jc w:val="right"/>
            </w:pPr>
            <w:r>
              <w:t xml:space="preserve">fuelType</w:t>
            </w:r>
          </w:p>
        </w:tc>
        <w:tc>
          <w:tcPr/>
          <w:p>
            <w:pPr>
              <w:pStyle w:val="Compact"/>
              <w:jc w:val="right"/>
            </w:pPr>
            <w:r>
              <w:t xml:space="preserve">age</w:t>
            </w:r>
          </w:p>
        </w:tc>
      </w:tr>
      <w:tr>
        <w:tc>
          <w:tcPr/>
          <w:p>
            <w:pPr>
              <w:pStyle w:val="Compact"/>
              <w:jc w:val="left"/>
            </w:pPr>
            <w:r>
              <w:t xml:space="preserve">model</w:t>
            </w:r>
          </w:p>
        </w:tc>
        <w:tc>
          <w:tcPr/>
          <w:p>
            <w:pPr>
              <w:pStyle w:val="Compact"/>
              <w:jc w:val="right"/>
            </w:pPr>
            <w:r>
              <w:t xml:space="preserve">1.0000000</w:t>
            </w:r>
          </w:p>
        </w:tc>
        <w:tc>
          <w:tcPr/>
          <w:p>
            <w:pPr>
              <w:pStyle w:val="Compact"/>
              <w:jc w:val="right"/>
            </w:pPr>
            <w:r>
              <w:t xml:space="preserve">0.2541991</w:t>
            </w:r>
          </w:p>
        </w:tc>
        <w:tc>
          <w:tcPr/>
          <w:p>
            <w:pPr>
              <w:pStyle w:val="Compact"/>
              <w:jc w:val="right"/>
            </w:pPr>
            <w:r>
              <w:t xml:space="preserve">-0.1549412</w:t>
            </w:r>
          </w:p>
        </w:tc>
        <w:tc>
          <w:tcPr/>
          <w:p>
            <w:pPr>
              <w:pStyle w:val="Compact"/>
              <w:jc w:val="right"/>
            </w:pPr>
            <w:r>
              <w:t xml:space="preserve">-0.0641297</w:t>
            </w:r>
          </w:p>
        </w:tc>
        <w:tc>
          <w:tcPr/>
          <w:p>
            <w:pPr>
              <w:pStyle w:val="Compact"/>
              <w:jc w:val="right"/>
            </w:pPr>
            <w:r>
              <w:t xml:space="preserve">0.2282952</w:t>
            </w:r>
          </w:p>
        </w:tc>
        <w:tc>
          <w:tcPr/>
          <w:p>
            <w:pPr>
              <w:pStyle w:val="Compact"/>
              <w:jc w:val="right"/>
            </w:pPr>
            <w:r>
              <w:t xml:space="preserve">-0.0485343</w:t>
            </w:r>
          </w:p>
        </w:tc>
      </w:tr>
      <w:tr>
        <w:tc>
          <w:tcPr/>
          <w:p>
            <w:pPr>
              <w:pStyle w:val="Compact"/>
              <w:jc w:val="left"/>
            </w:pPr>
            <w:r>
              <w:t xml:space="preserve">price</w:t>
            </w:r>
          </w:p>
        </w:tc>
        <w:tc>
          <w:tcPr/>
          <w:p>
            <w:pPr>
              <w:pStyle w:val="Compact"/>
              <w:jc w:val="right"/>
            </w:pPr>
            <w:r>
              <w:t xml:space="preserve">0.2541991</w:t>
            </w:r>
          </w:p>
        </w:tc>
        <w:tc>
          <w:tcPr/>
          <w:p>
            <w:pPr>
              <w:pStyle w:val="Compact"/>
              <w:jc w:val="right"/>
            </w:pPr>
            <w:r>
              <w:t xml:space="preserve">1.0000000</w:t>
            </w:r>
          </w:p>
        </w:tc>
        <w:tc>
          <w:tcPr/>
          <w:p>
            <w:pPr>
              <w:pStyle w:val="Compact"/>
              <w:jc w:val="right"/>
            </w:pPr>
            <w:r>
              <w:t xml:space="preserve">-0.1367121</w:t>
            </w:r>
          </w:p>
        </w:tc>
        <w:tc>
          <w:tcPr/>
          <w:p>
            <w:pPr>
              <w:pStyle w:val="Compact"/>
              <w:jc w:val="right"/>
            </w:pPr>
            <w:r>
              <w:t xml:space="preserve">-0.3818590</w:t>
            </w:r>
          </w:p>
        </w:tc>
        <w:tc>
          <w:tcPr/>
          <w:p>
            <w:pPr>
              <w:pStyle w:val="Compact"/>
              <w:jc w:val="right"/>
            </w:pPr>
            <w:r>
              <w:t xml:space="preserve">0.3048657</w:t>
            </w:r>
          </w:p>
        </w:tc>
        <w:tc>
          <w:tcPr/>
          <w:p>
            <w:pPr>
              <w:pStyle w:val="Compact"/>
              <w:jc w:val="right"/>
            </w:pPr>
            <w:r>
              <w:t xml:space="preserve">-0.5510241</w:t>
            </w:r>
          </w:p>
        </w:tc>
      </w:tr>
      <w:tr>
        <w:tc>
          <w:tcPr/>
          <w:p>
            <w:pPr>
              <w:pStyle w:val="Compact"/>
              <w:jc w:val="left"/>
            </w:pPr>
            <w:r>
              <w:t xml:space="preserve">transmission</w:t>
            </w:r>
          </w:p>
        </w:tc>
        <w:tc>
          <w:tcPr/>
          <w:p>
            <w:pPr>
              <w:pStyle w:val="Compact"/>
              <w:jc w:val="right"/>
            </w:pPr>
            <w:r>
              <w:t xml:space="preserve">-0.1549412</w:t>
            </w:r>
          </w:p>
        </w:tc>
        <w:tc>
          <w:tcPr/>
          <w:p>
            <w:pPr>
              <w:pStyle w:val="Compact"/>
              <w:jc w:val="right"/>
            </w:pPr>
            <w:r>
              <w:t xml:space="preserve">-0.1367121</w:t>
            </w:r>
          </w:p>
        </w:tc>
        <w:tc>
          <w:tcPr/>
          <w:p>
            <w:pPr>
              <w:pStyle w:val="Compact"/>
              <w:jc w:val="right"/>
            </w:pPr>
            <w:r>
              <w:t xml:space="preserve">1.0000000</w:t>
            </w:r>
          </w:p>
        </w:tc>
        <w:tc>
          <w:tcPr/>
          <w:p>
            <w:pPr>
              <w:pStyle w:val="Compact"/>
              <w:jc w:val="right"/>
            </w:pPr>
            <w:r>
              <w:t xml:space="preserve">-0.0655195</w:t>
            </w:r>
          </w:p>
        </w:tc>
        <w:tc>
          <w:tcPr/>
          <w:p>
            <w:pPr>
              <w:pStyle w:val="Compact"/>
              <w:jc w:val="right"/>
            </w:pPr>
            <w:r>
              <w:t xml:space="preserve">-0.1678075</w:t>
            </w:r>
          </w:p>
        </w:tc>
        <w:tc>
          <w:tcPr/>
          <w:p>
            <w:pPr>
              <w:pStyle w:val="Compact"/>
              <w:jc w:val="right"/>
            </w:pPr>
            <w:r>
              <w:t xml:space="preserve">-0.1332874</w:t>
            </w:r>
          </w:p>
        </w:tc>
      </w:tr>
      <w:tr>
        <w:tc>
          <w:tcPr/>
          <w:p>
            <w:pPr>
              <w:pStyle w:val="Compact"/>
              <w:jc w:val="left"/>
            </w:pPr>
            <w:r>
              <w:t xml:space="preserve">mileage</w:t>
            </w:r>
          </w:p>
        </w:tc>
        <w:tc>
          <w:tcPr/>
          <w:p>
            <w:pPr>
              <w:pStyle w:val="Compact"/>
              <w:jc w:val="right"/>
            </w:pPr>
            <w:r>
              <w:t xml:space="preserve">-0.0641297</w:t>
            </w:r>
          </w:p>
        </w:tc>
        <w:tc>
          <w:tcPr/>
          <w:p>
            <w:pPr>
              <w:pStyle w:val="Compact"/>
              <w:jc w:val="right"/>
            </w:pPr>
            <w:r>
              <w:t xml:space="preserve">-0.3818590</w:t>
            </w:r>
          </w:p>
        </w:tc>
        <w:tc>
          <w:tcPr/>
          <w:p>
            <w:pPr>
              <w:pStyle w:val="Compact"/>
              <w:jc w:val="right"/>
            </w:pPr>
            <w:r>
              <w:t xml:space="preserve">-0.0655195</w:t>
            </w:r>
          </w:p>
        </w:tc>
        <w:tc>
          <w:tcPr/>
          <w:p>
            <w:pPr>
              <w:pStyle w:val="Compact"/>
              <w:jc w:val="right"/>
            </w:pPr>
            <w:r>
              <w:t xml:space="preserve">1.0000000</w:t>
            </w:r>
          </w:p>
        </w:tc>
        <w:tc>
          <w:tcPr/>
          <w:p>
            <w:pPr>
              <w:pStyle w:val="Compact"/>
              <w:jc w:val="right"/>
            </w:pPr>
            <w:r>
              <w:t xml:space="preserve">0.4411576</w:t>
            </w:r>
          </w:p>
        </w:tc>
        <w:tc>
          <w:tcPr/>
          <w:p>
            <w:pPr>
              <w:pStyle w:val="Compact"/>
              <w:jc w:val="right"/>
            </w:pPr>
            <w:r>
              <w:t xml:space="preserve">0.6423262</w:t>
            </w:r>
          </w:p>
        </w:tc>
      </w:tr>
      <w:tr>
        <w:tc>
          <w:tcPr/>
          <w:p>
            <w:pPr>
              <w:pStyle w:val="Compact"/>
              <w:jc w:val="left"/>
            </w:pPr>
            <w:r>
              <w:t xml:space="preserve">fuelType</w:t>
            </w:r>
          </w:p>
        </w:tc>
        <w:tc>
          <w:tcPr/>
          <w:p>
            <w:pPr>
              <w:pStyle w:val="Compact"/>
              <w:jc w:val="right"/>
            </w:pPr>
            <w:r>
              <w:t xml:space="preserve">0.2282952</w:t>
            </w:r>
          </w:p>
        </w:tc>
        <w:tc>
          <w:tcPr/>
          <w:p>
            <w:pPr>
              <w:pStyle w:val="Compact"/>
              <w:jc w:val="right"/>
            </w:pPr>
            <w:r>
              <w:t xml:space="preserve">0.3048657</w:t>
            </w:r>
          </w:p>
        </w:tc>
        <w:tc>
          <w:tcPr/>
          <w:p>
            <w:pPr>
              <w:pStyle w:val="Compact"/>
              <w:jc w:val="right"/>
            </w:pPr>
            <w:r>
              <w:t xml:space="preserve">-0.1678075</w:t>
            </w:r>
          </w:p>
        </w:tc>
        <w:tc>
          <w:tcPr/>
          <w:p>
            <w:pPr>
              <w:pStyle w:val="Compact"/>
              <w:jc w:val="right"/>
            </w:pPr>
            <w:r>
              <w:t xml:space="preserve">0.4411576</w:t>
            </w:r>
          </w:p>
        </w:tc>
        <w:tc>
          <w:tcPr/>
          <w:p>
            <w:pPr>
              <w:pStyle w:val="Compact"/>
              <w:jc w:val="right"/>
            </w:pPr>
            <w:r>
              <w:t xml:space="preserve">1.0000000</w:t>
            </w:r>
          </w:p>
        </w:tc>
        <w:tc>
          <w:tcPr/>
          <w:p>
            <w:pPr>
              <w:pStyle w:val="Compact"/>
              <w:jc w:val="right"/>
            </w:pPr>
            <w:r>
              <w:t xml:space="preserve">0.3718314</w:t>
            </w:r>
          </w:p>
        </w:tc>
      </w:tr>
      <w:tr>
        <w:tc>
          <w:tcPr/>
          <w:p>
            <w:pPr>
              <w:pStyle w:val="Compact"/>
              <w:jc w:val="left"/>
            </w:pPr>
            <w:r>
              <w:t xml:space="preserve">age</w:t>
            </w:r>
          </w:p>
        </w:tc>
        <w:tc>
          <w:tcPr/>
          <w:p>
            <w:pPr>
              <w:pStyle w:val="Compact"/>
              <w:jc w:val="right"/>
            </w:pPr>
            <w:r>
              <w:t xml:space="preserve">-0.0485343</w:t>
            </w:r>
          </w:p>
        </w:tc>
        <w:tc>
          <w:tcPr/>
          <w:p>
            <w:pPr>
              <w:pStyle w:val="Compact"/>
              <w:jc w:val="right"/>
            </w:pPr>
            <w:r>
              <w:t xml:space="preserve">-0.5510241</w:t>
            </w:r>
          </w:p>
        </w:tc>
        <w:tc>
          <w:tcPr/>
          <w:p>
            <w:pPr>
              <w:pStyle w:val="Compact"/>
              <w:jc w:val="right"/>
            </w:pPr>
            <w:r>
              <w:t xml:space="preserve">-0.1332874</w:t>
            </w:r>
          </w:p>
        </w:tc>
        <w:tc>
          <w:tcPr/>
          <w:p>
            <w:pPr>
              <w:pStyle w:val="Compact"/>
              <w:jc w:val="right"/>
            </w:pPr>
            <w:r>
              <w:t xml:space="preserve">0.6423262</w:t>
            </w:r>
          </w:p>
        </w:tc>
        <w:tc>
          <w:tcPr/>
          <w:p>
            <w:pPr>
              <w:pStyle w:val="Compact"/>
              <w:jc w:val="right"/>
            </w:pPr>
            <w:r>
              <w:t xml:space="preserve">0.3718314</w:t>
            </w:r>
          </w:p>
        </w:tc>
        <w:tc>
          <w:tcPr/>
          <w:p>
            <w:pPr>
              <w:pStyle w:val="Compact"/>
              <w:jc w:val="right"/>
            </w:pPr>
            <w:r>
              <w:t xml:space="preserve">1.0000000</w:t>
            </w:r>
          </w:p>
        </w:tc>
      </w:tr>
    </w:tbl>
    <w:bookmarkEnd w:id="21"/>
    <w:bookmarkStart w:id="24" w:name="results"/>
    <w:p>
      <w:pPr>
        <w:pStyle w:val="Heading1"/>
      </w:pPr>
      <w:r>
        <w:t xml:space="preserve">Results</w:t>
      </w:r>
    </w:p>
    <w:bookmarkStart w:id="22" w:name="estimations"/>
    <w:p>
      <w:pPr>
        <w:pStyle w:val="Heading2"/>
      </w:pPr>
      <w:r>
        <w:t xml:space="preserve">Estimations</w:t>
      </w:r>
    </w:p>
    <w:p>
      <w:pPr>
        <w:pStyle w:val="SourceCode"/>
      </w:pPr>
      <w:r>
        <w:rPr>
          <w:rStyle w:val="NormalTok"/>
        </w:rPr>
        <w:t xml:space="preserve">tidres1</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18226.    1323.         13.8  1.46e-16</w:t>
      </w:r>
      <w:r>
        <w:br/>
      </w:r>
      <w:r>
        <w:rPr>
          <w:rStyle w:val="VerbatimChar"/>
        </w:rPr>
        <w:t xml:space="preserve">2 mileage        -0.108    0.0419     -2.58 1.38e- 2</w:t>
      </w:r>
    </w:p>
    <w:p>
      <w:pPr>
        <w:pStyle w:val="SourceCode"/>
      </w:pPr>
      <w:r>
        <w:rPr>
          <w:rStyle w:val="NormalTok"/>
        </w:rPr>
        <w:t xml:space="preserve">glares1</w:t>
      </w:r>
    </w:p>
    <w:p>
      <w:pPr>
        <w:pStyle w:val="SourceCode"/>
      </w:pPr>
      <w:r>
        <w:rPr>
          <w:rStyle w:val="VerbatimChar"/>
        </w:rPr>
        <w:t xml:space="preserve"># A tibble: 1 ×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1     0.146         0.124 6085.      6.66  0.0138     1  -414.  835.  840.</w:t>
      </w:r>
      <w:r>
        <w:br/>
      </w:r>
      <w:r>
        <w:rPr>
          <w:rStyle w:val="VerbatimChar"/>
        </w:rPr>
        <w:t xml:space="preserve"># ℹ 3 more variables: deviance &lt;dbl&gt;, df.residual &lt;int&gt;, nobs &lt;int&gt;</w:t>
      </w:r>
    </w:p>
    <w:bookmarkEnd w:id="22"/>
    <w:bookmarkStart w:id="23" w:name="predictions"/>
    <w:p>
      <w:pPr>
        <w:pStyle w:val="Heading2"/>
      </w:pPr>
      <w:r>
        <w:t xml:space="preserve">Predictions</w:t>
      </w:r>
    </w:p>
    <w:p>
      <w:pPr>
        <w:pStyle w:val="SourceCode"/>
      </w:pPr>
      <w:r>
        <w:rPr>
          <w:rStyle w:val="NormalTok"/>
        </w:rPr>
        <w:t xml:space="preserve">pred_1 </w:t>
      </w:r>
    </w:p>
    <w:p>
      <w:pPr>
        <w:pStyle w:val="SourceCode"/>
      </w:pPr>
      <w:r>
        <w:rPr>
          <w:rStyle w:val="VerbatimChar"/>
        </w:rPr>
        <w:t xml:space="preserve">        1         2         3         4 </w:t>
      </w:r>
      <w:r>
        <w:br/>
      </w:r>
      <w:r>
        <w:rPr>
          <w:rStyle w:val="VerbatimChar"/>
        </w:rPr>
        <w:t xml:space="preserve">18220.743 16593.372 15849.341  4122.125 </w:t>
      </w:r>
    </w:p>
    <w:p>
      <w:pPr>
        <w:pStyle w:val="Compact"/>
        <w:numPr>
          <w:ilvl w:val="0"/>
          <w:numId w:val="1001"/>
        </w:numPr>
      </w:pPr>
      <w:r>
        <w:t xml:space="preserve">The first predicted value equal to 18220.743</w:t>
      </w:r>
    </w:p>
    <w:p>
      <w:pPr>
        <w:pStyle w:val="Compact"/>
        <w:numPr>
          <w:ilvl w:val="0"/>
          <w:numId w:val="1001"/>
        </w:numPr>
      </w:pPr>
      <w:r>
        <w:t xml:space="preserve">The second predicted value equal to 16593.372</w:t>
      </w:r>
    </w:p>
    <w:bookmarkEnd w:id="23"/>
    <w:bookmarkEnd w:id="24"/>
    <w:bookmarkStart w:id="25" w:name="inroduction"/>
    <w:p>
      <w:pPr>
        <w:pStyle w:val="Heading1"/>
      </w:pPr>
      <w:r>
        <w:t xml:space="preserve">Inroduction</w:t>
      </w:r>
    </w:p>
    <w:p>
      <w:pPr>
        <w:pStyle w:val="FirstParagraph"/>
      </w:pPr>
      <w:r>
        <w:t xml:space="preserve">We are going to take a look at a data analysis assignment.we are going to look at different factors and see how they affect the price of a car.</w:t>
      </w:r>
    </w:p>
    <w:p>
      <w:pPr>
        <w:pStyle w:val="BodyText"/>
      </w:pPr>
      <w:r>
        <w:t xml:space="preserve">According to</w:t>
      </w:r>
      <w:r>
        <w:t xml:space="preserve"> </w:t>
      </w:r>
      <w:r>
        <w:t xml:space="preserve">(Knuth 1984)</w:t>
      </w:r>
    </w:p>
    <w:bookmarkEnd w:id="25"/>
    <w:bookmarkStart w:id="26" w:name="data-1"/>
    <w:p>
      <w:pPr>
        <w:pStyle w:val="Heading1"/>
      </w:pPr>
      <w:r>
        <w:t xml:space="preserve">Data</w:t>
      </w:r>
    </w:p>
    <w:bookmarkEnd w:id="26"/>
    <w:bookmarkStart w:id="32" w:name="results-1"/>
    <w:p>
      <w:pPr>
        <w:pStyle w:val="Heading1"/>
      </w:pPr>
      <w:r>
        <w:t xml:space="preserve">Results</w:t>
      </w:r>
    </w:p>
    <w:bookmarkStart w:id="27" w:name="estimations-1"/>
    <w:p>
      <w:pPr>
        <w:pStyle w:val="Heading2"/>
      </w:pPr>
      <w:r>
        <w:t xml:space="preserve">Estimations</w:t>
      </w:r>
    </w:p>
    <w:bookmarkEnd w:id="27"/>
    <w:bookmarkStart w:id="28" w:name="chapter-a"/>
    <w:p>
      <w:pPr>
        <w:pStyle w:val="Heading2"/>
      </w:pPr>
      <w:r>
        <w:t xml:space="preserve">Chapter A</w:t>
      </w:r>
    </w:p>
    <w:p>
      <w:pPr>
        <w:pStyle w:val="FirstParagraph"/>
      </w:pPr>
      <w:r>
        <w:t xml:space="preserve">We can separate them as b2 for age, b3 for model, b4 for transmission, b5 for mileage and b6 for fuel type. If we are describing b3 we can say that if b3 increases with one then b1(price) increases with 129,750 if everything else stays the same. We can describe the rest of the coefficient using the same method.</w:t>
      </w:r>
    </w:p>
    <w:bookmarkEnd w:id="28"/>
    <w:bookmarkStart w:id="29" w:name="chapter-b"/>
    <w:p>
      <w:pPr>
        <w:pStyle w:val="Heading2"/>
      </w:pPr>
      <w:r>
        <w:t xml:space="preserve">Chapter B</w:t>
      </w:r>
    </w:p>
    <w:p>
      <w:pPr>
        <w:pStyle w:val="Compact"/>
        <w:numPr>
          <w:ilvl w:val="0"/>
          <w:numId w:val="1002"/>
        </w:numPr>
      </w:pPr>
      <w:r>
        <w:t xml:space="preserve">Comapred to the model in task B we can se that the age of the car has more effect on the price this is probably caused by the fact that now we have many more variables that effect the scale of how each variable effects the price.¨</w:t>
      </w:r>
    </w:p>
    <w:bookmarkEnd w:id="29"/>
    <w:bookmarkStart w:id="30" w:name="chapter-c"/>
    <w:p>
      <w:pPr>
        <w:pStyle w:val="Heading2"/>
      </w:pPr>
      <w:r>
        <w:t xml:space="preserve">Chapter C</w:t>
      </w:r>
    </w:p>
    <w:p>
      <w:pPr>
        <w:pStyle w:val="Compact"/>
        <w:numPr>
          <w:ilvl w:val="0"/>
          <w:numId w:val="1003"/>
        </w:numPr>
      </w:pPr>
      <w:r>
        <w:t xml:space="preserve">The final model is more accurate because it contains multiple different values that effect the price of the car instead of just using age. Because as we know the price of the car is not just chosen by the age but many different factors and that’s why i think this is a better model.</w:t>
      </w:r>
    </w:p>
    <w:bookmarkEnd w:id="30"/>
    <w:bookmarkStart w:id="31" w:name="predictions-1"/>
    <w:p>
      <w:pPr>
        <w:pStyle w:val="Heading2"/>
      </w:pPr>
      <w:r>
        <w:t xml:space="preserve">Predictions</w:t>
      </w:r>
    </w:p>
    <w:bookmarkEnd w:id="31"/>
    <w:bookmarkEnd w:id="32"/>
    <w:bookmarkStart w:id="33" w:name="conclusions"/>
    <w:p>
      <w:pPr>
        <w:pStyle w:val="Heading1"/>
      </w:pPr>
      <w:r>
        <w:t xml:space="preserve">Conclusions</w:t>
      </w:r>
    </w:p>
    <w:p>
      <w:pPr>
        <w:pStyle w:val="FirstParagraph"/>
      </w:pPr>
      <w:r>
        <w:t xml:space="preserve">We see that the final model is better suited for calculating the estimated price of the car. because it includes multiple different factors.</w:t>
      </w:r>
    </w:p>
    <w:p>
      <w:pPr>
        <w:pStyle w:val="BodyText"/>
      </w:pPr>
      <w:r>
        <w:rPr>
          <w:b/>
          <w:bCs/>
        </w:rPr>
        <w:t xml:space="preserve">Number of words in the assignment is: 410</w:t>
      </w:r>
    </w:p>
    <w:bookmarkEnd w:id="33"/>
    <w:bookmarkStart w:id="48" w:name="appendix"/>
    <w:p>
      <w:pPr>
        <w:pStyle w:val="Heading1"/>
      </w:pPr>
      <w:r>
        <w:t xml:space="preserve">Appendix</w:t>
      </w:r>
    </w:p>
    <w:tbl>
      <w:tblPr>
        <w:tblStyle w:val="Table"/>
        <w:tblW w:type="pct" w:w="5000"/>
        <w:jc w:val="left"/>
        <w:tblLayout w:type="fixed"/>
        <w:tblLook w:firstRow="0" w:lastRow="0" w:firstColumn="0" w:lastColumn="0" w:noHBand="0" w:noVBand="0" w:val="0000"/>
      </w:tblPr>
      <w:tblGrid>
        <w:gridCol w:w="7920"/>
      </w:tblGrid>
      <w:tr>
        <w:tc>
          <w:tcPr/>
          <w:bookmarkStart w:id="37" w:name="fig-mod1"/>
          <w:p>
            <w:pPr>
              <w:pStyle w:val="Compact"/>
              <w:jc w:val="center"/>
            </w:pPr>
            <w:r>
              <w:drawing>
                <wp:inline>
                  <wp:extent cx="5334000" cy="3220754"/>
                  <wp:effectExtent b="0" l="0" r="0" t="0"/>
                  <wp:docPr descr="" title="" id="35" name="Picture"/>
                  <a:graphic>
                    <a:graphicData uri="http://schemas.openxmlformats.org/drawingml/2006/picture">
                      <pic:pic>
                        <pic:nvPicPr>
                          <pic:cNvPr descr="images/model2.png" id="36" name="Picture"/>
                          <pic:cNvPicPr>
                            <a:picLocks noChangeArrowheads="1" noChangeAspect="1"/>
                          </pic:cNvPicPr>
                        </pic:nvPicPr>
                        <pic:blipFill>
                          <a:blip r:embed="rId34"/>
                          <a:stretch>
                            <a:fillRect/>
                          </a:stretch>
                        </pic:blipFill>
                        <pic:spPr bwMode="auto">
                          <a:xfrm>
                            <a:off x="0" y="0"/>
                            <a:ext cx="5334000" cy="32207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Model1</w:t>
            </w:r>
          </w:p>
          <w:bookmarkEnd w:id="37"/>
        </w:tc>
      </w:tr>
    </w:tbl>
    <w:p>
      <w:pPr>
        <w:pStyle w:val="BodyText"/>
      </w:pPr>
      <w:hyperlink w:anchor="fig-mod1">
        <w:r>
          <w:rPr>
            <w:rStyle w:val="Hyperlink"/>
          </w:rPr>
          <w:t xml:space="preserve">Figure 1</w:t>
        </w:r>
      </w:hyperlink>
      <w:r>
        <w:t xml:space="preserve"> </w:t>
      </w:r>
      <w:r>
        <w:t xml:space="preserve">shows GRETL output …</w:t>
      </w:r>
    </w:p>
    <w:tbl>
      <w:tblPr>
        <w:tblStyle w:val="Table"/>
        <w:tblW w:type="pct" w:w="5000"/>
        <w:jc w:val="left"/>
        <w:tblLayout w:type="fixed"/>
        <w:tblLook w:firstRow="0" w:lastRow="0" w:firstColumn="0" w:lastColumn="0" w:noHBand="0" w:noVBand="0" w:val="0000"/>
      </w:tblPr>
      <w:tblGrid>
        <w:gridCol w:w="7920"/>
      </w:tblGrid>
      <w:tr>
        <w:tc>
          <w:tcPr/>
          <w:bookmarkStart w:id="41" w:name="fig-mod2"/>
          <w:p>
            <w:pPr>
              <w:pStyle w:val="Compact"/>
              <w:jc w:val="center"/>
            </w:pPr>
            <w:r>
              <w:drawing>
                <wp:inline>
                  <wp:extent cx="3843037" cy="1790433"/>
                  <wp:effectExtent b="0" l="0" r="0" t="0"/>
                  <wp:docPr descr="" title="" id="39" name="Picture"/>
                  <a:graphic>
                    <a:graphicData uri="http://schemas.openxmlformats.org/drawingml/2006/picture">
                      <pic:pic>
                        <pic:nvPicPr>
                          <pic:cNvPr descr="images/model1.png" id="40" name="Picture"/>
                          <pic:cNvPicPr>
                            <a:picLocks noChangeArrowheads="1" noChangeAspect="1"/>
                          </pic:cNvPicPr>
                        </pic:nvPicPr>
                        <pic:blipFill>
                          <a:blip r:embed="rId38"/>
                          <a:stretch>
                            <a:fillRect/>
                          </a:stretch>
                        </pic:blipFill>
                        <pic:spPr bwMode="auto">
                          <a:xfrm>
                            <a:off x="0" y="0"/>
                            <a:ext cx="3843037" cy="17904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Model1</w:t>
            </w:r>
          </w:p>
          <w:bookmarkEnd w:id="41"/>
        </w:tc>
      </w:tr>
    </w:tbl>
    <w:p>
      <w:pPr>
        <w:pStyle w:val="BodyText"/>
      </w:pPr>
      <w:hyperlink w:anchor="fig-mod1">
        <w:r>
          <w:rPr>
            <w:rStyle w:val="Hyperlink"/>
          </w:rPr>
          <w:t xml:space="preserve">Figure 1</w:t>
        </w:r>
      </w:hyperlink>
      <w:r>
        <w:t xml:space="preserve"> </w:t>
      </w:r>
      <w:r>
        <w:t xml:space="preserve">shows GRETL output …</w:t>
      </w:r>
    </w:p>
    <w:bookmarkStart w:id="47" w:name="refs"/>
    <w:bookmarkStart w:id="43" w:name="ref-bjornar"/>
    <w:p>
      <w:pPr>
        <w:pStyle w:val="Bibliography"/>
      </w:pPr>
      <w:r>
        <w:t xml:space="preserve">Karlsen Kivedal, Bjornar. 2023.</w:t>
      </w:r>
      <w:r>
        <w:t xml:space="preserve"> </w:t>
      </w:r>
      <w:r>
        <w:t xml:space="preserve">“Anvendt Statistikk Og Okonometri”</w:t>
      </w:r>
      <w:r>
        <w:t xml:space="preserve"> </w:t>
      </w:r>
      <w:r>
        <w:t xml:space="preserve">1 (212): 1–304.</w:t>
      </w:r>
      <w:r>
        <w:t xml:space="preserve"> </w:t>
      </w:r>
      <w:hyperlink r:id="rId42">
        <w:r>
          <w:rPr>
            <w:rStyle w:val="Hyperlink"/>
          </w:rPr>
          <w:t xml:space="preserve">https://www.universitetsforlaget.no/avendt-statistikk-og-okonometri</w:t>
        </w:r>
      </w:hyperlink>
      <w:r>
        <w:t xml:space="preserve">.</w:t>
      </w:r>
    </w:p>
    <w:bookmarkEnd w:id="43"/>
    <w:bookmarkStart w:id="45"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4">
        <w:r>
          <w:rPr>
            <w:rStyle w:val="Hyperlink"/>
          </w:rPr>
          <w:t xml:space="preserve">https://doi.org/10.1093/comjnl/27.2.97</w:t>
        </w:r>
      </w:hyperlink>
      <w:r>
        <w:t xml:space="preserve">.</w:t>
      </w:r>
    </w:p>
    <w:bookmarkEnd w:id="45"/>
    <w:bookmarkStart w:id="46" w:name="ref-wickham2023r"/>
    <w:p>
      <w:pPr>
        <w:pStyle w:val="Bibliography"/>
      </w:pPr>
      <w:r>
        <w:t xml:space="preserve">Wickham, Hadley, Mine Çetinkaya-Rundel, and Garrett Grolemund. 2023.</w:t>
      </w:r>
      <w:r>
        <w:t xml:space="preserve"> </w:t>
      </w:r>
      <w:r>
        <w:rPr>
          <w:i/>
          <w:iCs/>
        </w:rPr>
        <w:t xml:space="preserve">R for Data Science</w:t>
      </w:r>
      <w:r>
        <w:t xml:space="preserve">. " O’Reilly Media, Inc.".</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00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00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44" Target="https://doi.org/10.1093/comjnl/27.2.97" TargetMode="External" /><Relationship Type="http://schemas.openxmlformats.org/officeDocument/2006/relationships/hyperlink" Id="rId42" Target="https://www.universitetsforlaget.no/avendt-statistikk-og-okonometri"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93/comjnl/27.2.97" TargetMode="External" /><Relationship Type="http://schemas.openxmlformats.org/officeDocument/2006/relationships/hyperlink" Id="rId42" Target="https://www.universitetsforlaget.no/avendt-statistikk-og-okonomet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
  <cp:keywords/>
  <dcterms:created xsi:type="dcterms:W3CDTF">2024-04-26T13:07:02Z</dcterms:created>
  <dcterms:modified xsi:type="dcterms:W3CDTF">2024-04-26T13:07:02Z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and id of the authors">
    <vt:lpwstr>Mannan Syed(212411), Meriton Tahiri (212398), Oskar Briceno Melinton (21354)</vt:lpwstr>
  </property>
  <property fmtid="{D5CDD505-2E9C-101B-9397-08002B2CF9AE}" pid="3" name="abstract">
    <vt:lpwstr>This article evaluates novel approaches to do some really important things.</vt:lpwstr>
  </property>
  <property fmtid="{D5CDD505-2E9C-101B-9397-08002B2CF9AE}" pid="4" name="biblio-config">
    <vt:lpwstr>True</vt:lpwstr>
  </property>
  <property fmtid="{D5CDD505-2E9C-101B-9397-08002B2CF9AE}" pid="5" name="bibliography">
    <vt:lpwstr>ref.bib</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