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16" w:rsidRPr="000C3688" w:rsidRDefault="000C3688">
      <w:pPr>
        <w:rPr>
          <w:b/>
        </w:rPr>
      </w:pPr>
      <w:r w:rsidRPr="000C3688">
        <w:rPr>
          <w:b/>
        </w:rPr>
        <w:t>Product Features</w:t>
      </w:r>
    </w:p>
    <w:p w:rsidR="000C3688" w:rsidRPr="000C3688" w:rsidRDefault="000C3688" w:rsidP="000C36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0C368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0C3688">
        <w:rPr>
          <w:rFonts w:ascii="Tahoma" w:eastAsia="Times New Roman" w:hAnsi="Tahoma" w:cs="Tahoma"/>
          <w:color w:val="6F7074"/>
          <w:sz w:val="24"/>
          <w:szCs w:val="24"/>
        </w:rPr>
        <w:t xml:space="preserve"> Royal Profit Account allows businessmen, that deals with large transaction volumes or individuals looking for higher returns on savings, to meet their daily financial requirements</w:t>
      </w:r>
    </w:p>
    <w:p w:rsidR="000C3688" w:rsidRPr="000C3688" w:rsidRDefault="000C3688" w:rsidP="000C36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C36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 xml:space="preserve">Account opening with only </w:t>
      </w:r>
      <w:proofErr w:type="spellStart"/>
      <w:r w:rsidRPr="000C3688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0C3688">
        <w:rPr>
          <w:rFonts w:ascii="Tahoma" w:eastAsia="Times New Roman" w:hAnsi="Tahoma" w:cs="Tahoma"/>
          <w:color w:val="6F7074"/>
          <w:sz w:val="24"/>
          <w:szCs w:val="24"/>
        </w:rPr>
        <w:t>. 100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50,000 ​​minimum balance requirement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Monthly Profit payout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Flexible returns on higher balances (subject to approvals)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0C3688" w:rsidRPr="000C3688" w:rsidRDefault="000C3688" w:rsidP="000C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Utmost Transactional Convenience</w:t>
      </w:r>
    </w:p>
    <w:p w:rsidR="000C3688" w:rsidRPr="000C3688" w:rsidRDefault="000C3688" w:rsidP="000C36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C36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0C3688" w:rsidRPr="000C3688" w:rsidRDefault="000C3688" w:rsidP="000C36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</w:t>
      </w:r>
      <w:proofErr w:type="gramStart"/>
      <w:r w:rsidRPr="000C3688">
        <w:rPr>
          <w:rFonts w:ascii="Tahoma" w:eastAsia="Times New Roman" w:hAnsi="Tahoma" w:cs="Tahoma"/>
          <w:color w:val="6F7074"/>
          <w:sz w:val="24"/>
          <w:szCs w:val="24"/>
        </w:rPr>
        <w:t>!!</w:t>
      </w:r>
      <w:proofErr w:type="gramEnd"/>
    </w:p>
    <w:p w:rsidR="000C3688" w:rsidRPr="000C3688" w:rsidRDefault="000C3688" w:rsidP="000C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0C3688" w:rsidRPr="000C3688" w:rsidRDefault="000C3688" w:rsidP="000C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0C36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0C368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0C3688" w:rsidRPr="000C3688" w:rsidRDefault="000C3688" w:rsidP="000C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0C36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0C3688">
        <w:rPr>
          <w:rFonts w:ascii="Tahoma" w:eastAsia="Times New Roman" w:hAnsi="Tahoma" w:cs="Tahoma"/>
          <w:color w:val="6F7074"/>
          <w:sz w:val="24"/>
          <w:szCs w:val="24"/>
        </w:rPr>
        <w:t xml:space="preserve"> issuance</w:t>
      </w:r>
    </w:p>
    <w:p w:rsidR="000C3688" w:rsidRPr="000C3688" w:rsidRDefault="000C3688" w:rsidP="000C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0C3688" w:rsidRPr="000C3688" w:rsidRDefault="000C3688" w:rsidP="000C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0C3688" w:rsidRPr="000C3688" w:rsidRDefault="000C3688" w:rsidP="000C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0C3688" w:rsidRPr="000C3688" w:rsidRDefault="000C3688">
      <w:pPr>
        <w:rPr>
          <w:b/>
        </w:rPr>
      </w:pPr>
      <w:r>
        <w:rPr>
          <w:b/>
        </w:rPr>
        <w:t>Target Market</w:t>
      </w:r>
    </w:p>
    <w:p w:rsidR="000C3688" w:rsidRPr="000C3688" w:rsidRDefault="000C3688" w:rsidP="000C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For high-net worth individuals and companies</w:t>
      </w:r>
    </w:p>
    <w:p w:rsidR="000C3688" w:rsidRPr="000C3688" w:rsidRDefault="000C3688" w:rsidP="000C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Rate sensitive customers</w:t>
      </w:r>
    </w:p>
    <w:p w:rsidR="000C3688" w:rsidRPr="000C3688" w:rsidRDefault="000C3688" w:rsidP="000C368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0C3688">
        <w:rPr>
          <w:rFonts w:ascii="Tahoma" w:eastAsia="Times New Roman" w:hAnsi="Tahoma" w:cs="Tahoma"/>
          <w:b/>
          <w:color w:val="6F7074"/>
          <w:sz w:val="24"/>
          <w:szCs w:val="24"/>
        </w:rPr>
        <w:t>Eligibility Criteria</w:t>
      </w:r>
    </w:p>
    <w:p w:rsidR="000C3688" w:rsidRPr="000C3688" w:rsidRDefault="000C3688" w:rsidP="000C3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Minimum account opening requirement of PKR 100/-</w:t>
      </w:r>
    </w:p>
    <w:p w:rsidR="000C3688" w:rsidRPr="000C3688" w:rsidRDefault="000C3688" w:rsidP="000C36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C3688">
        <w:rPr>
          <w:rFonts w:ascii="Tahoma" w:eastAsia="Times New Roman" w:hAnsi="Tahoma" w:cs="Tahoma"/>
          <w:color w:val="6F7074"/>
          <w:sz w:val="24"/>
          <w:szCs w:val="24"/>
        </w:rPr>
        <w:t>50,000 average balance requirement monthly </w:t>
      </w:r>
    </w:p>
    <w:p w:rsidR="000C3688" w:rsidRPr="000C3688" w:rsidRDefault="000C3688" w:rsidP="000C36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0C3688" w:rsidRDefault="000C3688"/>
    <w:p w:rsidR="000C3688" w:rsidRDefault="000C3688"/>
    <w:p w:rsidR="000C3688" w:rsidRDefault="000C3688"/>
    <w:p w:rsidR="000C3688" w:rsidRPr="000C3688" w:rsidRDefault="000C3688">
      <w:pPr>
        <w:rPr>
          <w:b/>
        </w:rPr>
      </w:pPr>
      <w:bookmarkStart w:id="0" w:name="_GoBack"/>
      <w:r w:rsidRPr="000C3688">
        <w:rPr>
          <w:b/>
        </w:rPr>
        <w:lastRenderedPageBreak/>
        <w:t>FAQs</w:t>
      </w:r>
    </w:p>
    <w:bookmarkEnd w:id="0"/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Q1: Do all BAFL branches </w:t>
      </w:r>
      <w:proofErr w:type="gramStart"/>
      <w:r>
        <w:rPr>
          <w:rStyle w:val="Strong"/>
          <w:rFonts w:ascii="Tahoma" w:hAnsi="Tahoma" w:cs="Tahoma"/>
          <w:color w:val="6F7074"/>
        </w:rPr>
        <w:t>country-wide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offer this product?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Yes – all BAFL conventional branches offer this product.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Q2: Who can open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This account is for individuals/joint account holders, sole proprietors, private limited companies, public limited companies, partnerships. Non-Resident Pakistanis (NRP’s) can open this account on providing relevant documentation.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Q3: What is the minimum balance requirement for Royal Profit Saving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The minimum initial deposit required to open the account is PKR 100 and </w:t>
      </w:r>
      <w:proofErr w:type="spellStart"/>
      <w:r>
        <w:rPr>
          <w:rFonts w:ascii="Tahoma" w:hAnsi="Tahoma" w:cs="Tahoma"/>
          <w:color w:val="6F7074"/>
        </w:rPr>
        <w:t>Rs</w:t>
      </w:r>
      <w:proofErr w:type="spellEnd"/>
      <w:r>
        <w:rPr>
          <w:rFonts w:ascii="Tahoma" w:hAnsi="Tahoma" w:cs="Tahoma"/>
          <w:color w:val="6F7074"/>
        </w:rPr>
        <w:t xml:space="preserve">. 50,000 monthly average balance </w:t>
      </w:r>
      <w:proofErr w:type="gramStart"/>
      <w:r>
        <w:rPr>
          <w:rFonts w:ascii="Tahoma" w:hAnsi="Tahoma" w:cs="Tahoma"/>
          <w:color w:val="6F7074"/>
        </w:rPr>
        <w:t>is required to be maintained</w:t>
      </w:r>
      <w:proofErr w:type="gramEnd"/>
      <w:r>
        <w:rPr>
          <w:rFonts w:ascii="Tahoma" w:hAnsi="Tahoma" w:cs="Tahoma"/>
          <w:color w:val="6F7074"/>
        </w:rPr>
        <w:t>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Q4: Who can approve rates above the minimum rate of return on Royal Profit deposits for deposits above PKR 5 Million?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Rates above the prevailing rack rates need to </w:t>
      </w:r>
      <w:proofErr w:type="gramStart"/>
      <w:r>
        <w:rPr>
          <w:rFonts w:ascii="Tahoma" w:hAnsi="Tahoma" w:cs="Tahoma"/>
          <w:color w:val="6F7074"/>
        </w:rPr>
        <w:t>be approved</w:t>
      </w:r>
      <w:proofErr w:type="gramEnd"/>
      <w:r>
        <w:rPr>
          <w:rFonts w:ascii="Tahoma" w:hAnsi="Tahoma" w:cs="Tahoma"/>
          <w:color w:val="6F7074"/>
        </w:rPr>
        <w:t xml:space="preserve"> by the relevant authorities as per the delegation matrix. Branches can only quote the rack rate to customers. All special rates will require prior approval before it </w:t>
      </w:r>
      <w:proofErr w:type="gramStart"/>
      <w:r>
        <w:rPr>
          <w:rFonts w:ascii="Tahoma" w:hAnsi="Tahoma" w:cs="Tahoma"/>
          <w:color w:val="6F7074"/>
        </w:rPr>
        <w:t>can be quoted</w:t>
      </w:r>
      <w:proofErr w:type="gramEnd"/>
      <w:r>
        <w:rPr>
          <w:rFonts w:ascii="Tahoma" w:hAnsi="Tahoma" w:cs="Tahoma"/>
          <w:color w:val="6F7074"/>
        </w:rPr>
        <w:t xml:space="preserve"> to customers.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Q5: When </w:t>
      </w:r>
      <w:proofErr w:type="gramStart"/>
      <w:r>
        <w:rPr>
          <w:rStyle w:val="Strong"/>
          <w:rFonts w:ascii="Tahoma" w:hAnsi="Tahoma" w:cs="Tahoma"/>
          <w:color w:val="6F7074"/>
        </w:rPr>
        <w:t>will the profit be credited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in the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Profit will </w:t>
      </w:r>
      <w:proofErr w:type="gramStart"/>
      <w:r>
        <w:rPr>
          <w:rFonts w:ascii="Tahoma" w:hAnsi="Tahoma" w:cs="Tahoma"/>
          <w:color w:val="6F7074"/>
        </w:rPr>
        <w:t>be calculated</w:t>
      </w:r>
      <w:proofErr w:type="gramEnd"/>
      <w:r>
        <w:rPr>
          <w:rFonts w:ascii="Tahoma" w:hAnsi="Tahoma" w:cs="Tahoma"/>
          <w:color w:val="6F7074"/>
        </w:rPr>
        <w:t xml:space="preserve"> on a monthly average balance basis and will be credited in the account on monthly basis.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 xml:space="preserve">Q6: Will customer be issued </w:t>
      </w:r>
      <w:proofErr w:type="spellStart"/>
      <w:proofErr w:type="gramStart"/>
      <w:r>
        <w:rPr>
          <w:rStyle w:val="Strong"/>
          <w:rFonts w:ascii="Tahoma" w:hAnsi="Tahoma" w:cs="Tahoma"/>
          <w:color w:val="6F7074"/>
        </w:rPr>
        <w:t>cheque</w:t>
      </w:r>
      <w:proofErr w:type="spellEnd"/>
      <w:r>
        <w:rPr>
          <w:rStyle w:val="Strong"/>
          <w:rFonts w:ascii="Tahoma" w:hAnsi="Tahoma" w:cs="Tahoma"/>
          <w:color w:val="6F7074"/>
        </w:rPr>
        <w:t xml:space="preserve"> book</w:t>
      </w:r>
      <w:proofErr w:type="gramEnd"/>
      <w:r>
        <w:rPr>
          <w:rStyle w:val="Strong"/>
          <w:rFonts w:ascii="Tahoma" w:hAnsi="Tahoma" w:cs="Tahoma"/>
          <w:color w:val="6F7074"/>
        </w:rPr>
        <w:t xml:space="preserve"> and VISA Debit/ATM card?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 xml:space="preserve">A: Yes, </w:t>
      </w:r>
      <w:proofErr w:type="spellStart"/>
      <w:proofErr w:type="gram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book</w:t>
      </w:r>
      <w:proofErr w:type="gramEnd"/>
      <w:r>
        <w:rPr>
          <w:rFonts w:ascii="Tahoma" w:hAnsi="Tahoma" w:cs="Tahoma"/>
          <w:color w:val="6F7074"/>
        </w:rPr>
        <w:t xml:space="preserve"> and VISA Debit/ATM card will be issued to customers however charges will be applicable as per the Schedule of Charges (SOC).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</w:rPr>
        <w:t>Q7: Are there any other charges for this account?</w:t>
      </w:r>
      <w:r>
        <w:rPr>
          <w:rFonts w:ascii="Tahoma" w:hAnsi="Tahoma" w:cs="Tahoma"/>
          <w:b/>
          <w:bCs/>
          <w:color w:val="6F7074"/>
        </w:rPr>
        <w:br/>
      </w:r>
      <w:r>
        <w:rPr>
          <w:rFonts w:ascii="Tahoma" w:hAnsi="Tahoma" w:cs="Tahoma"/>
          <w:color w:val="6F7074"/>
        </w:rPr>
        <w:t>A: Other charges may apply as per the prevailing Schedule of Charges (SOC).</w:t>
      </w:r>
    </w:p>
    <w:p w:rsidR="000C3688" w:rsidRDefault="000C3688" w:rsidP="000C3688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Note:</w:t>
      </w:r>
      <w:r>
        <w:rPr>
          <w:rFonts w:ascii="Tahoma" w:hAnsi="Tahoma" w:cs="Tahoma"/>
          <w:color w:val="6F7074"/>
        </w:rPr>
        <w:t xml:space="preserve"> Bank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is currently offering Free </w:t>
      </w:r>
      <w:proofErr w:type="spell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book Issuance, Pay Order Issuance, Online Banking Transactions &amp; </w:t>
      </w:r>
      <w:proofErr w:type="spellStart"/>
      <w:r>
        <w:rPr>
          <w:rFonts w:ascii="Tahoma" w:hAnsi="Tahoma" w:cs="Tahoma"/>
          <w:color w:val="6F7074"/>
        </w:rPr>
        <w:t>Cheque</w:t>
      </w:r>
      <w:proofErr w:type="spellEnd"/>
      <w:r>
        <w:rPr>
          <w:rFonts w:ascii="Tahoma" w:hAnsi="Tahoma" w:cs="Tahoma"/>
          <w:color w:val="6F7074"/>
        </w:rPr>
        <w:t xml:space="preserve"> clearing Services (including Same-Day &amp; Intercity Clearing) across the board for all its customers without any balance requirement or conditions.</w:t>
      </w:r>
    </w:p>
    <w:p w:rsidR="000C3688" w:rsidRDefault="000C3688"/>
    <w:sectPr w:rsidR="000C36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88" w:rsidRDefault="000C3688" w:rsidP="000C3688">
      <w:pPr>
        <w:spacing w:after="0" w:line="240" w:lineRule="auto"/>
      </w:pPr>
      <w:r>
        <w:separator/>
      </w:r>
    </w:p>
  </w:endnote>
  <w:endnote w:type="continuationSeparator" w:id="0">
    <w:p w:rsidR="000C3688" w:rsidRDefault="000C3688" w:rsidP="000C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88" w:rsidRDefault="000C3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88" w:rsidRDefault="000C36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f3a4de08eeea461d3c9e59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C3688" w:rsidRPr="000C3688" w:rsidRDefault="000C3688" w:rsidP="000C368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C368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3a4de08eeea461d3c9e59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FPUDDY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0C3688" w:rsidRPr="000C3688" w:rsidRDefault="000C3688" w:rsidP="000C368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C368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88" w:rsidRDefault="000C3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88" w:rsidRDefault="000C3688" w:rsidP="000C3688">
      <w:pPr>
        <w:spacing w:after="0" w:line="240" w:lineRule="auto"/>
      </w:pPr>
      <w:r>
        <w:separator/>
      </w:r>
    </w:p>
  </w:footnote>
  <w:footnote w:type="continuationSeparator" w:id="0">
    <w:p w:rsidR="000C3688" w:rsidRDefault="000C3688" w:rsidP="000C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88" w:rsidRDefault="000C3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88" w:rsidRDefault="000C3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88" w:rsidRDefault="000C3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3F77"/>
    <w:multiLevelType w:val="multilevel"/>
    <w:tmpl w:val="FD8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72AD2"/>
    <w:multiLevelType w:val="multilevel"/>
    <w:tmpl w:val="F3D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013"/>
    <w:multiLevelType w:val="multilevel"/>
    <w:tmpl w:val="EFC6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B2FFF"/>
    <w:multiLevelType w:val="multilevel"/>
    <w:tmpl w:val="2F9A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88"/>
    <w:rsid w:val="000C3688"/>
    <w:rsid w:val="0057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2A393"/>
  <w15:chartTrackingRefBased/>
  <w15:docId w15:val="{D923F108-856B-4DBA-9B4F-993B5830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6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88"/>
  </w:style>
  <w:style w:type="paragraph" w:styleId="Footer">
    <w:name w:val="footer"/>
    <w:basedOn w:val="Normal"/>
    <w:link w:val="FooterChar"/>
    <w:uiPriority w:val="99"/>
    <w:unhideWhenUsed/>
    <w:rsid w:val="000C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2024-09-26T08:13:00Z</dcterms:created>
  <dcterms:modified xsi:type="dcterms:W3CDTF">2024-09-26T08:14:00Z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2024-09-26T08:14:24Z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6fa2da61-8b5e-40e0-afa8-9f84a9494a54</vt:lpwstr>
  </property>
  <property fmtid="{D5CDD505-2E9C-101B-9397-08002B2CF9AE}" pid="8" name="MSIP_Label_4f2c76d5-45ba-4a63-8701-27a8aa3796e4_ContentBits">
    <vt:lpwstr>2</vt:lpwstr>
  </property>
</Properties>
</file>