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16"/>
      </w:tblGrid>
      <w:tr w:rsidR="008D08F7" w:rsidRPr="008D08F7" w:rsidTr="008D08F7">
        <w:tc>
          <w:tcPr>
            <w:tcW w:w="108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Product Features: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Product Feature / Benefits / Unique Selling Points:</w:t>
            </w:r>
          </w:p>
          <w:p w:rsidR="008D08F7" w:rsidRPr="008D08F7" w:rsidRDefault="008D08F7" w:rsidP="008D08F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Most affordable markup rates</w:t>
            </w:r>
          </w:p>
          <w:p w:rsidR="008D08F7" w:rsidRPr="008D08F7" w:rsidRDefault="008D08F7" w:rsidP="008D08F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You can choose a Locally Assembled / Manufactured car that is new / used</w:t>
            </w:r>
          </w:p>
          <w:p w:rsidR="008D08F7" w:rsidRPr="008D08F7" w:rsidRDefault="008D08F7" w:rsidP="008D08F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Apply with minimum documentation and hassle free quick processing</w:t>
            </w:r>
          </w:p>
          <w:p w:rsidR="008D08F7" w:rsidRPr="008D08F7" w:rsidRDefault="008D08F7" w:rsidP="008D08F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Select your monthly installment plan from multiple tenure options</w:t>
            </w:r>
          </w:p>
          <w:p w:rsidR="008D08F7" w:rsidRPr="008D08F7" w:rsidRDefault="008D08F7" w:rsidP="008D08F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Pay as much as you like with down payment flexibility</w:t>
            </w:r>
          </w:p>
          <w:p w:rsidR="008D08F7" w:rsidRPr="008D08F7" w:rsidRDefault="008D08F7" w:rsidP="008D08F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Enjoy special comprehensive insurance rates for complete peace of mind</w:t>
            </w:r>
          </w:p>
          <w:p w:rsidR="008D08F7" w:rsidRPr="008D08F7" w:rsidRDefault="008D08F7" w:rsidP="008D08F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No termination charges on car replacement</w:t>
            </w:r>
          </w:p>
          <w:p w:rsidR="008D08F7" w:rsidRPr="008D08F7" w:rsidRDefault="008D08F7" w:rsidP="008D08F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Option to make balloon payment</w:t>
            </w:r>
          </w:p>
          <w:p w:rsidR="008D08F7" w:rsidRPr="008D08F7" w:rsidRDefault="008D08F7" w:rsidP="008D08F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Co-Borrower Option Spouse, Parents, Siblings (Real Brother &amp; Sister) and Children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Loan Size: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Minimum of PKR 200,000 and Maximum of PKR *3,000,000 for</w:t>
            </w:r>
            <w:proofErr w:type="gramStart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  “</w:t>
            </w:r>
            <w:proofErr w:type="gramEnd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Locally Assembled/Manufactured Vehicles”.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*As per regulations from State Bank of Pakistan overall auto loan/financing limits availed by one person from all banks/DFIs, in aggregate, shall not exceed PKR 3,000,000/-, at any point in time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*(Not applicable for Roshan </w:t>
            </w:r>
            <w:proofErr w:type="spellStart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Apni</w:t>
            </w:r>
            <w:proofErr w:type="spellEnd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 Car Financing)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Financing Tenure:</w:t>
            </w:r>
          </w:p>
          <w:p w:rsidR="008D08F7" w:rsidRPr="008D08F7" w:rsidRDefault="008D08F7" w:rsidP="008D08F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  <w:u w:val="single"/>
              </w:rPr>
              <w:t>2-5 years (Vehicles up to 1000 CC)</w:t>
            </w:r>
          </w:p>
          <w:p w:rsidR="008D08F7" w:rsidRPr="008D08F7" w:rsidRDefault="008D08F7" w:rsidP="008D08F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2-3 Years (Vehicles above 1000 CC)</w:t>
            </w:r>
          </w:p>
          <w:p w:rsidR="008D08F7" w:rsidRPr="008D08F7" w:rsidRDefault="008D08F7" w:rsidP="008D08F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2-7 Years (Roshan </w:t>
            </w:r>
            <w:proofErr w:type="spellStart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Apni</w:t>
            </w:r>
            <w:proofErr w:type="spellEnd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 Car for RDA Holder Non Resident Pakistanis)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Down Payment / Equity Requirement:</w:t>
            </w:r>
          </w:p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09"/>
              <w:gridCol w:w="10539"/>
              <w:gridCol w:w="8252"/>
            </w:tblGrid>
            <w:tr w:rsidR="008D08F7" w:rsidRPr="008D08F7">
              <w:tc>
                <w:tcPr>
                  <w:tcW w:w="0" w:type="auto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08F7">
                    <w:rPr>
                      <w:rFonts w:ascii="Tahoma" w:eastAsia="Times New Roman" w:hAnsi="Tahoma" w:cs="Tahoma"/>
                      <w:b/>
                      <w:bCs/>
                      <w:sz w:val="24"/>
                      <w:szCs w:val="24"/>
                    </w:rPr>
                    <w:t>Vehicle</w:t>
                  </w:r>
                </w:p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08F7">
                    <w:rPr>
                      <w:rFonts w:ascii="Tahoma" w:eastAsia="Times New Roman" w:hAnsi="Tahoma" w:cs="Tahoma"/>
                      <w:b/>
                      <w:bCs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08F7">
                    <w:rPr>
                      <w:rFonts w:ascii="Tahoma" w:eastAsia="Times New Roman" w:hAnsi="Tahoma" w:cs="Tahoma"/>
                      <w:b/>
                      <w:bCs/>
                      <w:sz w:val="24"/>
                      <w:szCs w:val="24"/>
                    </w:rPr>
                    <w:t>Locally Assembled/ Manufactured</w:t>
                  </w:r>
                </w:p>
              </w:tc>
              <w:tc>
                <w:tcPr>
                  <w:tcW w:w="0" w:type="auto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08F7">
                    <w:rPr>
                      <w:rFonts w:ascii="Tahoma" w:eastAsia="Times New Roman" w:hAnsi="Tahoma" w:cs="Tahoma"/>
                      <w:b/>
                      <w:bCs/>
                      <w:sz w:val="24"/>
                      <w:szCs w:val="24"/>
                    </w:rPr>
                    <w:t xml:space="preserve">Roshan </w:t>
                  </w:r>
                  <w:proofErr w:type="spellStart"/>
                  <w:r w:rsidRPr="008D08F7">
                    <w:rPr>
                      <w:rFonts w:ascii="Tahoma" w:eastAsia="Times New Roman" w:hAnsi="Tahoma" w:cs="Tahoma"/>
                      <w:b/>
                      <w:bCs/>
                      <w:sz w:val="24"/>
                      <w:szCs w:val="24"/>
                    </w:rPr>
                    <w:t>Apni</w:t>
                  </w:r>
                  <w:proofErr w:type="spellEnd"/>
                  <w:r w:rsidRPr="008D08F7">
                    <w:rPr>
                      <w:rFonts w:ascii="Tahoma" w:eastAsia="Times New Roman" w:hAnsi="Tahoma" w:cs="Tahoma"/>
                      <w:b/>
                      <w:bCs/>
                      <w:sz w:val="24"/>
                      <w:szCs w:val="24"/>
                    </w:rPr>
                    <w:t xml:space="preserve"> Car</w:t>
                  </w:r>
                </w:p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08F7">
                    <w:rPr>
                      <w:rFonts w:ascii="Tahoma" w:eastAsia="Times New Roman" w:hAnsi="Tahoma" w:cs="Tahoma"/>
                      <w:b/>
                      <w:bCs/>
                      <w:sz w:val="24"/>
                      <w:szCs w:val="24"/>
                    </w:rPr>
                    <w:t>(Local New Vehicles Only)</w:t>
                  </w:r>
                </w:p>
              </w:tc>
            </w:tr>
            <w:tr w:rsidR="008D08F7" w:rsidRPr="008D08F7">
              <w:tc>
                <w:tcPr>
                  <w:tcW w:w="0" w:type="auto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New</w:t>
                  </w:r>
                </w:p>
              </w:tc>
              <w:tc>
                <w:tcPr>
                  <w:tcW w:w="0" w:type="auto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Minimum 30% of</w:t>
                  </w:r>
                  <w:r w:rsidRPr="008D08F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Vehicle’s value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Minimum 15% of</w:t>
                  </w:r>
                  <w:r w:rsidRPr="008D08F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Vehicle’s Value</w:t>
                  </w:r>
                </w:p>
              </w:tc>
            </w:tr>
            <w:tr w:rsidR="008D08F7" w:rsidRPr="008D08F7">
              <w:tc>
                <w:tcPr>
                  <w:tcW w:w="0" w:type="auto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Used</w:t>
                  </w:r>
                </w:p>
              </w:tc>
              <w:tc>
                <w:tcPr>
                  <w:tcW w:w="0" w:type="auto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Minimum 30% of</w:t>
                  </w:r>
                  <w:r w:rsidRPr="008D08F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Vehicle’s *Market value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vAlign w:val="center"/>
                  <w:hideMark/>
                </w:tcPr>
                <w:p w:rsidR="008D08F7" w:rsidRPr="008D08F7" w:rsidRDefault="008D08F7" w:rsidP="008D08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-    *Market Value of the vehicle provided by the approved evaluator/dealer.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To avail financing below MV customer has to undertake that vehicle is available on this price &amp; he is interested in availing financing on his agreed price with the Seller / Dealer.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Additional 5% equity above minimum equity benchmark where financing/leasing is allowed solely on foreign remittances (for vehicles less than 1000 cc only)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 xml:space="preserve">Financing of </w:t>
            </w:r>
            <w:proofErr w:type="spellStart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 0.3 M or less not allowed for less than 36 months.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Insurance: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As per the approved panel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Balloon Payment: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After satisfactory completion of one year, *2 Balloon Payments are allowed with the gap of one year. Each balloon payment should be equivalent to EMI of 6 months.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*Balloon payment option is not available in Residual Value Product.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Early Payment Charges (Prepayment/Balloon Payment):</w:t>
            </w:r>
          </w:p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0"/>
              <w:gridCol w:w="7200"/>
              <w:gridCol w:w="7200"/>
            </w:tblGrid>
            <w:tr w:rsidR="008D08F7" w:rsidRPr="008D08F7">
              <w:tc>
                <w:tcPr>
                  <w:tcW w:w="0" w:type="auto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08F7">
                    <w:rPr>
                      <w:rFonts w:ascii="Tahoma" w:eastAsia="Times New Roman" w:hAnsi="Tahoma" w:cs="Tahoma"/>
                      <w:b/>
                      <w:bCs/>
                      <w:sz w:val="24"/>
                      <w:szCs w:val="24"/>
                    </w:rPr>
                    <w:t>1 – 3 Years</w:t>
                  </w:r>
                </w:p>
              </w:tc>
              <w:tc>
                <w:tcPr>
                  <w:tcW w:w="0" w:type="auto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08F7">
                    <w:rPr>
                      <w:rFonts w:ascii="Tahoma" w:eastAsia="Times New Roman" w:hAnsi="Tahoma" w:cs="Tahoma"/>
                      <w:b/>
                      <w:bCs/>
                      <w:sz w:val="24"/>
                      <w:szCs w:val="24"/>
                    </w:rPr>
                    <w:t>4 – 5 Years</w:t>
                  </w:r>
                </w:p>
              </w:tc>
              <w:tc>
                <w:tcPr>
                  <w:tcW w:w="0" w:type="auto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08F7">
                    <w:rPr>
                      <w:rFonts w:ascii="Tahoma" w:eastAsia="Times New Roman" w:hAnsi="Tahoma" w:cs="Tahoma"/>
                      <w:b/>
                      <w:bCs/>
                      <w:sz w:val="24"/>
                      <w:szCs w:val="24"/>
                    </w:rPr>
                    <w:t>6 – 7 Years</w:t>
                  </w:r>
                </w:p>
              </w:tc>
            </w:tr>
            <w:tr w:rsidR="008D08F7" w:rsidRPr="008D08F7">
              <w:tc>
                <w:tcPr>
                  <w:tcW w:w="0" w:type="auto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8% of the principal outstanding</w:t>
                  </w:r>
                </w:p>
              </w:tc>
              <w:tc>
                <w:tcPr>
                  <w:tcW w:w="0" w:type="auto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6% of the principal outstanding</w:t>
                  </w:r>
                </w:p>
              </w:tc>
              <w:tc>
                <w:tcPr>
                  <w:tcW w:w="0" w:type="auto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3% of the principal outstanding</w:t>
                  </w:r>
                </w:p>
              </w:tc>
            </w:tr>
          </w:tbl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 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Car Replacement: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On car replacement, no premature penalty will be charged, and </w:t>
            </w:r>
            <w:proofErr w:type="gramStart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it’ll</w:t>
            </w:r>
            <w:proofErr w:type="gramEnd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 be adjusted against the differential of the down payment.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Used Vehicles: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At time of finance,</w:t>
            </w:r>
          </w:p>
          <w:p w:rsidR="008D08F7" w:rsidRPr="008D08F7" w:rsidRDefault="008D08F7" w:rsidP="008D08F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Locally Manufactured Vehicles should not be older than 9 years.</w:t>
            </w:r>
          </w:p>
          <w:p w:rsidR="008D08F7" w:rsidRPr="008D08F7" w:rsidRDefault="008D08F7" w:rsidP="008D08F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At maturity, the vehicle should not be more than 12 years old</w:t>
            </w:r>
            <w:r w:rsidRPr="008D08F7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.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Age of Used 2nd hand light commercial vehicles allowed for financing:</w:t>
            </w:r>
          </w:p>
          <w:p w:rsidR="008D08F7" w:rsidRPr="008D08F7" w:rsidRDefault="008D08F7" w:rsidP="008D08F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Used Toyota Hilux </w:t>
            </w:r>
            <w:proofErr w:type="spellStart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Revo</w:t>
            </w:r>
            <w:proofErr w:type="spellEnd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 &amp; Rocco: 5 Years</w:t>
            </w:r>
          </w:p>
          <w:p w:rsidR="008D08F7" w:rsidRPr="008D08F7" w:rsidRDefault="008D08F7" w:rsidP="008D08F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Used Suzuki Bolan Cargo, Ravi &amp; </w:t>
            </w:r>
            <w:proofErr w:type="spellStart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Changan</w:t>
            </w:r>
            <w:proofErr w:type="spellEnd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 M9: 3 Years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Co-Borrower: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Spouse, Parents, Siblings (Real Brother and Sister), and Children allowed as co-borrower. Vehicle </w:t>
            </w:r>
            <w:proofErr w:type="gramStart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can be registered</w:t>
            </w:r>
            <w:proofErr w:type="gramEnd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 in either of the borrower or as the case may be.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Debt Burden: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40 % D/B of Net Disposable Income will be considered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Other Sources of Income: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 xml:space="preserve">Rental Income, Foreign Remittances, Saving/Fixed deposit/Term deposit (only lien based) </w:t>
            </w:r>
            <w:proofErr w:type="gramStart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will be considered</w:t>
            </w:r>
            <w:proofErr w:type="gramEnd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 based on documentary evidence.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Mode of Re – Payment: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Direct Debit, Deposit </w:t>
            </w:r>
            <w:proofErr w:type="spellStart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Cheque</w:t>
            </w:r>
            <w:proofErr w:type="spellEnd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/ADC (Alternate Delivery Channel)/ Cash at any Bank </w:t>
            </w:r>
            <w:proofErr w:type="spellStart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Alfalah</w:t>
            </w:r>
            <w:proofErr w:type="spellEnd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 Branch.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Branch Referred Segment: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The segment </w:t>
            </w:r>
            <w:proofErr w:type="gramStart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is introduced</w:t>
            </w:r>
            <w:proofErr w:type="gramEnd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 to cater our ETB customers on fast track processing. Only Internal Verification will be conducted for cases referred on Branch Priority Recommendation Form duly signed by Branch Manager</w:t>
            </w:r>
          </w:p>
        </w:tc>
      </w:tr>
    </w:tbl>
    <w:p w:rsidR="000C7BC2" w:rsidRDefault="000C7BC2"/>
    <w:p w:rsidR="008D08F7" w:rsidRDefault="008D08F7">
      <w:pPr>
        <w:rPr>
          <w:b/>
        </w:rPr>
      </w:pPr>
      <w:r w:rsidRPr="008D08F7">
        <w:rPr>
          <w:b/>
        </w:rPr>
        <w:t>Product Types</w:t>
      </w:r>
    </w:p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8D08F7" w:rsidRPr="008D08F7" w:rsidTr="008D08F7">
        <w:tc>
          <w:tcPr>
            <w:tcW w:w="1080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Product Variants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Residual Value Product: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Under RV product, Bank </w:t>
            </w:r>
            <w:proofErr w:type="spellStart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Alfalah</w:t>
            </w:r>
            <w:proofErr w:type="spellEnd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 provides convenience to its customers to pay a lump sum balloon payment at the end of the financing tenure for increased affordability and convenience of repayments.</w:t>
            </w:r>
          </w:p>
          <w:p w:rsidR="008D08F7" w:rsidRPr="008D08F7" w:rsidRDefault="008D08F7" w:rsidP="008D08F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Available for the residents of Lahore, Kasur, </w:t>
            </w:r>
            <w:proofErr w:type="spellStart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Sheikhupura</w:t>
            </w:r>
            <w:proofErr w:type="spellEnd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, Gujranwala, Gujrat, Sialkot, Multan, Faisalabad, Bahawalpur, Rahim </w:t>
            </w:r>
            <w:proofErr w:type="spellStart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Yar</w:t>
            </w:r>
            <w:proofErr w:type="spellEnd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 Khan, Sahiwal, </w:t>
            </w:r>
            <w:proofErr w:type="spellStart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Okara</w:t>
            </w:r>
            <w:proofErr w:type="spellEnd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, Islamabad &amp; Rawalpindi (including approachable peripheries </w:t>
            </w:r>
            <w:proofErr w:type="spellStart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Wah</w:t>
            </w:r>
            <w:proofErr w:type="spellEnd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, </w:t>
            </w:r>
            <w:proofErr w:type="spellStart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Kamra</w:t>
            </w:r>
            <w:proofErr w:type="spellEnd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, </w:t>
            </w:r>
            <w:proofErr w:type="spellStart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Taxla</w:t>
            </w:r>
            <w:proofErr w:type="spellEnd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), Peshawar, Jhelum, Sargodha, </w:t>
            </w:r>
            <w:proofErr w:type="spellStart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Abbotabad</w:t>
            </w:r>
            <w:proofErr w:type="spellEnd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, Karachi, Hyderabad, </w:t>
            </w:r>
            <w:proofErr w:type="spellStart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Sukkar</w:t>
            </w:r>
            <w:proofErr w:type="spellEnd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 &amp; Quetta.</w:t>
            </w:r>
          </w:p>
          <w:p w:rsidR="008D08F7" w:rsidRPr="008D08F7" w:rsidRDefault="008D08F7" w:rsidP="008D08F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Cities other than the mentioned ones (for RV) to be approved by Business Head &amp; Head of Credit Operations.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Vehicles allowed under RV;</w:t>
            </w:r>
          </w:p>
          <w:tbl>
            <w:tblPr>
              <w:tblW w:w="99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5"/>
              <w:gridCol w:w="524"/>
              <w:gridCol w:w="7731"/>
            </w:tblGrid>
            <w:tr w:rsidR="008D08F7" w:rsidRPr="008D08F7">
              <w:tc>
                <w:tcPr>
                  <w:tcW w:w="1440" w:type="dxa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Suzuki</w:t>
                  </w:r>
                </w:p>
              </w:tc>
              <w:tc>
                <w:tcPr>
                  <w:tcW w:w="450" w:type="dxa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6645" w:type="dxa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Bolan (Equity: 30% &amp; RV 30%), </w:t>
                  </w:r>
                  <w:proofErr w:type="spellStart"/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Cultus</w:t>
                  </w:r>
                  <w:proofErr w:type="spellEnd"/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, Wagon R, Swift, Alto (Equity: 30% &amp; RV 50%)</w:t>
                  </w:r>
                </w:p>
              </w:tc>
            </w:tr>
            <w:tr w:rsidR="008D08F7" w:rsidRPr="008D08F7">
              <w:tc>
                <w:tcPr>
                  <w:tcW w:w="1440" w:type="dxa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Toyota</w:t>
                  </w:r>
                </w:p>
              </w:tc>
              <w:tc>
                <w:tcPr>
                  <w:tcW w:w="450" w:type="dxa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6645" w:type="dxa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Corolla, </w:t>
                  </w:r>
                  <w:proofErr w:type="spellStart"/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Fortuner</w:t>
                  </w:r>
                  <w:proofErr w:type="spellEnd"/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, Hilux, Yaris (Equity: 30% &amp; RV 50%), Cross (Equity: 50% &amp; RV</w:t>
                  </w:r>
                  <w:proofErr w:type="gramStart"/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:50</w:t>
                  </w:r>
                  <w:proofErr w:type="gramEnd"/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%)</w:t>
                  </w:r>
                </w:p>
              </w:tc>
            </w:tr>
            <w:tr w:rsidR="008D08F7" w:rsidRPr="008D08F7">
              <w:tc>
                <w:tcPr>
                  <w:tcW w:w="1440" w:type="dxa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Honda</w:t>
                  </w:r>
                </w:p>
              </w:tc>
              <w:tc>
                <w:tcPr>
                  <w:tcW w:w="450" w:type="dxa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6645" w:type="dxa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City, Civic, BR-V</w:t>
                  </w:r>
                  <w:proofErr w:type="gramStart"/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 (</w:t>
                  </w:r>
                  <w:proofErr w:type="gramEnd"/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Equity: 30% &amp; RV 50%)</w:t>
                  </w:r>
                </w:p>
              </w:tc>
            </w:tr>
            <w:tr w:rsidR="008D08F7" w:rsidRPr="008D08F7">
              <w:tc>
                <w:tcPr>
                  <w:tcW w:w="1440" w:type="dxa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Kia</w:t>
                  </w:r>
                </w:p>
              </w:tc>
              <w:tc>
                <w:tcPr>
                  <w:tcW w:w="450" w:type="dxa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6645" w:type="dxa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Picanto</w:t>
                  </w:r>
                  <w:proofErr w:type="spellEnd"/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Sportage</w:t>
                  </w:r>
                  <w:proofErr w:type="spellEnd"/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 (Equity: 30% &amp; RV 30%)</w:t>
                  </w:r>
                </w:p>
              </w:tc>
            </w:tr>
            <w:tr w:rsidR="008D08F7" w:rsidRPr="008D08F7">
              <w:tc>
                <w:tcPr>
                  <w:tcW w:w="1440" w:type="dxa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Hyundai</w:t>
                  </w:r>
                </w:p>
              </w:tc>
              <w:tc>
                <w:tcPr>
                  <w:tcW w:w="450" w:type="dxa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6645" w:type="dxa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Tucson (Equity: 30% &amp; RV 30%), </w:t>
                  </w:r>
                  <w:proofErr w:type="spellStart"/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Elantra</w:t>
                  </w:r>
                  <w:proofErr w:type="spellEnd"/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 xml:space="preserve"> (Equity: 50% &amp; RV: 50%)</w:t>
                  </w:r>
                </w:p>
              </w:tc>
            </w:tr>
            <w:tr w:rsidR="008D08F7" w:rsidRPr="008D08F7">
              <w:tc>
                <w:tcPr>
                  <w:tcW w:w="1440" w:type="dxa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MG</w:t>
                  </w:r>
                </w:p>
              </w:tc>
              <w:tc>
                <w:tcPr>
                  <w:tcW w:w="450" w:type="dxa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6645" w:type="dxa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HS (Equity: 50% &amp; RV: 50%)</w:t>
                  </w:r>
                </w:p>
              </w:tc>
            </w:tr>
            <w:tr w:rsidR="008D08F7" w:rsidRPr="008D08F7">
              <w:tc>
                <w:tcPr>
                  <w:tcW w:w="1440" w:type="dxa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Haval</w:t>
                  </w:r>
                  <w:proofErr w:type="spellEnd"/>
                </w:p>
              </w:tc>
              <w:tc>
                <w:tcPr>
                  <w:tcW w:w="450" w:type="dxa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6645" w:type="dxa"/>
                  <w:tcBorders>
                    <w:top w:val="single" w:sz="6" w:space="0" w:color="961C13"/>
                    <w:left w:val="single" w:sz="6" w:space="0" w:color="961C13"/>
                    <w:bottom w:val="single" w:sz="6" w:space="0" w:color="961C13"/>
                    <w:right w:val="single" w:sz="6" w:space="0" w:color="961C13"/>
                  </w:tcBorders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D08F7" w:rsidRPr="008D08F7" w:rsidRDefault="008D08F7" w:rsidP="008D08F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Jolion</w:t>
                  </w:r>
                  <w:proofErr w:type="spellEnd"/>
                  <w:r w:rsidRPr="008D08F7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, H6, H6 EV (Equity: 50% &amp; RV: 50%)</w:t>
                  </w:r>
                </w:p>
              </w:tc>
            </w:tr>
          </w:tbl>
          <w:p w:rsidR="008D08F7" w:rsidRPr="008D08F7" w:rsidRDefault="008D08F7" w:rsidP="008D08F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For RV, used vehicle should not be older than 3 years at the time of financing.</w:t>
            </w:r>
          </w:p>
          <w:p w:rsidR="008D08F7" w:rsidRPr="008D08F7" w:rsidRDefault="008D08F7" w:rsidP="008D08F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Imported (New/Used) vehicles </w:t>
            </w:r>
            <w:proofErr w:type="gramStart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are not allowed</w:t>
            </w:r>
            <w:proofErr w:type="gramEnd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.</w:t>
            </w:r>
          </w:p>
          <w:p w:rsidR="008D08F7" w:rsidRPr="008D08F7" w:rsidRDefault="008D08F7" w:rsidP="008D08F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Maximum Financing up to 5 years only (3 Years max for vehicles above 1000 CC).</w:t>
            </w:r>
          </w:p>
          <w:p w:rsidR="008D08F7" w:rsidRPr="008D08F7" w:rsidRDefault="008D08F7" w:rsidP="008D08F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Only one RV per customer </w:t>
            </w:r>
            <w:proofErr w:type="gramStart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shall be allowed</w:t>
            </w:r>
            <w:proofErr w:type="gramEnd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.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Deferred Insurance/ Registration: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Option to pay Insurance and Registration charges in installments during the tenure of the financing only in the case where down payment by the borrower does not exceed 50%. (Additional 1% Markup will be applicable and Variable rate financing only).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Partial Payment Product: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This product </w:t>
            </w:r>
            <w:proofErr w:type="gramStart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is designed</w:t>
            </w:r>
            <w:proofErr w:type="gramEnd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 to cater customers who have made payment at Dealerships and interested in availing financing for the balance payment. Under this product the bank will not be requiring equity from customers;</w:t>
            </w:r>
          </w:p>
          <w:p w:rsidR="008D08F7" w:rsidRPr="008D08F7" w:rsidRDefault="008D08F7" w:rsidP="008D08F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The customer deposited amount at OEM shall be considered as equity participation provided the case </w:t>
            </w:r>
            <w:proofErr w:type="gramStart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meets</w:t>
            </w:r>
            <w:proofErr w:type="gramEnd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 the Bank’s equity criteria.</w:t>
            </w:r>
          </w:p>
          <w:p w:rsidR="008D08F7" w:rsidRPr="008D08F7" w:rsidRDefault="008D08F7" w:rsidP="008D08F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The customer will be required to deposit additional equity over and above the amount deposited at OEM as per case requirement, if required.</w:t>
            </w:r>
          </w:p>
        </w:tc>
      </w:tr>
    </w:tbl>
    <w:p w:rsidR="008D08F7" w:rsidRDefault="008D08F7">
      <w:pPr>
        <w:rPr>
          <w:b/>
        </w:rPr>
      </w:pPr>
    </w:p>
    <w:p w:rsidR="008D08F7" w:rsidRDefault="008D08F7">
      <w:pPr>
        <w:rPr>
          <w:b/>
        </w:rPr>
      </w:pPr>
      <w:r>
        <w:rPr>
          <w:b/>
        </w:rPr>
        <w:t>Target Market</w:t>
      </w:r>
    </w:p>
    <w:p w:rsidR="008D08F7" w:rsidRPr="008D08F7" w:rsidRDefault="008D08F7" w:rsidP="008D08F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D08F7">
        <w:rPr>
          <w:rFonts w:ascii="Tahoma" w:eastAsia="Times New Roman" w:hAnsi="Tahoma" w:cs="Tahoma"/>
          <w:color w:val="6F7074"/>
          <w:sz w:val="24"/>
          <w:szCs w:val="24"/>
        </w:rPr>
        <w:t>Salaried Individuals (Permanent / Contractual)</w:t>
      </w:r>
    </w:p>
    <w:p w:rsidR="008D08F7" w:rsidRPr="008D08F7" w:rsidRDefault="008D08F7" w:rsidP="008D08F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D08F7">
        <w:rPr>
          <w:rFonts w:ascii="Tahoma" w:eastAsia="Times New Roman" w:hAnsi="Tahoma" w:cs="Tahoma"/>
          <w:color w:val="6F7074"/>
          <w:sz w:val="24"/>
          <w:szCs w:val="24"/>
        </w:rPr>
        <w:t>Self Employed Individuals</w:t>
      </w:r>
    </w:p>
    <w:p w:rsidR="008D08F7" w:rsidRPr="008D08F7" w:rsidRDefault="008D08F7" w:rsidP="008D08F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D08F7">
        <w:rPr>
          <w:rFonts w:ascii="Tahoma" w:eastAsia="Times New Roman" w:hAnsi="Tahoma" w:cs="Tahoma"/>
          <w:color w:val="6F7074"/>
          <w:sz w:val="24"/>
          <w:szCs w:val="24"/>
        </w:rPr>
        <w:t>Proprietorships, Partners, Family Concern Business, Directors</w:t>
      </w:r>
    </w:p>
    <w:p w:rsidR="008D08F7" w:rsidRPr="008D08F7" w:rsidRDefault="008D08F7" w:rsidP="008D08F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D08F7">
        <w:rPr>
          <w:rFonts w:ascii="Tahoma" w:eastAsia="Times New Roman" w:hAnsi="Tahoma" w:cs="Tahoma"/>
          <w:color w:val="6F7074"/>
          <w:sz w:val="24"/>
          <w:szCs w:val="24"/>
        </w:rPr>
        <w:t>Professionals (Chartered Accountants, Consultants, Doctors, etc.)</w:t>
      </w:r>
    </w:p>
    <w:p w:rsidR="008D08F7" w:rsidRPr="008D08F7" w:rsidRDefault="008D08F7" w:rsidP="008D08F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8D08F7">
        <w:rPr>
          <w:rFonts w:ascii="Tahoma" w:eastAsia="Times New Roman" w:hAnsi="Tahoma" w:cs="Tahoma"/>
          <w:color w:val="6F7074"/>
          <w:sz w:val="24"/>
          <w:szCs w:val="24"/>
        </w:rPr>
        <w:t>Landlords, Housewives &amp; Retired individuals &amp; Individuals with consistent Rental Income/Foreign Remittances</w:t>
      </w:r>
    </w:p>
    <w:p w:rsidR="008D08F7" w:rsidRDefault="008D08F7">
      <w:pPr>
        <w:rPr>
          <w:b/>
        </w:rPr>
      </w:pPr>
      <w:r>
        <w:rPr>
          <w:b/>
        </w:rPr>
        <w:t xml:space="preserve">Eligibility Criteria </w:t>
      </w:r>
    </w:p>
    <w:p w:rsidR="008D08F7" w:rsidRPr="008D08F7" w:rsidRDefault="008D08F7" w:rsidP="008D08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 Salaried Person</w:t>
      </w:r>
    </w:p>
    <w:p w:rsidR="008D08F7" w:rsidRPr="008D08F7" w:rsidRDefault="008D08F7" w:rsidP="008D08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Age:</w:t>
      </w:r>
      <w:r w:rsidRPr="008D08F7">
        <w:rPr>
          <w:rFonts w:ascii="Tahoma" w:eastAsia="Times New Roman" w:hAnsi="Tahoma" w:cs="Tahoma"/>
          <w:color w:val="6F7074"/>
          <w:sz w:val="24"/>
          <w:szCs w:val="24"/>
        </w:rPr>
        <w:t> Min 21 Years To 65 Years at time of loan maturity for Private Sector Employees and 60 Years for Government Sector Employees</w:t>
      </w:r>
    </w:p>
    <w:p w:rsidR="008D08F7" w:rsidRPr="008D08F7" w:rsidRDefault="008D08F7" w:rsidP="008D08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Min Salary:</w:t>
      </w:r>
      <w:r w:rsidRPr="008D08F7">
        <w:rPr>
          <w:rFonts w:ascii="Tahoma" w:eastAsia="Times New Roman" w:hAnsi="Tahoma" w:cs="Tahoma"/>
          <w:color w:val="6F7074"/>
          <w:sz w:val="24"/>
          <w:szCs w:val="24"/>
        </w:rPr>
        <w:t xml:space="preserve"> Min </w:t>
      </w:r>
      <w:proofErr w:type="spellStart"/>
      <w:r w:rsidRPr="008D08F7">
        <w:rPr>
          <w:rFonts w:ascii="Tahoma" w:eastAsia="Times New Roman" w:hAnsi="Tahoma" w:cs="Tahoma"/>
          <w:color w:val="6F7074"/>
          <w:sz w:val="24"/>
          <w:szCs w:val="24"/>
        </w:rPr>
        <w:t>Rs</w:t>
      </w:r>
      <w:proofErr w:type="spellEnd"/>
      <w:r w:rsidRPr="008D08F7">
        <w:rPr>
          <w:rFonts w:ascii="Tahoma" w:eastAsia="Times New Roman" w:hAnsi="Tahoma" w:cs="Tahoma"/>
          <w:color w:val="6F7074"/>
          <w:sz w:val="24"/>
          <w:szCs w:val="24"/>
        </w:rPr>
        <w:t>. 30,000/- per month</w:t>
      </w:r>
    </w:p>
    <w:p w:rsidR="008D08F7" w:rsidRPr="008D08F7" w:rsidRDefault="008D08F7" w:rsidP="008D08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Job status:</w:t>
      </w:r>
    </w:p>
    <w:p w:rsidR="008D08F7" w:rsidRPr="008D08F7" w:rsidRDefault="008D08F7" w:rsidP="008D08F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color w:val="6F7074"/>
          <w:sz w:val="24"/>
          <w:szCs w:val="24"/>
        </w:rPr>
        <w:t>Permanent: Currently employed, with a total employment experience of three months.</w:t>
      </w:r>
    </w:p>
    <w:p w:rsidR="008D08F7" w:rsidRPr="008D08F7" w:rsidRDefault="008D08F7" w:rsidP="008D08F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color w:val="6F7074"/>
          <w:sz w:val="24"/>
          <w:szCs w:val="24"/>
        </w:rPr>
        <w:t>Contractual: Currently employed, with total employment experience of 6 months.</w:t>
      </w:r>
    </w:p>
    <w:p w:rsidR="008D08F7" w:rsidRPr="008D08F7" w:rsidRDefault="008D08F7" w:rsidP="008D08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Self-Employed/Others</w:t>
      </w:r>
    </w:p>
    <w:p w:rsidR="008D08F7" w:rsidRPr="008D08F7" w:rsidRDefault="008D08F7" w:rsidP="008D08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Age:</w:t>
      </w:r>
      <w:r w:rsidRPr="008D08F7">
        <w:rPr>
          <w:rFonts w:ascii="Tahoma" w:eastAsia="Times New Roman" w:hAnsi="Tahoma" w:cs="Tahoma"/>
          <w:color w:val="6F7074"/>
          <w:sz w:val="24"/>
          <w:szCs w:val="24"/>
        </w:rPr>
        <w:t> Min 21 To 70 Years at time of loan maturity</w:t>
      </w:r>
    </w:p>
    <w:p w:rsidR="008D08F7" w:rsidRPr="008D08F7" w:rsidRDefault="008D08F7" w:rsidP="008D08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Min Income:</w:t>
      </w:r>
      <w:r w:rsidRPr="008D08F7">
        <w:rPr>
          <w:rFonts w:ascii="Tahoma" w:eastAsia="Times New Roman" w:hAnsi="Tahoma" w:cs="Tahoma"/>
          <w:color w:val="6F7074"/>
          <w:sz w:val="24"/>
          <w:szCs w:val="24"/>
        </w:rPr>
        <w:t> PKR 50,000/- per month (assessed on Bank Statement or documentary evidence)</w:t>
      </w:r>
    </w:p>
    <w:p w:rsidR="008D08F7" w:rsidRPr="008D08F7" w:rsidRDefault="008D08F7" w:rsidP="008D08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b/>
          <w:bCs/>
          <w:color w:val="6F7074"/>
          <w:sz w:val="24"/>
          <w:szCs w:val="24"/>
        </w:rPr>
        <w:lastRenderedPageBreak/>
        <w:t>Business status:</w:t>
      </w:r>
      <w:r w:rsidRPr="008D08F7">
        <w:rPr>
          <w:rFonts w:ascii="Tahoma" w:eastAsia="Times New Roman" w:hAnsi="Tahoma" w:cs="Tahoma"/>
          <w:color w:val="6F7074"/>
          <w:sz w:val="24"/>
          <w:szCs w:val="24"/>
        </w:rPr>
        <w:t> Minimum 1 year in current business</w:t>
      </w:r>
    </w:p>
    <w:p w:rsidR="008D08F7" w:rsidRPr="008D08F7" w:rsidRDefault="008D08F7" w:rsidP="008D08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color w:val="6F7074"/>
          <w:sz w:val="24"/>
          <w:szCs w:val="24"/>
        </w:rPr>
        <w:t>- External Verification exemption for Payroll companies (bank @ work) (Subject to no change in current address with the address available in account details).</w:t>
      </w:r>
    </w:p>
    <w:p w:rsidR="008D08F7" w:rsidRPr="008D08F7" w:rsidRDefault="008D08F7" w:rsidP="008D08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color w:val="6F7074"/>
          <w:sz w:val="24"/>
          <w:szCs w:val="24"/>
        </w:rPr>
        <w:t xml:space="preserve">- Staff of companies deployed at remote locations including oil &amp; Gas exploration companies &amp; large contracting firms </w:t>
      </w:r>
      <w:proofErr w:type="gramStart"/>
      <w:r w:rsidRPr="008D08F7">
        <w:rPr>
          <w:rFonts w:ascii="Tahoma" w:eastAsia="Times New Roman" w:hAnsi="Tahoma" w:cs="Tahoma"/>
          <w:color w:val="6F7074"/>
          <w:sz w:val="24"/>
          <w:szCs w:val="24"/>
        </w:rPr>
        <w:t>shall be excluded</w:t>
      </w:r>
      <w:proofErr w:type="gramEnd"/>
      <w:r w:rsidRPr="008D08F7">
        <w:rPr>
          <w:rFonts w:ascii="Tahoma" w:eastAsia="Times New Roman" w:hAnsi="Tahoma" w:cs="Tahoma"/>
          <w:color w:val="6F7074"/>
          <w:sz w:val="24"/>
          <w:szCs w:val="24"/>
        </w:rPr>
        <w:t xml:space="preserve"> from physical office verification and their credential shall be verified from their payroll issuing office in any of the approved city.</w:t>
      </w:r>
    </w:p>
    <w:p w:rsidR="008D08F7" w:rsidRPr="008D08F7" w:rsidRDefault="008D08F7" w:rsidP="008D08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color w:val="6F7074"/>
          <w:sz w:val="24"/>
          <w:szCs w:val="24"/>
        </w:rPr>
        <w:t xml:space="preserve">- No verification required in case the customer has an Asset Relationship of less than 01 year with Bank and there is no change in business &amp; residential address during this tenure. (Confirmation from relevant Branch Staff (Relationship Manager / Operations Manager / Credit Manager), CFG Staff (Operation / Customer Services Staff) </w:t>
      </w:r>
      <w:proofErr w:type="gramStart"/>
      <w:r w:rsidRPr="008D08F7">
        <w:rPr>
          <w:rFonts w:ascii="Tahoma" w:eastAsia="Times New Roman" w:hAnsi="Tahoma" w:cs="Tahoma"/>
          <w:color w:val="6F7074"/>
          <w:sz w:val="24"/>
          <w:szCs w:val="24"/>
        </w:rPr>
        <w:t>shall be obtained</w:t>
      </w:r>
      <w:proofErr w:type="gramEnd"/>
      <w:r w:rsidRPr="008D08F7">
        <w:rPr>
          <w:rFonts w:ascii="Tahoma" w:eastAsia="Times New Roman" w:hAnsi="Tahoma" w:cs="Tahoma"/>
          <w:color w:val="6F7074"/>
          <w:sz w:val="24"/>
          <w:szCs w:val="24"/>
        </w:rPr>
        <w:t xml:space="preserve"> regarding no change in address. In such </w:t>
      </w:r>
      <w:proofErr w:type="gramStart"/>
      <w:r w:rsidRPr="008D08F7">
        <w:rPr>
          <w:rFonts w:ascii="Tahoma" w:eastAsia="Times New Roman" w:hAnsi="Tahoma" w:cs="Tahoma"/>
          <w:color w:val="6F7074"/>
          <w:sz w:val="24"/>
          <w:szCs w:val="24"/>
        </w:rPr>
        <w:t>cases</w:t>
      </w:r>
      <w:proofErr w:type="gramEnd"/>
      <w:r w:rsidRPr="008D08F7">
        <w:rPr>
          <w:rFonts w:ascii="Tahoma" w:eastAsia="Times New Roman" w:hAnsi="Tahoma" w:cs="Tahoma"/>
          <w:color w:val="6F7074"/>
          <w:sz w:val="24"/>
          <w:szCs w:val="24"/>
        </w:rPr>
        <w:t xml:space="preserve"> IV will be mandatory.</w:t>
      </w:r>
    </w:p>
    <w:p w:rsidR="008D08F7" w:rsidRDefault="008D08F7">
      <w:pPr>
        <w:rPr>
          <w:b/>
        </w:rPr>
      </w:pPr>
      <w:r>
        <w:rPr>
          <w:b/>
        </w:rPr>
        <w:t>Documentation Required</w:t>
      </w:r>
    </w:p>
    <w:p w:rsidR="008D08F7" w:rsidRPr="008D08F7" w:rsidRDefault="008D08F7" w:rsidP="008D08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8D08F7">
        <w:rPr>
          <w:rFonts w:ascii="Tahoma" w:eastAsia="Times New Roman" w:hAnsi="Tahoma" w:cs="Tahoma"/>
          <w:color w:val="6F7074"/>
          <w:sz w:val="24"/>
          <w:szCs w:val="24"/>
        </w:rPr>
        <w:t>Complete application form with customer’s signatures, Copy of CNIC/NICOP/Smart</w:t>
      </w:r>
      <w:r w:rsidRPr="008D08F7">
        <w:rPr>
          <w:rFonts w:ascii="Tahoma" w:eastAsia="Times New Roman" w:hAnsi="Tahoma" w:cs="Tahoma"/>
          <w:color w:val="6F7074"/>
          <w:sz w:val="24"/>
          <w:szCs w:val="24"/>
        </w:rPr>
        <w:br/>
        <w:t>ID (original seen by sales), SBP undertaking &amp; 2 fresh snaps required for all customers in</w:t>
      </w:r>
      <w:r w:rsidRPr="008D08F7">
        <w:rPr>
          <w:rFonts w:ascii="Tahoma" w:eastAsia="Times New Roman" w:hAnsi="Tahoma" w:cs="Tahoma"/>
          <w:color w:val="6F7074"/>
          <w:sz w:val="24"/>
          <w:szCs w:val="24"/>
        </w:rPr>
        <w:br/>
        <w:t>each &amp; every case, (A/C maintenance certificate if required).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8"/>
        <w:gridCol w:w="16522"/>
      </w:tblGrid>
      <w:tr w:rsidR="008D08F7" w:rsidRPr="008D08F7" w:rsidTr="008D08F7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D08F7" w:rsidRPr="008D08F7" w:rsidRDefault="008D08F7" w:rsidP="008D08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Salaried individual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D08F7" w:rsidRPr="008D08F7" w:rsidRDefault="008D08F7" w:rsidP="008D08F7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Salary Slip / Salary Letter</w:t>
            </w:r>
          </w:p>
          <w:p w:rsidR="008D08F7" w:rsidRPr="008D08F7" w:rsidRDefault="008D08F7" w:rsidP="008D08F7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06 months Bank Statement</w:t>
            </w:r>
          </w:p>
        </w:tc>
      </w:tr>
      <w:tr w:rsidR="008D08F7" w:rsidRPr="008D08F7" w:rsidTr="008D08F7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D08F7" w:rsidRPr="008D08F7" w:rsidRDefault="008D08F7" w:rsidP="008D08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SEB/SEP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D08F7" w:rsidRPr="008D08F7" w:rsidRDefault="008D08F7" w:rsidP="008D08F7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6 months Bank Statement OR</w:t>
            </w:r>
          </w:p>
          <w:p w:rsidR="008D08F7" w:rsidRPr="008D08F7" w:rsidRDefault="008D08F7" w:rsidP="008D08F7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Income verification report</w:t>
            </w:r>
          </w:p>
        </w:tc>
      </w:tr>
      <w:tr w:rsidR="008D08F7" w:rsidRPr="008D08F7" w:rsidTr="008D08F7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D08F7" w:rsidRPr="008D08F7" w:rsidRDefault="008D08F7" w:rsidP="008D08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Agriculturist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D08F7" w:rsidRPr="008D08F7" w:rsidRDefault="008D08F7" w:rsidP="008D08F7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Fard</w:t>
            </w:r>
            <w:proofErr w:type="spellEnd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 / Mukhtar e </w:t>
            </w:r>
            <w:proofErr w:type="spellStart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Kar</w:t>
            </w:r>
            <w:proofErr w:type="spellEnd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 /Ownership Certificate</w:t>
            </w:r>
          </w:p>
          <w:p w:rsidR="008D08F7" w:rsidRPr="008D08F7" w:rsidRDefault="008D08F7" w:rsidP="008D08F7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6 months Bank Statement OR Income verification report</w:t>
            </w:r>
          </w:p>
        </w:tc>
      </w:tr>
      <w:tr w:rsidR="008D08F7" w:rsidRPr="008D08F7" w:rsidTr="008D08F7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D08F7" w:rsidRPr="008D08F7" w:rsidRDefault="008D08F7" w:rsidP="008D08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Rental Income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D08F7" w:rsidRPr="008D08F7" w:rsidRDefault="008D08F7" w:rsidP="008D08F7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Rental Agreement (should be valid for next 3 months)</w:t>
            </w:r>
          </w:p>
          <w:p w:rsidR="008D08F7" w:rsidRPr="008D08F7" w:rsidRDefault="008D08F7" w:rsidP="008D08F7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Title documents</w:t>
            </w:r>
          </w:p>
          <w:p w:rsidR="008D08F7" w:rsidRPr="008D08F7" w:rsidRDefault="008D08F7" w:rsidP="008D08F7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6 months Bank Statement (in case rent is being credited in B/S)</w:t>
            </w:r>
          </w:p>
        </w:tc>
      </w:tr>
      <w:tr w:rsidR="008D08F7" w:rsidRPr="008D08F7" w:rsidTr="008D08F7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D08F7" w:rsidRPr="008D08F7" w:rsidRDefault="008D08F7" w:rsidP="008D08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Foreign</w:t>
            </w:r>
            <w:r w:rsidRPr="008D08F7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Remittance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D08F7" w:rsidRPr="008D08F7" w:rsidRDefault="008D08F7" w:rsidP="008D08F7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Income/Job Proof</w:t>
            </w:r>
          </w:p>
          <w:p w:rsidR="008D08F7" w:rsidRPr="008D08F7" w:rsidRDefault="008D08F7" w:rsidP="008D08F7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Remitter Passport (has a valid Visa for </w:t>
            </w:r>
            <w:proofErr w:type="spellStart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atleast</w:t>
            </w:r>
            <w:proofErr w:type="spellEnd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 3 months)</w:t>
            </w:r>
          </w:p>
          <w:p w:rsidR="008D08F7" w:rsidRPr="008D08F7" w:rsidRDefault="008D08F7" w:rsidP="008D08F7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6 Months Remittance Slips OR </w:t>
            </w:r>
            <w:proofErr w:type="spellStart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Remittee</w:t>
            </w:r>
            <w:proofErr w:type="spellEnd"/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 xml:space="preserve"> Bank Statement</w:t>
            </w:r>
          </w:p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Tahoma" w:eastAsia="Times New Roman" w:hAnsi="Tahoma" w:cs="Tahoma"/>
                <w:sz w:val="24"/>
                <w:szCs w:val="24"/>
              </w:rPr>
              <w:t>Parents, spouse &amp; children are allowed under this segment</w:t>
            </w:r>
          </w:p>
        </w:tc>
      </w:tr>
    </w:tbl>
    <w:p w:rsidR="008D08F7" w:rsidRDefault="008D08F7">
      <w:pPr>
        <w:rPr>
          <w:b/>
        </w:rPr>
      </w:pPr>
    </w:p>
    <w:p w:rsidR="008D08F7" w:rsidRDefault="008D08F7">
      <w:pPr>
        <w:rPr>
          <w:b/>
        </w:rPr>
      </w:pPr>
    </w:p>
    <w:p w:rsidR="008D08F7" w:rsidRDefault="008D08F7">
      <w:pPr>
        <w:rPr>
          <w:b/>
        </w:rPr>
      </w:pPr>
    </w:p>
    <w:p w:rsidR="008D08F7" w:rsidRDefault="008D08F7">
      <w:pPr>
        <w:rPr>
          <w:b/>
        </w:rPr>
      </w:pPr>
      <w:r>
        <w:rPr>
          <w:b/>
        </w:rPr>
        <w:t>Related TATs</w:t>
      </w:r>
    </w:p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9560"/>
        <w:gridCol w:w="9955"/>
      </w:tblGrid>
      <w:tr w:rsidR="008D08F7" w:rsidRPr="008D08F7" w:rsidTr="008D08F7">
        <w:tc>
          <w:tcPr>
            <w:tcW w:w="8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39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Customer Request</w:t>
            </w:r>
          </w:p>
        </w:tc>
        <w:tc>
          <w:tcPr>
            <w:tcW w:w="41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Processing TAT</w:t>
            </w:r>
          </w:p>
        </w:tc>
      </w:tr>
      <w:tr w:rsidR="008D08F7" w:rsidRPr="008D08F7" w:rsidTr="008D08F7">
        <w:tc>
          <w:tcPr>
            <w:tcW w:w="8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9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Arial" w:eastAsia="Times New Roman" w:hAnsi="Arial" w:cs="Arial"/>
                <w:sz w:val="24"/>
                <w:szCs w:val="24"/>
              </w:rPr>
              <w:t>Auto Loan approval</w:t>
            </w:r>
          </w:p>
        </w:tc>
        <w:tc>
          <w:tcPr>
            <w:tcW w:w="41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Arial" w:eastAsia="Times New Roman" w:hAnsi="Arial" w:cs="Arial"/>
                <w:sz w:val="24"/>
                <w:szCs w:val="24"/>
              </w:rPr>
              <w:t>11 working days</w:t>
            </w:r>
            <w:r w:rsidRPr="008D08F7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</w:tr>
      <w:tr w:rsidR="008D08F7" w:rsidRPr="008D08F7" w:rsidTr="008D08F7">
        <w:tc>
          <w:tcPr>
            <w:tcW w:w="8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9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Arial" w:eastAsia="Times New Roman" w:hAnsi="Arial" w:cs="Arial"/>
                <w:sz w:val="24"/>
                <w:szCs w:val="24"/>
              </w:rPr>
              <w:t>Issuance of payoff sheet</w:t>
            </w:r>
          </w:p>
        </w:tc>
        <w:tc>
          <w:tcPr>
            <w:tcW w:w="41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Arial" w:eastAsia="Times New Roman" w:hAnsi="Arial" w:cs="Arial"/>
                <w:sz w:val="24"/>
                <w:szCs w:val="24"/>
              </w:rPr>
              <w:t>03 working days</w:t>
            </w:r>
          </w:p>
        </w:tc>
      </w:tr>
      <w:tr w:rsidR="008D08F7" w:rsidRPr="008D08F7" w:rsidTr="008D08F7">
        <w:tc>
          <w:tcPr>
            <w:tcW w:w="8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9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Arial" w:eastAsia="Times New Roman" w:hAnsi="Arial" w:cs="Arial"/>
                <w:sz w:val="24"/>
                <w:szCs w:val="24"/>
              </w:rPr>
              <w:t>Issuance of NOC and Excise File</w:t>
            </w:r>
          </w:p>
        </w:tc>
        <w:tc>
          <w:tcPr>
            <w:tcW w:w="41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Arial" w:eastAsia="Times New Roman" w:hAnsi="Arial" w:cs="Arial"/>
                <w:sz w:val="24"/>
                <w:szCs w:val="24"/>
              </w:rPr>
              <w:t>08 working days</w:t>
            </w:r>
          </w:p>
        </w:tc>
      </w:tr>
      <w:tr w:rsidR="008D08F7" w:rsidRPr="008D08F7" w:rsidTr="008D08F7">
        <w:tc>
          <w:tcPr>
            <w:tcW w:w="8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39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Arial" w:eastAsia="Times New Roman" w:hAnsi="Arial" w:cs="Arial"/>
                <w:sz w:val="24"/>
                <w:szCs w:val="24"/>
              </w:rPr>
              <w:t>Tax Letters/Clearance/Letter/E-Tag Letter</w:t>
            </w:r>
          </w:p>
        </w:tc>
        <w:tc>
          <w:tcPr>
            <w:tcW w:w="41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Arial" w:eastAsia="Times New Roman" w:hAnsi="Arial" w:cs="Arial"/>
                <w:sz w:val="24"/>
                <w:szCs w:val="24"/>
              </w:rPr>
              <w:t>05 working days</w:t>
            </w:r>
          </w:p>
        </w:tc>
      </w:tr>
      <w:tr w:rsidR="008D08F7" w:rsidRPr="008D08F7" w:rsidTr="008D08F7">
        <w:tc>
          <w:tcPr>
            <w:tcW w:w="8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39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Arial" w:eastAsia="Times New Roman" w:hAnsi="Arial" w:cs="Arial"/>
                <w:sz w:val="24"/>
                <w:szCs w:val="24"/>
              </w:rPr>
              <w:t>Refund PO</w:t>
            </w:r>
          </w:p>
        </w:tc>
        <w:tc>
          <w:tcPr>
            <w:tcW w:w="41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Arial" w:eastAsia="Times New Roman" w:hAnsi="Arial" w:cs="Arial"/>
                <w:sz w:val="24"/>
                <w:szCs w:val="24"/>
              </w:rPr>
              <w:t>05 working days</w:t>
            </w:r>
          </w:p>
        </w:tc>
      </w:tr>
      <w:tr w:rsidR="008D08F7" w:rsidRPr="008D08F7" w:rsidTr="008D08F7">
        <w:tc>
          <w:tcPr>
            <w:tcW w:w="8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39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Arial" w:eastAsia="Times New Roman" w:hAnsi="Arial" w:cs="Arial"/>
                <w:sz w:val="24"/>
                <w:szCs w:val="24"/>
              </w:rPr>
              <w:t>Insurance claim Settlement (Theft/Snatch/Heavy Loss)</w:t>
            </w:r>
          </w:p>
        </w:tc>
        <w:tc>
          <w:tcPr>
            <w:tcW w:w="41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Arial" w:eastAsia="Times New Roman" w:hAnsi="Arial" w:cs="Arial"/>
                <w:sz w:val="24"/>
                <w:szCs w:val="24"/>
              </w:rPr>
              <w:t>30 working days (Post doc completion)</w:t>
            </w:r>
          </w:p>
        </w:tc>
      </w:tr>
      <w:tr w:rsidR="008D08F7" w:rsidRPr="008D08F7" w:rsidTr="008D08F7">
        <w:tc>
          <w:tcPr>
            <w:tcW w:w="8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39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Arial" w:eastAsia="Times New Roman" w:hAnsi="Arial" w:cs="Arial"/>
                <w:sz w:val="24"/>
                <w:szCs w:val="24"/>
              </w:rPr>
              <w:t>Legacy Auto Finance Query Management</w:t>
            </w:r>
          </w:p>
        </w:tc>
        <w:tc>
          <w:tcPr>
            <w:tcW w:w="41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Arial" w:eastAsia="Times New Roman" w:hAnsi="Arial" w:cs="Arial"/>
                <w:sz w:val="24"/>
                <w:szCs w:val="24"/>
              </w:rPr>
              <w:t>07 working days</w:t>
            </w:r>
          </w:p>
        </w:tc>
      </w:tr>
      <w:tr w:rsidR="008D08F7" w:rsidRPr="008D08F7" w:rsidTr="008D08F7">
        <w:tc>
          <w:tcPr>
            <w:tcW w:w="8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39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Arial" w:eastAsia="Times New Roman" w:hAnsi="Arial" w:cs="Arial"/>
                <w:sz w:val="24"/>
                <w:szCs w:val="24"/>
              </w:rPr>
              <w:t>Waiver of Charges Request</w:t>
            </w:r>
          </w:p>
        </w:tc>
        <w:tc>
          <w:tcPr>
            <w:tcW w:w="41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Arial" w:eastAsia="Times New Roman" w:hAnsi="Arial" w:cs="Arial"/>
                <w:sz w:val="24"/>
                <w:szCs w:val="24"/>
              </w:rPr>
              <w:t>07 working days</w:t>
            </w:r>
          </w:p>
        </w:tc>
      </w:tr>
      <w:tr w:rsidR="008D08F7" w:rsidRPr="008D08F7" w:rsidTr="008D08F7">
        <w:tc>
          <w:tcPr>
            <w:tcW w:w="8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39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Arial" w:eastAsia="Times New Roman" w:hAnsi="Arial" w:cs="Arial"/>
                <w:sz w:val="24"/>
                <w:szCs w:val="24"/>
              </w:rPr>
              <w:t>Insurance policy request</w:t>
            </w:r>
          </w:p>
        </w:tc>
        <w:tc>
          <w:tcPr>
            <w:tcW w:w="41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Arial" w:eastAsia="Times New Roman" w:hAnsi="Arial" w:cs="Arial"/>
                <w:sz w:val="24"/>
                <w:szCs w:val="24"/>
              </w:rPr>
              <w:t>04 working days</w:t>
            </w:r>
          </w:p>
        </w:tc>
      </w:tr>
      <w:tr w:rsidR="008D08F7" w:rsidRPr="008D08F7" w:rsidTr="008D08F7">
        <w:tc>
          <w:tcPr>
            <w:tcW w:w="8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39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Arial" w:eastAsia="Times New Roman" w:hAnsi="Arial" w:cs="Arial"/>
                <w:sz w:val="24"/>
                <w:szCs w:val="24"/>
              </w:rPr>
              <w:t>Tracker Related Service Request/Query</w:t>
            </w:r>
          </w:p>
        </w:tc>
        <w:tc>
          <w:tcPr>
            <w:tcW w:w="41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08F7" w:rsidRPr="008D08F7" w:rsidRDefault="008D08F7" w:rsidP="008D08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08F7">
              <w:rPr>
                <w:rFonts w:ascii="Arial" w:eastAsia="Times New Roman" w:hAnsi="Arial" w:cs="Arial"/>
                <w:sz w:val="24"/>
                <w:szCs w:val="24"/>
              </w:rPr>
              <w:t>06 working days </w:t>
            </w:r>
          </w:p>
        </w:tc>
      </w:tr>
    </w:tbl>
    <w:p w:rsidR="008D08F7" w:rsidRDefault="008D08F7">
      <w:pPr>
        <w:rPr>
          <w:b/>
        </w:rPr>
      </w:pPr>
    </w:p>
    <w:p w:rsidR="008D08F7" w:rsidRDefault="008D08F7">
      <w:pPr>
        <w:rPr>
          <w:b/>
        </w:rPr>
      </w:pPr>
    </w:p>
    <w:p w:rsidR="008D08F7" w:rsidRDefault="008D08F7">
      <w:pPr>
        <w:rPr>
          <w:b/>
        </w:rPr>
      </w:pPr>
      <w:r>
        <w:rPr>
          <w:b/>
        </w:rPr>
        <w:t>FAQs</w:t>
      </w:r>
    </w:p>
    <w:p w:rsidR="008D08F7" w:rsidRPr="008D08F7" w:rsidRDefault="008D08F7" w:rsidP="008D08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Can I avail the car loan facility?</w:t>
      </w:r>
      <w:r w:rsidRPr="008D08F7">
        <w:rPr>
          <w:rFonts w:ascii="Arial" w:eastAsia="Times New Roman" w:hAnsi="Arial" w:cs="Arial"/>
          <w:color w:val="6F7074"/>
          <w:sz w:val="27"/>
          <w:szCs w:val="27"/>
        </w:rPr>
        <w:br/>
      </w:r>
      <w:r w:rsidRPr="008D08F7">
        <w:rPr>
          <w:rFonts w:ascii="Tahoma" w:eastAsia="Times New Roman" w:hAnsi="Tahoma" w:cs="Tahoma"/>
          <w:color w:val="6F7074"/>
          <w:sz w:val="24"/>
          <w:szCs w:val="24"/>
        </w:rPr>
        <w:t>Yes, you can if:</w:t>
      </w:r>
    </w:p>
    <w:p w:rsidR="008D08F7" w:rsidRPr="008D08F7" w:rsidRDefault="008D08F7" w:rsidP="008D08F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color w:val="6F7074"/>
          <w:sz w:val="24"/>
          <w:szCs w:val="24"/>
        </w:rPr>
        <w:t xml:space="preserve">You are a Pakistani National residing in approved city as per </w:t>
      </w:r>
      <w:proofErr w:type="spellStart"/>
      <w:r w:rsidRPr="008D08F7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8D08F7">
        <w:rPr>
          <w:rFonts w:ascii="Tahoma" w:eastAsia="Times New Roman" w:hAnsi="Tahoma" w:cs="Tahoma"/>
          <w:color w:val="6F7074"/>
          <w:sz w:val="24"/>
          <w:szCs w:val="24"/>
        </w:rPr>
        <w:t xml:space="preserve"> Auto Loan Approved Cities List.</w:t>
      </w:r>
    </w:p>
    <w:p w:rsidR="008D08F7" w:rsidRPr="008D08F7" w:rsidRDefault="008D08F7" w:rsidP="008D08F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color w:val="6F7074"/>
          <w:sz w:val="24"/>
          <w:szCs w:val="24"/>
        </w:rPr>
        <w:t xml:space="preserve">You should be aged between 21 years of age and maximum 65 years </w:t>
      </w:r>
      <w:proofErr w:type="gramStart"/>
      <w:r w:rsidRPr="008D08F7">
        <w:rPr>
          <w:rFonts w:ascii="Tahoma" w:eastAsia="Times New Roman" w:hAnsi="Tahoma" w:cs="Tahoma"/>
          <w:color w:val="6F7074"/>
          <w:sz w:val="24"/>
          <w:szCs w:val="24"/>
        </w:rPr>
        <w:t>( in</w:t>
      </w:r>
      <w:proofErr w:type="gramEnd"/>
      <w:r w:rsidRPr="008D08F7">
        <w:rPr>
          <w:rFonts w:ascii="Tahoma" w:eastAsia="Times New Roman" w:hAnsi="Tahoma" w:cs="Tahoma"/>
          <w:color w:val="6F7074"/>
          <w:sz w:val="24"/>
          <w:szCs w:val="24"/>
        </w:rPr>
        <w:t xml:space="preserve"> case of private sector employee and maximum 60 years in case of government employee) and 70 Years (In case of Self Employed/Business) at time of maturity of Loan.</w:t>
      </w:r>
    </w:p>
    <w:p w:rsidR="008D08F7" w:rsidRPr="008D08F7" w:rsidRDefault="008D08F7" w:rsidP="008D08F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color w:val="6F7074"/>
          <w:sz w:val="24"/>
          <w:szCs w:val="24"/>
        </w:rPr>
        <w:t>You should have income from any of the following sources:</w:t>
      </w:r>
    </w:p>
    <w:p w:rsidR="008D08F7" w:rsidRPr="008D08F7" w:rsidRDefault="008D08F7" w:rsidP="008D08F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color w:val="6F7074"/>
          <w:sz w:val="24"/>
          <w:szCs w:val="24"/>
        </w:rPr>
        <w:t>Employment (Permanent/Contractual)</w:t>
      </w:r>
    </w:p>
    <w:p w:rsidR="008D08F7" w:rsidRPr="008D08F7" w:rsidRDefault="008D08F7" w:rsidP="008D08F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color w:val="6F7074"/>
          <w:sz w:val="24"/>
          <w:szCs w:val="24"/>
        </w:rPr>
        <w:t>Business (Partnership/Proprietorship/Family Concern Business)</w:t>
      </w:r>
    </w:p>
    <w:p w:rsidR="008D08F7" w:rsidRPr="008D08F7" w:rsidRDefault="008D08F7" w:rsidP="008D08F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color w:val="6F7074"/>
          <w:sz w:val="24"/>
          <w:szCs w:val="24"/>
        </w:rPr>
        <w:t>Co-Borrower’s Income (Clubbing of Income)</w:t>
      </w:r>
    </w:p>
    <w:p w:rsidR="008D08F7" w:rsidRPr="008D08F7" w:rsidRDefault="008D08F7" w:rsidP="008D08F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color w:val="6F7074"/>
          <w:sz w:val="24"/>
          <w:szCs w:val="24"/>
        </w:rPr>
        <w:t>Rental Income</w:t>
      </w:r>
    </w:p>
    <w:p w:rsidR="008D08F7" w:rsidRPr="008D08F7" w:rsidRDefault="008D08F7" w:rsidP="008D08F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color w:val="6F7074"/>
          <w:sz w:val="24"/>
          <w:szCs w:val="24"/>
        </w:rPr>
        <w:t>Agricultural Income</w:t>
      </w:r>
    </w:p>
    <w:p w:rsidR="008D08F7" w:rsidRPr="008D08F7" w:rsidRDefault="008D08F7" w:rsidP="008D08F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color w:val="6F7074"/>
          <w:sz w:val="24"/>
          <w:szCs w:val="24"/>
        </w:rPr>
        <w:t>Remittances from Abroad</w:t>
      </w:r>
    </w:p>
    <w:p w:rsidR="008D08F7" w:rsidRPr="008D08F7" w:rsidRDefault="008D08F7" w:rsidP="008D08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How much loan facility can I avail?</w:t>
      </w:r>
    </w:p>
    <w:p w:rsidR="008D08F7" w:rsidRPr="008D08F7" w:rsidRDefault="008D08F7" w:rsidP="008D08F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color w:val="6F7074"/>
          <w:sz w:val="24"/>
          <w:szCs w:val="24"/>
        </w:rPr>
        <w:t xml:space="preserve">Minimum </w:t>
      </w:r>
      <w:proofErr w:type="spellStart"/>
      <w:r w:rsidRPr="008D08F7">
        <w:rPr>
          <w:rFonts w:ascii="Tahoma" w:eastAsia="Times New Roman" w:hAnsi="Tahoma" w:cs="Tahoma"/>
          <w:color w:val="6F7074"/>
          <w:sz w:val="24"/>
          <w:szCs w:val="24"/>
        </w:rPr>
        <w:t>Rs</w:t>
      </w:r>
      <w:proofErr w:type="spellEnd"/>
      <w:r w:rsidRPr="008D08F7">
        <w:rPr>
          <w:rFonts w:ascii="Tahoma" w:eastAsia="Times New Roman" w:hAnsi="Tahoma" w:cs="Tahoma"/>
          <w:color w:val="6F7074"/>
          <w:sz w:val="24"/>
          <w:szCs w:val="24"/>
        </w:rPr>
        <w:t xml:space="preserve">. *200,000/- and maximum </w:t>
      </w:r>
      <w:proofErr w:type="spellStart"/>
      <w:r w:rsidRPr="008D08F7">
        <w:rPr>
          <w:rFonts w:ascii="Tahoma" w:eastAsia="Times New Roman" w:hAnsi="Tahoma" w:cs="Tahoma"/>
          <w:color w:val="6F7074"/>
          <w:sz w:val="24"/>
          <w:szCs w:val="24"/>
        </w:rPr>
        <w:t>Rs</w:t>
      </w:r>
      <w:proofErr w:type="spellEnd"/>
      <w:r w:rsidRPr="008D08F7">
        <w:rPr>
          <w:rFonts w:ascii="Tahoma" w:eastAsia="Times New Roman" w:hAnsi="Tahoma" w:cs="Tahoma"/>
          <w:color w:val="6F7074"/>
          <w:sz w:val="24"/>
          <w:szCs w:val="24"/>
        </w:rPr>
        <w:t>. 3,000,000/-</w:t>
      </w:r>
    </w:p>
    <w:p w:rsidR="008D08F7" w:rsidRPr="008D08F7" w:rsidRDefault="008D08F7" w:rsidP="008D08F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color w:val="6F7074"/>
          <w:sz w:val="24"/>
          <w:szCs w:val="24"/>
        </w:rPr>
        <w:t xml:space="preserve">Financing of </w:t>
      </w:r>
      <w:proofErr w:type="spellStart"/>
      <w:r w:rsidRPr="008D08F7">
        <w:rPr>
          <w:rFonts w:ascii="Tahoma" w:eastAsia="Times New Roman" w:hAnsi="Tahoma" w:cs="Tahoma"/>
          <w:color w:val="6F7074"/>
          <w:sz w:val="24"/>
          <w:szCs w:val="24"/>
        </w:rPr>
        <w:t>Rs</w:t>
      </w:r>
      <w:proofErr w:type="spellEnd"/>
      <w:r w:rsidRPr="008D08F7">
        <w:rPr>
          <w:rFonts w:ascii="Tahoma" w:eastAsia="Times New Roman" w:hAnsi="Tahoma" w:cs="Tahoma"/>
          <w:color w:val="6F7074"/>
          <w:sz w:val="24"/>
          <w:szCs w:val="24"/>
        </w:rPr>
        <w:t xml:space="preserve"> 0.300 million and less </w:t>
      </w:r>
      <w:proofErr w:type="gramStart"/>
      <w:r w:rsidRPr="008D08F7">
        <w:rPr>
          <w:rFonts w:ascii="Tahoma" w:eastAsia="Times New Roman" w:hAnsi="Tahoma" w:cs="Tahoma"/>
          <w:color w:val="6F7074"/>
          <w:sz w:val="24"/>
          <w:szCs w:val="24"/>
        </w:rPr>
        <w:t>will not be allowed</w:t>
      </w:r>
      <w:proofErr w:type="gramEnd"/>
      <w:r w:rsidRPr="008D08F7">
        <w:rPr>
          <w:rFonts w:ascii="Tahoma" w:eastAsia="Times New Roman" w:hAnsi="Tahoma" w:cs="Tahoma"/>
          <w:color w:val="6F7074"/>
          <w:sz w:val="24"/>
          <w:szCs w:val="24"/>
        </w:rPr>
        <w:t xml:space="preserve"> for less than 36 months tenor.</w:t>
      </w:r>
    </w:p>
    <w:p w:rsidR="008D08F7" w:rsidRPr="008D08F7" w:rsidRDefault="008D08F7" w:rsidP="008D08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What is the period of the loan?</w:t>
      </w:r>
    </w:p>
    <w:p w:rsidR="008D08F7" w:rsidRPr="008D08F7" w:rsidRDefault="008D08F7" w:rsidP="008D08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color w:val="6F7074"/>
          <w:sz w:val="24"/>
          <w:szCs w:val="24"/>
        </w:rPr>
        <w:lastRenderedPageBreak/>
        <w:t>-    2-5 years (Vehicles up to 1000 CC)</w:t>
      </w:r>
    </w:p>
    <w:p w:rsidR="008D08F7" w:rsidRPr="008D08F7" w:rsidRDefault="008D08F7" w:rsidP="008D08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color w:val="6F7074"/>
          <w:sz w:val="24"/>
          <w:szCs w:val="24"/>
        </w:rPr>
        <w:t>-    2-3 Years (Vehicles above 1000 CC)</w:t>
      </w:r>
    </w:p>
    <w:p w:rsidR="008D08F7" w:rsidRPr="008D08F7" w:rsidRDefault="008D08F7" w:rsidP="008D08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color w:val="6F7074"/>
          <w:sz w:val="24"/>
          <w:szCs w:val="24"/>
        </w:rPr>
        <w:t xml:space="preserve">-              2-7 Years (Roshan </w:t>
      </w:r>
      <w:proofErr w:type="spellStart"/>
      <w:r w:rsidRPr="008D08F7">
        <w:rPr>
          <w:rFonts w:ascii="Tahoma" w:eastAsia="Times New Roman" w:hAnsi="Tahoma" w:cs="Tahoma"/>
          <w:color w:val="6F7074"/>
          <w:sz w:val="24"/>
          <w:szCs w:val="24"/>
        </w:rPr>
        <w:t>Apni</w:t>
      </w:r>
      <w:proofErr w:type="spellEnd"/>
      <w:r w:rsidRPr="008D08F7">
        <w:rPr>
          <w:rFonts w:ascii="Tahoma" w:eastAsia="Times New Roman" w:hAnsi="Tahoma" w:cs="Tahoma"/>
          <w:color w:val="6F7074"/>
          <w:sz w:val="24"/>
          <w:szCs w:val="24"/>
        </w:rPr>
        <w:t xml:space="preserve"> Car for Roshan Digital Account Holder Non Resident Pakistanis</w:t>
      </w:r>
      <w:proofErr w:type="gramStart"/>
      <w:r w:rsidRPr="008D08F7">
        <w:rPr>
          <w:rFonts w:ascii="Tahoma" w:eastAsia="Times New Roman" w:hAnsi="Tahoma" w:cs="Tahoma"/>
          <w:color w:val="6F7074"/>
          <w:sz w:val="24"/>
          <w:szCs w:val="24"/>
        </w:rPr>
        <w:t>)</w:t>
      </w:r>
      <w:proofErr w:type="gramEnd"/>
      <w:r w:rsidRPr="008D08F7">
        <w:rPr>
          <w:rFonts w:ascii="Arial" w:eastAsia="Times New Roman" w:hAnsi="Arial" w:cs="Arial"/>
          <w:color w:val="6F7074"/>
          <w:sz w:val="27"/>
          <w:szCs w:val="27"/>
        </w:rPr>
        <w:br/>
      </w:r>
      <w:r w:rsidRPr="008D08F7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  <w:t>What other charges do I have to pay?</w:t>
      </w:r>
    </w:p>
    <w:p w:rsidR="008D08F7" w:rsidRPr="008D08F7" w:rsidRDefault="008D08F7" w:rsidP="008D08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color w:val="6F7074"/>
          <w:sz w:val="24"/>
          <w:szCs w:val="24"/>
        </w:rPr>
        <w:t xml:space="preserve">You have to pay a processing fee of </w:t>
      </w:r>
      <w:proofErr w:type="spellStart"/>
      <w:r w:rsidRPr="008D08F7">
        <w:rPr>
          <w:rFonts w:ascii="Tahoma" w:eastAsia="Times New Roman" w:hAnsi="Tahoma" w:cs="Tahoma"/>
          <w:color w:val="6F7074"/>
          <w:sz w:val="24"/>
          <w:szCs w:val="24"/>
        </w:rPr>
        <w:t>Rs</w:t>
      </w:r>
      <w:proofErr w:type="spellEnd"/>
      <w:r w:rsidRPr="008D08F7">
        <w:rPr>
          <w:rFonts w:ascii="Tahoma" w:eastAsia="Times New Roman" w:hAnsi="Tahoma" w:cs="Tahoma"/>
          <w:color w:val="6F7074"/>
          <w:sz w:val="24"/>
          <w:szCs w:val="24"/>
        </w:rPr>
        <w:t>. 13,500/-</w:t>
      </w:r>
      <w:proofErr w:type="gramStart"/>
      <w:r w:rsidRPr="008D08F7">
        <w:rPr>
          <w:rFonts w:ascii="Tahoma" w:eastAsia="Times New Roman" w:hAnsi="Tahoma" w:cs="Tahoma"/>
          <w:color w:val="6F7074"/>
          <w:sz w:val="24"/>
          <w:szCs w:val="24"/>
        </w:rPr>
        <w:t>  plus</w:t>
      </w:r>
      <w:proofErr w:type="gramEnd"/>
      <w:r w:rsidRPr="008D08F7">
        <w:rPr>
          <w:rFonts w:ascii="Tahoma" w:eastAsia="Times New Roman" w:hAnsi="Tahoma" w:cs="Tahoma"/>
          <w:color w:val="6F7074"/>
          <w:sz w:val="24"/>
          <w:szCs w:val="24"/>
        </w:rPr>
        <w:t xml:space="preserve"> FED, registration charges and first year’s insurance premium. For Co-borrower case Processing Charges will be </w:t>
      </w:r>
      <w:proofErr w:type="spellStart"/>
      <w:r w:rsidRPr="008D08F7">
        <w:rPr>
          <w:rFonts w:ascii="Tahoma" w:eastAsia="Times New Roman" w:hAnsi="Tahoma" w:cs="Tahoma"/>
          <w:color w:val="6F7074"/>
          <w:sz w:val="24"/>
          <w:szCs w:val="24"/>
        </w:rPr>
        <w:t>Rs</w:t>
      </w:r>
      <w:proofErr w:type="spellEnd"/>
      <w:r w:rsidRPr="008D08F7">
        <w:rPr>
          <w:rFonts w:ascii="Tahoma" w:eastAsia="Times New Roman" w:hAnsi="Tahoma" w:cs="Tahoma"/>
          <w:color w:val="6F7074"/>
          <w:sz w:val="24"/>
          <w:szCs w:val="24"/>
        </w:rPr>
        <w:t>. 16,500/- with FED</w:t>
      </w:r>
    </w:p>
    <w:p w:rsidR="008D08F7" w:rsidRPr="008D08F7" w:rsidRDefault="008D08F7" w:rsidP="008D08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7"/>
          <w:szCs w:val="27"/>
        </w:rPr>
      </w:pPr>
      <w:proofErr w:type="gramStart"/>
      <w:r w:rsidRPr="008D08F7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What if I want the car in the name of my family members?</w:t>
      </w:r>
      <w:proofErr w:type="gramEnd"/>
      <w:r w:rsidRPr="008D08F7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8D08F7">
        <w:rPr>
          <w:rFonts w:ascii="Tahoma" w:eastAsia="Times New Roman" w:hAnsi="Tahoma" w:cs="Tahoma"/>
          <w:color w:val="6F7074"/>
          <w:sz w:val="24"/>
          <w:szCs w:val="24"/>
        </w:rPr>
        <w:t xml:space="preserve">Spouse, Parents, Siblings (Real Brother and Sister), and Children allowed as co-borrower. Vehicle </w:t>
      </w:r>
      <w:proofErr w:type="gramStart"/>
      <w:r w:rsidRPr="008D08F7">
        <w:rPr>
          <w:rFonts w:ascii="Tahoma" w:eastAsia="Times New Roman" w:hAnsi="Tahoma" w:cs="Tahoma"/>
          <w:color w:val="6F7074"/>
          <w:sz w:val="24"/>
          <w:szCs w:val="24"/>
        </w:rPr>
        <w:t>can be registered</w:t>
      </w:r>
      <w:proofErr w:type="gramEnd"/>
      <w:r w:rsidRPr="008D08F7">
        <w:rPr>
          <w:rFonts w:ascii="Tahoma" w:eastAsia="Times New Roman" w:hAnsi="Tahoma" w:cs="Tahoma"/>
          <w:color w:val="6F7074"/>
          <w:sz w:val="24"/>
          <w:szCs w:val="24"/>
        </w:rPr>
        <w:t xml:space="preserve"> in either of the borrower or as the case may be.</w:t>
      </w:r>
    </w:p>
    <w:p w:rsidR="008D08F7" w:rsidRPr="008D08F7" w:rsidRDefault="008D08F7" w:rsidP="008D08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Can I repay the loan before the maturity?</w:t>
      </w:r>
      <w:r w:rsidRPr="008D08F7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8D08F7">
        <w:rPr>
          <w:rFonts w:ascii="Tahoma" w:eastAsia="Times New Roman" w:hAnsi="Tahoma" w:cs="Tahoma"/>
          <w:color w:val="6F7074"/>
          <w:sz w:val="24"/>
          <w:szCs w:val="24"/>
        </w:rPr>
        <w:t>Yes, you have the option to repay the loan as per the prevailing SOC’s after six months of availing the finance facility</w:t>
      </w:r>
    </w:p>
    <w:p w:rsidR="008D08F7" w:rsidRPr="008D08F7" w:rsidRDefault="008D08F7" w:rsidP="008D08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How is it different from other financing schemes available in Pakistan?</w:t>
      </w:r>
    </w:p>
    <w:p w:rsidR="008D08F7" w:rsidRPr="008D08F7" w:rsidRDefault="008D08F7" w:rsidP="008D08F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color w:val="6F7074"/>
          <w:sz w:val="24"/>
          <w:szCs w:val="24"/>
        </w:rPr>
        <w:t>Quickest processing &amp; turnaround time in the market</w:t>
      </w:r>
    </w:p>
    <w:p w:rsidR="008D08F7" w:rsidRPr="008D08F7" w:rsidRDefault="008D08F7" w:rsidP="008D08F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color w:val="6F7074"/>
          <w:sz w:val="24"/>
          <w:szCs w:val="24"/>
        </w:rPr>
        <w:t>Minimum documentation required</w:t>
      </w:r>
    </w:p>
    <w:p w:rsidR="008D08F7" w:rsidRPr="008D08F7" w:rsidRDefault="008D08F7" w:rsidP="008D08F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color w:val="6F7074"/>
          <w:sz w:val="24"/>
          <w:szCs w:val="24"/>
        </w:rPr>
        <w:t>Variable &amp; fixed rates to cater differed budgets</w:t>
      </w:r>
    </w:p>
    <w:p w:rsidR="008D08F7" w:rsidRPr="008D08F7" w:rsidRDefault="008D08F7" w:rsidP="008D08F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color w:val="6F7074"/>
          <w:sz w:val="24"/>
          <w:szCs w:val="24"/>
        </w:rPr>
        <w:t>No termination charges on car replacement</w:t>
      </w:r>
    </w:p>
    <w:p w:rsidR="008D08F7" w:rsidRPr="008D08F7" w:rsidRDefault="008D08F7" w:rsidP="008D08F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7"/>
          <w:szCs w:val="27"/>
        </w:rPr>
      </w:pPr>
      <w:r w:rsidRPr="008D08F7">
        <w:rPr>
          <w:rFonts w:ascii="Tahoma" w:eastAsia="Times New Roman" w:hAnsi="Tahoma" w:cs="Tahoma"/>
          <w:color w:val="6F7074"/>
          <w:sz w:val="24"/>
          <w:szCs w:val="24"/>
        </w:rPr>
        <w:t>Discounted Insurance rate</w:t>
      </w:r>
    </w:p>
    <w:p w:rsidR="008D08F7" w:rsidRPr="008D08F7" w:rsidRDefault="008D08F7">
      <w:pPr>
        <w:rPr>
          <w:b/>
        </w:rPr>
      </w:pPr>
      <w:bookmarkStart w:id="0" w:name="_GoBack"/>
      <w:bookmarkEnd w:id="0"/>
    </w:p>
    <w:sectPr w:rsidR="008D08F7" w:rsidRPr="008D08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8F7" w:rsidRDefault="008D08F7" w:rsidP="008D08F7">
      <w:pPr>
        <w:spacing w:after="0" w:line="240" w:lineRule="auto"/>
      </w:pPr>
      <w:r>
        <w:separator/>
      </w:r>
    </w:p>
  </w:endnote>
  <w:endnote w:type="continuationSeparator" w:id="0">
    <w:p w:rsidR="008D08F7" w:rsidRDefault="008D08F7" w:rsidP="008D0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8F7" w:rsidRDefault="008D08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8F7" w:rsidRDefault="008D08F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83044cc39b7b11a1485e2e9f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D08F7" w:rsidRPr="008D08F7" w:rsidRDefault="008D08F7" w:rsidP="008D08F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8D08F7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3044cc39b7b11a1485e2e9f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AGR/tFHgMAADcGAAAOAAAAAAAA&#10;AAAAAAAAAC4CAABkcnMvZTJvRG9jLnhtbFBLAQItABQABgAIAAAAIQAYBUDc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8D08F7" w:rsidRPr="008D08F7" w:rsidRDefault="008D08F7" w:rsidP="008D08F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8D08F7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8F7" w:rsidRDefault="008D0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8F7" w:rsidRDefault="008D08F7" w:rsidP="008D08F7">
      <w:pPr>
        <w:spacing w:after="0" w:line="240" w:lineRule="auto"/>
      </w:pPr>
      <w:r>
        <w:separator/>
      </w:r>
    </w:p>
  </w:footnote>
  <w:footnote w:type="continuationSeparator" w:id="0">
    <w:p w:rsidR="008D08F7" w:rsidRDefault="008D08F7" w:rsidP="008D0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8F7" w:rsidRDefault="008D08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8F7" w:rsidRDefault="008D08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8F7" w:rsidRDefault="008D08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F2A8C"/>
    <w:multiLevelType w:val="multilevel"/>
    <w:tmpl w:val="D38E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F278DB"/>
    <w:multiLevelType w:val="multilevel"/>
    <w:tmpl w:val="5FDC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2E5E1F"/>
    <w:multiLevelType w:val="multilevel"/>
    <w:tmpl w:val="1BC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F0AA1"/>
    <w:multiLevelType w:val="multilevel"/>
    <w:tmpl w:val="C63E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E1101"/>
    <w:multiLevelType w:val="multilevel"/>
    <w:tmpl w:val="14D6C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435089"/>
    <w:multiLevelType w:val="multilevel"/>
    <w:tmpl w:val="DA30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0D7C84"/>
    <w:multiLevelType w:val="multilevel"/>
    <w:tmpl w:val="2C7E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35976"/>
    <w:multiLevelType w:val="multilevel"/>
    <w:tmpl w:val="91BA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8D37EC"/>
    <w:multiLevelType w:val="multilevel"/>
    <w:tmpl w:val="40B4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933A8"/>
    <w:multiLevelType w:val="multilevel"/>
    <w:tmpl w:val="D30C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6570AB"/>
    <w:multiLevelType w:val="multilevel"/>
    <w:tmpl w:val="6000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5F5F01"/>
    <w:multiLevelType w:val="multilevel"/>
    <w:tmpl w:val="E408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2D2749"/>
    <w:multiLevelType w:val="multilevel"/>
    <w:tmpl w:val="850C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BF13BA"/>
    <w:multiLevelType w:val="multilevel"/>
    <w:tmpl w:val="F36AC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DC300A"/>
    <w:multiLevelType w:val="multilevel"/>
    <w:tmpl w:val="3568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E16C6"/>
    <w:multiLevelType w:val="multilevel"/>
    <w:tmpl w:val="A872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3600E8"/>
    <w:multiLevelType w:val="multilevel"/>
    <w:tmpl w:val="D92C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B85BB6"/>
    <w:multiLevelType w:val="multilevel"/>
    <w:tmpl w:val="42C0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755942"/>
    <w:multiLevelType w:val="multilevel"/>
    <w:tmpl w:val="EE06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DE5D29"/>
    <w:multiLevelType w:val="multilevel"/>
    <w:tmpl w:val="643A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8"/>
  </w:num>
  <w:num w:numId="5">
    <w:abstractNumId w:val="1"/>
  </w:num>
  <w:num w:numId="6">
    <w:abstractNumId w:val="10"/>
  </w:num>
  <w:num w:numId="7">
    <w:abstractNumId w:val="7"/>
  </w:num>
  <w:num w:numId="8">
    <w:abstractNumId w:val="2"/>
  </w:num>
  <w:num w:numId="9">
    <w:abstractNumId w:val="4"/>
  </w:num>
  <w:num w:numId="10">
    <w:abstractNumId w:val="6"/>
  </w:num>
  <w:num w:numId="11">
    <w:abstractNumId w:val="19"/>
  </w:num>
  <w:num w:numId="12">
    <w:abstractNumId w:val="14"/>
  </w:num>
  <w:num w:numId="13">
    <w:abstractNumId w:val="15"/>
  </w:num>
  <w:num w:numId="14">
    <w:abstractNumId w:val="17"/>
  </w:num>
  <w:num w:numId="15">
    <w:abstractNumId w:val="3"/>
  </w:num>
  <w:num w:numId="16">
    <w:abstractNumId w:val="18"/>
  </w:num>
  <w:num w:numId="17">
    <w:abstractNumId w:val="0"/>
  </w:num>
  <w:num w:numId="18">
    <w:abstractNumId w:val="13"/>
  </w:num>
  <w:num w:numId="19">
    <w:abstractNumId w:val="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8F7"/>
    <w:rsid w:val="000C7BC2"/>
    <w:rsid w:val="008D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E5974"/>
  <w15:chartTrackingRefBased/>
  <w15:docId w15:val="{33AC231A-E73D-4B97-89C1-A46522AE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08F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D0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8F7"/>
  </w:style>
  <w:style w:type="paragraph" w:styleId="Footer">
    <w:name w:val="footer"/>
    <w:basedOn w:val="Normal"/>
    <w:link w:val="FooterChar"/>
    <w:uiPriority w:val="99"/>
    <w:unhideWhenUsed/>
    <w:rsid w:val="008D0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1614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2024-09-26T11:20:00Z</dcterms:created>
  <dcterms:modified xsi:type="dcterms:W3CDTF">2024-09-26T11:22:00Z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2024-09-26T11:22:49Z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1dc52871-7f58-4b55-80ef-f972ee888db1</vt:lpwstr>
  </property>
  <property fmtid="{D5CDD505-2E9C-101B-9397-08002B2CF9AE}" pid="8" name="MSIP_Label_4f2c76d5-45ba-4a63-8701-27a8aa3796e4_ContentBits">
    <vt:lpwstr>2</vt:lpwstr>
  </property>
</Properties>
</file>