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000000"/>
          <w:sz w:val="24"/>
          <w:szCs w:val="24"/>
        </w:rPr>
        <w:t>Proposition presents </w:t>
      </w:r>
      <w:r w:rsidRPr="00FC17BE">
        <w:rPr>
          <w:rFonts w:ascii="Tahoma" w:eastAsia="Times New Roman" w:hAnsi="Tahoma" w:cs="Tahoma"/>
          <w:b/>
          <w:bCs/>
          <w:color w:val="003366"/>
          <w:sz w:val="24"/>
          <w:szCs w:val="24"/>
        </w:rPr>
        <w:t>Free Locker Facility</w:t>
      </w:r>
      <w:r w:rsidRPr="00FC17BE">
        <w:rPr>
          <w:rFonts w:ascii="Tahoma" w:eastAsia="Times New Roman" w:hAnsi="Tahoma" w:cs="Tahoma"/>
          <w:color w:val="000000"/>
          <w:sz w:val="24"/>
          <w:szCs w:val="24"/>
        </w:rPr>
        <w:t> for its Islamic Premier customers!</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000000"/>
          <w:sz w:val="24"/>
          <w:szCs w:val="24"/>
        </w:rPr>
        <w:t>We know that as valuable our Islamic Premier customers are to us, similarly, as valuable are their assets to them. Therefore, Bank Alfalah Islamic Premier Proposition offers security to customer’s valuable assets for free!</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b/>
          <w:bCs/>
          <w:color w:val="003366"/>
          <w:sz w:val="24"/>
          <w:szCs w:val="24"/>
          <w:u w:val="single"/>
        </w:rPr>
        <w:t>Disclaimer:</w:t>
      </w:r>
    </w:p>
    <w:p w:rsidR="00FC17BE" w:rsidRPr="00FC17BE" w:rsidRDefault="00FC17BE" w:rsidP="00FC17B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C17BE">
        <w:rPr>
          <w:rFonts w:ascii="Tahoma" w:eastAsia="Times New Roman" w:hAnsi="Tahoma" w:cs="Tahoma"/>
          <w:color w:val="000000"/>
          <w:sz w:val="24"/>
          <w:szCs w:val="24"/>
        </w:rPr>
        <w:t>All above mentioned customers must be tagged Islamic Premier at CIF level in the system.</w:t>
      </w:r>
    </w:p>
    <w:p w:rsidR="00FC17BE" w:rsidRPr="00FC17BE" w:rsidRDefault="00FC17BE" w:rsidP="00FC17BE">
      <w:pPr>
        <w:numPr>
          <w:ilvl w:val="0"/>
          <w:numId w:val="1"/>
        </w:numPr>
        <w:shd w:val="clear" w:color="auto" w:fill="FFFFFF"/>
        <w:spacing w:before="100" w:beforeAutospacing="1" w:after="100" w:afterAutospacing="1" w:line="240" w:lineRule="auto"/>
        <w:ind w:left="0"/>
        <w:rPr>
          <w:rFonts w:ascii="Arial" w:eastAsia="Times New Roman" w:hAnsi="Arial" w:cs="Arial"/>
          <w:color w:val="6F7074"/>
          <w:sz w:val="23"/>
          <w:szCs w:val="23"/>
        </w:rPr>
      </w:pPr>
      <w:r w:rsidRPr="00FC17BE">
        <w:rPr>
          <w:rFonts w:ascii="Tahoma" w:eastAsia="Times New Roman" w:hAnsi="Tahoma" w:cs="Tahoma"/>
          <w:color w:val="000000"/>
          <w:sz w:val="24"/>
          <w:szCs w:val="24"/>
        </w:rPr>
        <w:t>The above waivers are provided based upon availability of locker</w:t>
      </w:r>
    </w:p>
    <w:p w:rsidR="00FD6E8C" w:rsidRDefault="00FD6E8C"/>
    <w:p w:rsidR="00FC17BE" w:rsidRDefault="00FC17BE"/>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Pr>
          <w:rFonts w:ascii="Tahoma" w:eastAsia="Times New Roman" w:hAnsi="Tahoma" w:cs="Tahoma"/>
          <w:color w:val="6F7074"/>
          <w:sz w:val="24"/>
          <w:szCs w:val="24"/>
        </w:rPr>
        <w:t>B</w:t>
      </w:r>
      <w:bookmarkStart w:id="0" w:name="_GoBack"/>
      <w:bookmarkEnd w:id="0"/>
      <w:r w:rsidRPr="00FC17BE">
        <w:rPr>
          <w:rFonts w:ascii="Tahoma" w:eastAsia="Times New Roman" w:hAnsi="Tahoma" w:cs="Tahoma"/>
          <w:color w:val="6F7074"/>
          <w:sz w:val="24"/>
          <w:szCs w:val="24"/>
        </w:rPr>
        <w:t>ank Alfalah Islamic Premier Proposition presents Zindagi Premier Takaful Savings (Vitality) Plan for its worthy Islamic Premier customers.</w:t>
      </w:r>
      <w:r w:rsidRPr="00FC17BE">
        <w:rPr>
          <w:rFonts w:ascii="Arial" w:eastAsia="Times New Roman" w:hAnsi="Arial" w:cs="Arial"/>
          <w:color w:val="6F7074"/>
          <w:sz w:val="24"/>
          <w:szCs w:val="24"/>
        </w:rPr>
        <w:br/>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This Shari’ah compliant savings and protection plan is exclusively designed with vitality benefits for our priority customers that motivates them to live a happy and healthy life along with a complete life takaful coverage. What would be even better when subscription of the plan comes with a free smart watch!</w:t>
      </w:r>
      <w:r w:rsidRPr="00FC17BE">
        <w:rPr>
          <w:rFonts w:ascii="Arial" w:eastAsia="Times New Roman" w:hAnsi="Arial" w:cs="Arial"/>
          <w:color w:val="6F7074"/>
          <w:sz w:val="24"/>
          <w:szCs w:val="24"/>
        </w:rPr>
        <w:br/>
      </w:r>
      <w:r w:rsidRPr="00FC17BE">
        <w:rPr>
          <w:rFonts w:ascii="Arial" w:eastAsia="Times New Roman" w:hAnsi="Arial" w:cs="Arial"/>
          <w:color w:val="6F7074"/>
          <w:sz w:val="24"/>
          <w:szCs w:val="24"/>
        </w:rPr>
        <w:br/>
      </w:r>
      <w:r w:rsidRPr="00FC17BE">
        <w:rPr>
          <w:rFonts w:ascii="Tahoma" w:eastAsia="Times New Roman" w:hAnsi="Tahoma" w:cs="Tahoma"/>
          <w:b/>
          <w:bCs/>
          <w:color w:val="003366"/>
          <w:sz w:val="24"/>
          <w:szCs w:val="24"/>
          <w:u w:val="single"/>
        </w:rPr>
        <w:t>Features and Benefits</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6F7074"/>
          <w:sz w:val="24"/>
          <w:szCs w:val="24"/>
        </w:rPr>
        <w:t>• Built in Hospitalization</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Vitality Benefits and Free Smart Watch</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Choice of Contribution</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Unit linked contribution with a choice of investment funds</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Maturity Benefit in addition to Takaful Coverage</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Free Look Period to review the terms and conditions of the membership</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 Direct deduction of contribution</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b/>
          <w:bCs/>
          <w:color w:val="003366"/>
          <w:sz w:val="24"/>
          <w:szCs w:val="24"/>
          <w:u w:val="single"/>
        </w:rPr>
        <w:t>Payment Frequenc</w:t>
      </w:r>
      <w:r w:rsidRPr="00FC17BE">
        <w:rPr>
          <w:rFonts w:ascii="Tahoma" w:eastAsia="Times New Roman" w:hAnsi="Tahoma" w:cs="Tahoma"/>
          <w:b/>
          <w:bCs/>
          <w:color w:val="003366"/>
          <w:sz w:val="24"/>
          <w:szCs w:val="24"/>
        </w:rPr>
        <w:t>y</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6F7074"/>
          <w:sz w:val="24"/>
          <w:szCs w:val="24"/>
        </w:rPr>
        <w:t>Minimum basic contribution of PKR 250,000 (Annual, Semiannual, quarterly and monthly)</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b/>
          <w:bCs/>
          <w:color w:val="003366"/>
          <w:sz w:val="24"/>
          <w:szCs w:val="24"/>
          <w:u w:val="single"/>
        </w:rPr>
        <w:t>Eligibility Criteria</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6F7074"/>
          <w:sz w:val="24"/>
          <w:szCs w:val="24"/>
        </w:rPr>
        <w:t>Bank Alfalah Islamic customers between 18 to 65 years of age</w:t>
      </w:r>
      <w:r w:rsidRPr="00FC17BE">
        <w:rPr>
          <w:rFonts w:ascii="Arial" w:eastAsia="Times New Roman" w:hAnsi="Arial" w:cs="Arial"/>
          <w:color w:val="6F7074"/>
          <w:sz w:val="24"/>
          <w:szCs w:val="24"/>
        </w:rPr>
        <w:br/>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b/>
          <w:bCs/>
          <w:color w:val="003366"/>
          <w:sz w:val="24"/>
          <w:szCs w:val="24"/>
          <w:u w:val="single"/>
        </w:rPr>
        <w:t>Term of Plan</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6F7074"/>
          <w:sz w:val="24"/>
          <w:szCs w:val="24"/>
        </w:rPr>
        <w:lastRenderedPageBreak/>
        <w:t>Minimum Term – 10 years</w:t>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Maximum Term – 25 years (up to the age of 85 years)</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b/>
          <w:bCs/>
          <w:color w:val="003366"/>
          <w:sz w:val="24"/>
          <w:szCs w:val="24"/>
          <w:u w:val="single"/>
        </w:rPr>
        <w:t>Claim Processing</w:t>
      </w:r>
    </w:p>
    <w:p w:rsidR="00FC17BE" w:rsidRPr="00FC17BE" w:rsidRDefault="00FC17BE" w:rsidP="00FC17BE">
      <w:pPr>
        <w:shd w:val="clear" w:color="auto" w:fill="FFFFFF"/>
        <w:spacing w:before="100" w:beforeAutospacing="1" w:after="100" w:afterAutospacing="1" w:line="240" w:lineRule="auto"/>
        <w:rPr>
          <w:rFonts w:ascii="Arial" w:eastAsia="Times New Roman" w:hAnsi="Arial" w:cs="Arial"/>
          <w:color w:val="6F7074"/>
          <w:sz w:val="24"/>
          <w:szCs w:val="24"/>
        </w:rPr>
      </w:pPr>
      <w:r w:rsidRPr="00FC17BE">
        <w:rPr>
          <w:rFonts w:ascii="Tahoma" w:eastAsia="Times New Roman" w:hAnsi="Tahoma" w:cs="Tahoma"/>
          <w:color w:val="6F7074"/>
          <w:sz w:val="24"/>
          <w:szCs w:val="24"/>
        </w:rPr>
        <w:t>Contact IGI Life Insurance Limited – Window Takaful Operations or your branch for guidance</w:t>
      </w:r>
      <w:r w:rsidRPr="00FC17BE">
        <w:rPr>
          <w:rFonts w:ascii="Arial" w:eastAsia="Times New Roman" w:hAnsi="Arial" w:cs="Arial"/>
          <w:color w:val="6F7074"/>
          <w:sz w:val="24"/>
          <w:szCs w:val="24"/>
        </w:rPr>
        <w:br/>
      </w:r>
      <w:r w:rsidRPr="00FC17BE">
        <w:rPr>
          <w:rFonts w:ascii="Arial" w:eastAsia="Times New Roman" w:hAnsi="Arial" w:cs="Arial"/>
          <w:color w:val="6F7074"/>
          <w:sz w:val="24"/>
          <w:szCs w:val="24"/>
        </w:rPr>
        <w:br/>
      </w:r>
      <w:r w:rsidRPr="00FC17BE">
        <w:rPr>
          <w:rFonts w:ascii="Tahoma" w:eastAsia="Times New Roman" w:hAnsi="Tahoma" w:cs="Tahoma"/>
          <w:color w:val="6F7074"/>
          <w:sz w:val="24"/>
          <w:szCs w:val="24"/>
        </w:rPr>
        <w:t>Disclaimer: Zindagi Premier Takaful Savings (Vitality) Plan is underwritten by IGI Life Insurance Limited – Window Takaful Operations. It is not guaranteed or insured by Bank Alfalah Limited or its affiliates. Terms and Conditions apply.</w:t>
      </w:r>
    </w:p>
    <w:p w:rsidR="00FC17BE" w:rsidRDefault="00FC17BE"/>
    <w:sectPr w:rsidR="00FC17B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7BE" w:rsidRDefault="00FC17BE" w:rsidP="00FC17BE">
      <w:pPr>
        <w:spacing w:after="0" w:line="240" w:lineRule="auto"/>
      </w:pPr>
      <w:r>
        <w:separator/>
      </w:r>
    </w:p>
  </w:endnote>
  <w:endnote w:type="continuationSeparator" w:id="0">
    <w:p w:rsidR="00FC17BE" w:rsidRDefault="00FC17BE" w:rsidP="00FC1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08204fb2908c11a47b141650"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FC17BE" w:rsidRPr="00FC17BE" w:rsidRDefault="00FC17BE" w:rsidP="00FC17BE">
                          <w:pPr>
                            <w:spacing w:after="0"/>
                            <w:rPr>
                              <w:rFonts w:ascii="Calibri" w:hAnsi="Calibri" w:cs="Calibri"/>
                              <w:color w:val="000000"/>
                              <w:sz w:val="14"/>
                            </w:rPr>
                          </w:pPr>
                          <w:r w:rsidRPr="00FC17BE">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08204fb2908c11a47b141650"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F2uCZRkDAAA3BgAADgAAAAAAAAAAAAAA&#10;AAAuAgAAZHJzL2Uyb0RvYy54bWxQSwECLQAUAAYACAAAACEAGAVA3N4AAAALAQAADwAAAAAAAAAA&#10;AAAAAABzBQAAZHJzL2Rvd25yZXYueG1sUEsFBgAAAAAEAAQA8wAAAH4GAAAAAA==&#10;" o:allowincell="f" filled="f" stroked="f" strokeweight=".5pt">
              <v:fill o:detectmouseclick="t"/>
              <v:textbox inset="20pt,0,,0">
                <w:txbxContent>
                  <w:p w:rsidR="00FC17BE" w:rsidRPr="00FC17BE" w:rsidRDefault="00FC17BE" w:rsidP="00FC17BE">
                    <w:pPr>
                      <w:spacing w:after="0"/>
                      <w:rPr>
                        <w:rFonts w:ascii="Calibri" w:hAnsi="Calibri" w:cs="Calibri"/>
                        <w:color w:val="000000"/>
                        <w:sz w:val="14"/>
                      </w:rPr>
                    </w:pPr>
                    <w:r w:rsidRPr="00FC17BE">
                      <w:rPr>
                        <w:rFonts w:ascii="Calibri" w:hAnsi="Calibri" w:cs="Calibri"/>
                        <w:color w:val="000000"/>
                        <w:sz w:val="14"/>
                      </w:rPr>
                      <w:t>[BAFL Document]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7BE" w:rsidRDefault="00FC17BE" w:rsidP="00FC17BE">
      <w:pPr>
        <w:spacing w:after="0" w:line="240" w:lineRule="auto"/>
      </w:pPr>
      <w:r>
        <w:separator/>
      </w:r>
    </w:p>
  </w:footnote>
  <w:footnote w:type="continuationSeparator" w:id="0">
    <w:p w:rsidR="00FC17BE" w:rsidRDefault="00FC17BE" w:rsidP="00FC1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17BE" w:rsidRDefault="00FC1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57180"/>
    <w:multiLevelType w:val="multilevel"/>
    <w:tmpl w:val="260AA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7BE"/>
    <w:rsid w:val="00FC17BE"/>
    <w:rsid w:val="00FD6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C59D7"/>
  <w15:chartTrackingRefBased/>
  <w15:docId w15:val="{9C4419A6-96F1-48A3-96A6-D3467C7D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17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C17BE"/>
    <w:rPr>
      <w:b/>
      <w:bCs/>
    </w:rPr>
  </w:style>
  <w:style w:type="paragraph" w:styleId="Header">
    <w:name w:val="header"/>
    <w:basedOn w:val="Normal"/>
    <w:link w:val="HeaderChar"/>
    <w:uiPriority w:val="99"/>
    <w:unhideWhenUsed/>
    <w:rsid w:val="00FC1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7BE"/>
  </w:style>
  <w:style w:type="paragraph" w:styleId="Footer">
    <w:name w:val="footer"/>
    <w:basedOn w:val="Normal"/>
    <w:link w:val="FooterChar"/>
    <w:uiPriority w:val="99"/>
    <w:unhideWhenUsed/>
    <w:rsid w:val="00FC17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7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574807">
      <w:bodyDiv w:val="1"/>
      <w:marLeft w:val="0"/>
      <w:marRight w:val="0"/>
      <w:marTop w:val="0"/>
      <w:marBottom w:val="0"/>
      <w:divBdr>
        <w:top w:val="none" w:sz="0" w:space="0" w:color="auto"/>
        <w:left w:val="none" w:sz="0" w:space="0" w:color="auto"/>
        <w:bottom w:val="none" w:sz="0" w:space="0" w:color="auto"/>
        <w:right w:val="none" w:sz="0" w:space="0" w:color="auto"/>
      </w:divBdr>
    </w:div>
    <w:div w:id="189395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280</Words>
  <Characters>1599</Characters>
  <Application>Microsoft Office Word</Application>
  <DocSecurity>0</DocSecurity>
  <Lines>13</Lines>
  <Paragraphs>3</Paragraphs>
  <ScaleCrop>false</ScaleCrop>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Dilip Karacasia -25145</dc:creator>
  <cp:keywords/>
  <dc:description/>
  <cp:lastModifiedBy>Vivek Dilip Karacasia -25145</cp:lastModifiedBy>
  <cp:revision>1</cp:revision>
  <dcterms:created xsi:type="dcterms:W3CDTF">2024-09-26T09:50:00Z</dcterms:created>
  <dcterms:modified xsi:type="dcterms:W3CDTF">2024-09-26T09:51:00Z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2024-09-26T09:50:58Z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26342667-3ef9-4fb0-b5e1-663ec5761422</vt:lpwstr>
  </property>
  <property fmtid="{D5CDD505-2E9C-101B-9397-08002B2CF9AE}" pid="8" name="MSIP_Label_4f2c76d5-45ba-4a63-8701-27a8aa3796e4_ContentBits">
    <vt:lpwstr>2</vt:lpwstr>
  </property>
</Properties>
</file>