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73C" w:rsidRDefault="00E668B6">
      <w:r>
        <w:t>Product Features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 xml:space="preserve">Jubilee </w:t>
      </w:r>
      <w:proofErr w:type="spellStart"/>
      <w:r w:rsidRPr="00E668B6">
        <w:rPr>
          <w:rFonts w:ascii="Tahoma" w:eastAsia="Times New Roman" w:hAnsi="Tahoma" w:cs="Tahoma"/>
          <w:color w:val="6F7074"/>
          <w:sz w:val="24"/>
          <w:szCs w:val="24"/>
        </w:rPr>
        <w:t>Kohsar</w:t>
      </w:r>
      <w:proofErr w:type="spellEnd"/>
      <w:r w:rsidRPr="00E668B6">
        <w:rPr>
          <w:rFonts w:ascii="Tahoma" w:eastAsia="Times New Roman" w:hAnsi="Tahoma" w:cs="Tahoma"/>
          <w:color w:val="6F7074"/>
          <w:sz w:val="24"/>
          <w:szCs w:val="24"/>
        </w:rPr>
        <w:t xml:space="preserve"> Plan is a HNWI savings and protection plan (Underwritten by Jubilee Life Insurance) specially designed </w:t>
      </w:r>
      <w:proofErr w:type="gramStart"/>
      <w:r w:rsidRPr="00E668B6">
        <w:rPr>
          <w:rFonts w:ascii="Tahoma" w:eastAsia="Times New Roman" w:hAnsi="Tahoma" w:cs="Tahoma"/>
          <w:color w:val="6F7074"/>
          <w:sz w:val="24"/>
          <w:szCs w:val="24"/>
        </w:rPr>
        <w:t>for our high net worth clients along with built-in health coverage in case of hospitalization</w:t>
      </w:r>
      <w:proofErr w:type="gramEnd"/>
      <w:r w:rsidRPr="00E668B6">
        <w:rPr>
          <w:rFonts w:ascii="Tahoma" w:eastAsia="Times New Roman" w:hAnsi="Tahoma" w:cs="Tahoma"/>
          <w:color w:val="6F7074"/>
          <w:sz w:val="24"/>
          <w:szCs w:val="24"/>
        </w:rPr>
        <w:t>. An Individual Health Product with a built-in life cover.  Salient features of this plan are as under: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Benefits:</w:t>
      </w:r>
      <w:r w:rsidRPr="00E668B6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6"/>
        <w:gridCol w:w="17874"/>
      </w:tblGrid>
      <w:tr w:rsidR="00E668B6" w:rsidRPr="00E668B6" w:rsidTr="00E668B6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Unit   Linked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It provides life cover as well as a return on investment.</w:t>
            </w:r>
          </w:p>
        </w:tc>
      </w:tr>
      <w:tr w:rsidR="00E668B6" w:rsidRPr="00E668B6" w:rsidTr="00E668B6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Contributions  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Offers   the flexibility to direct customer contributions in part or whole to any of   the following funds</w:t>
            </w:r>
          </w:p>
          <w:p w:rsidR="00E668B6" w:rsidRPr="00E668B6" w:rsidRDefault="00E668B6" w:rsidP="00E668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  Managed Fund</w:t>
            </w:r>
          </w:p>
          <w:p w:rsidR="00E668B6" w:rsidRPr="00E668B6" w:rsidRDefault="00E668B6" w:rsidP="00E668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proofErr w:type="spellStart"/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Meesaq</w:t>
            </w:r>
            <w:proofErr w:type="spellEnd"/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 xml:space="preserve"> Fund</w:t>
            </w:r>
          </w:p>
          <w:p w:rsidR="00E668B6" w:rsidRPr="00E668B6" w:rsidRDefault="00E668B6" w:rsidP="00E668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  Capital Growth Fund</w:t>
            </w:r>
          </w:p>
          <w:p w:rsidR="00E668B6" w:rsidRPr="00E668B6" w:rsidRDefault="00E668B6" w:rsidP="00E668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proofErr w:type="spellStart"/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Yaqeen</w:t>
            </w:r>
            <w:proofErr w:type="spellEnd"/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 xml:space="preserve"> Growth Fund</w:t>
            </w:r>
          </w:p>
        </w:tc>
      </w:tr>
      <w:tr w:rsidR="00E668B6" w:rsidRPr="00E668B6" w:rsidTr="00E668B6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Death  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The customer can determine the Sum assured by   multiplying annual basic premium by the selected cover multiple (from 5 to 10)   depending on saving and their saving and insurance requirements.</w:t>
            </w:r>
          </w:p>
        </w:tc>
      </w:tr>
      <w:tr w:rsidR="00E668B6" w:rsidRPr="00E668B6" w:rsidTr="00E668B6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Maturity  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 xml:space="preserve">At the end of the term of the plan, the </w:t>
            </w:r>
            <w:proofErr w:type="gramStart"/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policy   holder</w:t>
            </w:r>
            <w:proofErr w:type="gramEnd"/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 xml:space="preserve"> will receive the Cash Value accumulated during the term of the plan.</w:t>
            </w:r>
          </w:p>
        </w:tc>
      </w:tr>
      <w:tr w:rsidR="00E668B6" w:rsidRPr="00E668B6" w:rsidTr="00E668B6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Optional  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Accidental Death Benefit</w:t>
            </w:r>
          </w:p>
          <w:p w:rsidR="00E668B6" w:rsidRPr="00E668B6" w:rsidRDefault="00E668B6" w:rsidP="00E668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Accidental Death or Dismemberment Benefit</w:t>
            </w:r>
          </w:p>
          <w:p w:rsidR="00E668B6" w:rsidRPr="00E668B6" w:rsidRDefault="00E668B6" w:rsidP="00E668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Permanent Total Disability</w:t>
            </w:r>
          </w:p>
          <w:p w:rsidR="00E668B6" w:rsidRPr="00E668B6" w:rsidRDefault="00E668B6" w:rsidP="00E668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Critical Illness</w:t>
            </w:r>
          </w:p>
          <w:p w:rsidR="00E668B6" w:rsidRPr="00E668B6" w:rsidRDefault="00E668B6" w:rsidP="00E668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Waiver of Premium</w:t>
            </w:r>
          </w:p>
          <w:p w:rsidR="00E668B6" w:rsidRPr="00E668B6" w:rsidRDefault="00E668B6" w:rsidP="00E668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Cancer Cover Rider</w:t>
            </w:r>
          </w:p>
        </w:tc>
      </w:tr>
      <w:tr w:rsidR="00E668B6" w:rsidRPr="00E668B6" w:rsidTr="00E668B6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Built   In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 xml:space="preserve">Jubilee </w:t>
            </w:r>
            <w:proofErr w:type="spellStart"/>
            <w:r w:rsidRPr="00E668B6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MediPal</w:t>
            </w:r>
            <w:proofErr w:type="spellEnd"/>
            <w:r w:rsidRPr="00E668B6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 xml:space="preserve"> Supplementary Rider</w:t>
            </w:r>
            <w:r w:rsidRPr="00E668B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Inpatient Hospitalization Benefit</w:t>
            </w:r>
            <w:r w:rsidRPr="00E668B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In-patient Hospitalization Limit: PKR 250,000</w:t>
            </w:r>
            <w:r w:rsidRPr="00E668B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Room Type: Private Room</w:t>
            </w:r>
            <w:r w:rsidRPr="00E668B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Term: 5 years (the policyholder will have the option to renew the contract subject to terms &amp; conditions offered by the Company at the time of renewal)</w:t>
            </w:r>
            <w:r w:rsidRPr="00E668B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Covered Lives: Life Assured or Life Assured + Spouse</w:t>
            </w:r>
          </w:p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br/>
            </w: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• Admissible ages for Benefit is 18 to 50 Years</w:t>
            </w:r>
          </w:p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</w:tc>
      </w:tr>
      <w:tr w:rsidR="00E668B6" w:rsidRPr="00E668B6" w:rsidTr="00E668B6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lastRenderedPageBreak/>
              <w:t>Free  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 xml:space="preserve">During a </w:t>
            </w:r>
            <w:proofErr w:type="gramStart"/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14 day</w:t>
            </w:r>
            <w:proofErr w:type="gramEnd"/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 xml:space="preserve"> free look period, the customer can   review the policy terms and conditions and cancel the policy if needed.</w:t>
            </w:r>
          </w:p>
        </w:tc>
      </w:tr>
    </w:tbl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Variants:</w:t>
      </w:r>
    </w:p>
    <w:p w:rsidR="00E668B6" w:rsidRPr="00E668B6" w:rsidRDefault="00E668B6" w:rsidP="00E66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Free 14 day look period to review policy terms and conditions</w:t>
      </w:r>
    </w:p>
    <w:p w:rsidR="00E668B6" w:rsidRPr="00E668B6" w:rsidRDefault="00E668B6" w:rsidP="00E66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Customer can select sum assured of his own choice.</w:t>
      </w:r>
    </w:p>
    <w:p w:rsidR="00E668B6" w:rsidRPr="00E668B6" w:rsidRDefault="00E668B6" w:rsidP="00E66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 xml:space="preserve">Additional rider’s </w:t>
      </w:r>
      <w:proofErr w:type="gramStart"/>
      <w:r w:rsidRPr="00E668B6">
        <w:rPr>
          <w:rFonts w:ascii="Tahoma" w:eastAsia="Times New Roman" w:hAnsi="Tahoma" w:cs="Tahoma"/>
          <w:color w:val="6F7074"/>
          <w:sz w:val="24"/>
          <w:szCs w:val="24"/>
        </w:rPr>
        <w:t>is provided</w:t>
      </w:r>
      <w:proofErr w:type="gramEnd"/>
      <w:r w:rsidRPr="00E668B6">
        <w:rPr>
          <w:rFonts w:ascii="Tahoma" w:eastAsia="Times New Roman" w:hAnsi="Tahoma" w:cs="Tahoma"/>
          <w:color w:val="6F7074"/>
          <w:sz w:val="24"/>
          <w:szCs w:val="24"/>
        </w:rPr>
        <w:t xml:space="preserve"> to cover customers against unforeseen risks and hazards.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b/>
          <w:bCs/>
          <w:color w:val="000080"/>
          <w:sz w:val="24"/>
          <w:szCs w:val="24"/>
          <w:u w:val="single"/>
        </w:rPr>
        <w:t>Free Look Period</w:t>
      </w:r>
      <w:proofErr w:type="gramStart"/>
      <w:r w:rsidRPr="00E668B6">
        <w:rPr>
          <w:rFonts w:ascii="Tahoma" w:eastAsia="Times New Roman" w:hAnsi="Tahoma" w:cs="Tahoma"/>
          <w:b/>
          <w:bCs/>
          <w:color w:val="000080"/>
          <w:sz w:val="24"/>
          <w:szCs w:val="24"/>
          <w:u w:val="single"/>
        </w:rPr>
        <w:t>:</w:t>
      </w:r>
      <w:proofErr w:type="gramEnd"/>
      <w:r w:rsidRPr="00E668B6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t>Customer can cancel the policy within a Free Look Period of 14 days from receipt of the documents, they are entitled for a full refund of premium less any expenses incurred by Jubilee Life in connection with your medical or clinical examinations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Term of Plan</w:t>
      </w:r>
      <w:r w:rsidRPr="00E668B6">
        <w:rPr>
          <w:rFonts w:ascii="Tahoma" w:eastAsia="Times New Roman" w:hAnsi="Tahoma" w:cs="Tahoma"/>
          <w:color w:val="003366"/>
          <w:sz w:val="24"/>
          <w:szCs w:val="24"/>
          <w:u w:val="single"/>
        </w:rPr>
        <w:t>: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000000"/>
          <w:sz w:val="24"/>
          <w:szCs w:val="24"/>
        </w:rPr>
        <w:t>Minimum Term: 10 years</w:t>
      </w:r>
      <w:r w:rsidRPr="00E668B6">
        <w:rPr>
          <w:rFonts w:ascii="Tahoma" w:eastAsia="Times New Roman" w:hAnsi="Tahoma" w:cs="Tahoma"/>
          <w:color w:val="000000"/>
          <w:sz w:val="24"/>
          <w:szCs w:val="24"/>
        </w:rPr>
        <w:br/>
        <w:t>Maximum Term: 57 years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Tax Free Growth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 xml:space="preserve">Savings </w:t>
      </w:r>
      <w:proofErr w:type="gramStart"/>
      <w:r w:rsidRPr="00E668B6">
        <w:rPr>
          <w:rFonts w:ascii="Tahoma" w:eastAsia="Times New Roman" w:hAnsi="Tahoma" w:cs="Tahoma"/>
          <w:color w:val="6F7074"/>
          <w:sz w:val="24"/>
          <w:szCs w:val="24"/>
        </w:rPr>
        <w:t>are exempted</w:t>
      </w:r>
      <w:proofErr w:type="gramEnd"/>
      <w:r w:rsidRPr="00E668B6">
        <w:rPr>
          <w:rFonts w:ascii="Tahoma" w:eastAsia="Times New Roman" w:hAnsi="Tahoma" w:cs="Tahoma"/>
          <w:color w:val="6F7074"/>
          <w:sz w:val="24"/>
          <w:szCs w:val="24"/>
        </w:rPr>
        <w:t xml:space="preserve"> from taxation; however, Zakat is levied in case of maturity or surrender.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Annual Contribution: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The minimum annual contribution is PKR 250,000/-.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Unit Allocation: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 follow:</w:t>
      </w:r>
    </w:p>
    <w:tbl>
      <w:tblPr>
        <w:tblpPr w:leftFromText="36" w:rightFromText="36" w:vertAnchor="text"/>
        <w:tblW w:w="4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415"/>
      </w:tblGrid>
      <w:tr w:rsidR="00E668B6" w:rsidRPr="00E668B6" w:rsidTr="00E668B6">
        <w:tc>
          <w:tcPr>
            <w:tcW w:w="21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Membership Year</w:t>
            </w:r>
          </w:p>
        </w:tc>
        <w:tc>
          <w:tcPr>
            <w:tcW w:w="24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Allocation Percentage</w:t>
            </w:r>
          </w:p>
        </w:tc>
      </w:tr>
      <w:tr w:rsidR="00E668B6" w:rsidRPr="00E668B6" w:rsidTr="00E668B6">
        <w:tc>
          <w:tcPr>
            <w:tcW w:w="21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Year  1</w:t>
            </w:r>
          </w:p>
        </w:tc>
        <w:tc>
          <w:tcPr>
            <w:tcW w:w="24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65%</w:t>
            </w:r>
          </w:p>
        </w:tc>
      </w:tr>
      <w:tr w:rsidR="00E668B6" w:rsidRPr="00E668B6" w:rsidTr="00E668B6">
        <w:tc>
          <w:tcPr>
            <w:tcW w:w="21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Year  2</w:t>
            </w:r>
          </w:p>
        </w:tc>
        <w:tc>
          <w:tcPr>
            <w:tcW w:w="24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80%</w:t>
            </w:r>
          </w:p>
        </w:tc>
      </w:tr>
      <w:tr w:rsidR="00E668B6" w:rsidRPr="00E668B6" w:rsidTr="00E668B6">
        <w:tc>
          <w:tcPr>
            <w:tcW w:w="21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Year  3</w:t>
            </w:r>
          </w:p>
        </w:tc>
        <w:tc>
          <w:tcPr>
            <w:tcW w:w="24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90%</w:t>
            </w:r>
          </w:p>
        </w:tc>
      </w:tr>
      <w:tr w:rsidR="00E668B6" w:rsidRPr="00E668B6" w:rsidTr="00E668B6">
        <w:tc>
          <w:tcPr>
            <w:tcW w:w="21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Year  4 &amp; onwards</w:t>
            </w:r>
          </w:p>
        </w:tc>
        <w:tc>
          <w:tcPr>
            <w:tcW w:w="24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  <w:tr w:rsidR="00E668B6" w:rsidRPr="00E668B6" w:rsidTr="00E668B6">
        <w:tc>
          <w:tcPr>
            <w:tcW w:w="21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Bonus Allocation</w:t>
            </w:r>
          </w:p>
        </w:tc>
      </w:tr>
      <w:tr w:rsidR="00E668B6" w:rsidRPr="00E668B6" w:rsidTr="00E668B6">
        <w:tc>
          <w:tcPr>
            <w:tcW w:w="21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Year 6 &amp; onwards</w:t>
            </w:r>
          </w:p>
        </w:tc>
        <w:tc>
          <w:tcPr>
            <w:tcW w:w="24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3%</w:t>
            </w:r>
          </w:p>
        </w:tc>
      </w:tr>
      <w:tr w:rsidR="00E668B6" w:rsidRPr="00E668B6" w:rsidTr="00E668B6">
        <w:tc>
          <w:tcPr>
            <w:tcW w:w="21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Adhoc</w:t>
            </w:r>
            <w:proofErr w:type="spellEnd"/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 xml:space="preserve"> premium</w:t>
            </w:r>
          </w:p>
        </w:tc>
        <w:tc>
          <w:tcPr>
            <w:tcW w:w="24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68B6" w:rsidRPr="00E668B6" w:rsidRDefault="00E668B6" w:rsidP="00E66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668B6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</w:tbl>
    <w:p w:rsidR="00E668B6" w:rsidRDefault="00E668B6"/>
    <w:p w:rsidR="00E668B6" w:rsidRDefault="00E668B6"/>
    <w:p w:rsidR="00E668B6" w:rsidRDefault="00E668B6"/>
    <w:p w:rsidR="00E668B6" w:rsidRDefault="00E668B6"/>
    <w:p w:rsidR="00E668B6" w:rsidRDefault="00E668B6">
      <w:r>
        <w:t>Target Market</w:t>
      </w:r>
    </w:p>
    <w:p w:rsidR="00E668B6" w:rsidRDefault="00E668B6" w:rsidP="00E668B6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Salaried Individuals</w:t>
      </w:r>
    </w:p>
    <w:p w:rsidR="00E668B6" w:rsidRDefault="00E668B6" w:rsidP="00E668B6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Professionals (Chartered Accountants, Consultants, Doctors, etc.)</w:t>
      </w:r>
    </w:p>
    <w:p w:rsidR="00E668B6" w:rsidRDefault="00E668B6" w:rsidP="00E668B6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Self Employed Individuals, Proprietorships, Partners and Family concern business</w:t>
      </w:r>
    </w:p>
    <w:p w:rsidR="00E668B6" w:rsidRDefault="00E668B6" w:rsidP="00E668B6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proofErr w:type="gramStart"/>
      <w:r>
        <w:rPr>
          <w:rFonts w:ascii="Tahoma" w:hAnsi="Tahoma" w:cs="Tahoma"/>
          <w:color w:val="6F7074"/>
        </w:rPr>
        <w:t>Landlords</w:t>
      </w:r>
      <w:proofErr w:type="gramEnd"/>
      <w:r>
        <w:rPr>
          <w:rFonts w:ascii="Tahoma" w:hAnsi="Tahoma" w:cs="Tahoma"/>
          <w:color w:val="6F7074"/>
        </w:rPr>
        <w:t>, Housewives &amp; Retired Individuals with consistent Rental Income/Foreign Remittances.</w:t>
      </w:r>
    </w:p>
    <w:p w:rsidR="00E668B6" w:rsidRDefault="00E668B6" w:rsidP="00E668B6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Government / Semi Government employees and Employees of Armed Forces</w:t>
      </w:r>
    </w:p>
    <w:p w:rsidR="00E668B6" w:rsidRDefault="00E668B6">
      <w:r>
        <w:t>Eligibility Criteria</w:t>
      </w:r>
    </w:p>
    <w:p w:rsidR="00E668B6" w:rsidRDefault="00E668B6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The plan is available to all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Limited customers between 18-65 years of age. Maximum age at Maturity up to the age of 75 years.</w:t>
      </w:r>
    </w:p>
    <w:p w:rsidR="00E668B6" w:rsidRDefault="00E668B6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Documentation Required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Documentation:</w:t>
      </w:r>
    </w:p>
    <w:p w:rsidR="00E668B6" w:rsidRPr="00E668B6" w:rsidRDefault="00E668B6" w:rsidP="00E66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Complete auto debit form with customer’s signatures,</w:t>
      </w:r>
    </w:p>
    <w:p w:rsidR="00E668B6" w:rsidRPr="00E668B6" w:rsidRDefault="00E668B6" w:rsidP="00E66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Copy of CNIC/NICOP/POC/Smart ID (original seen by Sales)</w:t>
      </w:r>
    </w:p>
    <w:p w:rsidR="00E668B6" w:rsidRPr="00E668B6" w:rsidRDefault="00E668B6" w:rsidP="00E66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Declaration form and T&amp;C signed by customers.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Claims: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At time of claims, the beneficiary needs to contact Jubilee Life at (021) 111-111-554 and submit the following documents.</w:t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E668B6" w:rsidRPr="00E668B6" w:rsidRDefault="00E668B6" w:rsidP="00E668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Original Policy Documents</w:t>
      </w:r>
    </w:p>
    <w:p w:rsidR="00E668B6" w:rsidRPr="00E668B6" w:rsidRDefault="00E668B6" w:rsidP="00E668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Claim Forms A, B, C, D</w:t>
      </w:r>
    </w:p>
    <w:p w:rsidR="00E668B6" w:rsidRPr="00E668B6" w:rsidRDefault="00E668B6" w:rsidP="00E668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Complete  Medical /Treatment Record including all Clinical Notes at the onset of the treatment</w:t>
      </w:r>
    </w:p>
    <w:p w:rsidR="00E668B6" w:rsidRPr="00E668B6" w:rsidRDefault="00E668B6" w:rsidP="00E668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Death Certificate issued by Hospital and NADRA</w:t>
      </w:r>
    </w:p>
    <w:p w:rsidR="00E668B6" w:rsidRPr="00E668B6" w:rsidRDefault="00E668B6" w:rsidP="00E668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Attested CNIC of both the life assured and claimant(s)</w:t>
      </w:r>
    </w:p>
    <w:p w:rsidR="00E668B6" w:rsidRPr="00E668B6" w:rsidRDefault="00E668B6" w:rsidP="00E668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Intimation wherein Date of death and Cause of death should be mentioned by the claimant</w:t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lastRenderedPageBreak/>
        <w:t xml:space="preserve">However, in case of Murder, Suicide or Accidental Death following mandatory requirements </w:t>
      </w:r>
      <w:proofErr w:type="gramStart"/>
      <w:r w:rsidRPr="00E668B6">
        <w:rPr>
          <w:rFonts w:ascii="Tahoma" w:eastAsia="Times New Roman" w:hAnsi="Tahoma" w:cs="Tahoma"/>
          <w:color w:val="6F7074"/>
          <w:sz w:val="24"/>
          <w:szCs w:val="24"/>
        </w:rPr>
        <w:t>should also be added</w:t>
      </w:r>
      <w:proofErr w:type="gramEnd"/>
      <w:r w:rsidRPr="00E668B6">
        <w:rPr>
          <w:rFonts w:ascii="Tahoma" w:eastAsia="Times New Roman" w:hAnsi="Tahoma" w:cs="Tahoma"/>
          <w:color w:val="6F7074"/>
          <w:sz w:val="24"/>
          <w:szCs w:val="24"/>
        </w:rPr>
        <w:t>:</w:t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E668B6" w:rsidRPr="00E668B6" w:rsidRDefault="00E668B6" w:rsidP="00E66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Post Mortem/ Autopsy Report (Attested)</w:t>
      </w:r>
    </w:p>
    <w:p w:rsidR="00E668B6" w:rsidRPr="00E668B6" w:rsidRDefault="00E668B6" w:rsidP="00E66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News Paper Cutting of the event (Attested)</w:t>
      </w:r>
    </w:p>
    <w:p w:rsidR="00E668B6" w:rsidRPr="00E668B6" w:rsidRDefault="00E668B6" w:rsidP="00E66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Police First Information Report (FIR) (Attested)</w:t>
      </w:r>
    </w:p>
    <w:p w:rsidR="00E668B6" w:rsidRPr="00E668B6" w:rsidRDefault="00E668B6" w:rsidP="00E66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Medico Legal Report (Attested)</w:t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 xml:space="preserve">Note: Further requirements </w:t>
      </w:r>
      <w:proofErr w:type="gramStart"/>
      <w:r w:rsidRPr="00E668B6">
        <w:rPr>
          <w:rFonts w:ascii="Tahoma" w:eastAsia="Times New Roman" w:hAnsi="Tahoma" w:cs="Tahoma"/>
          <w:color w:val="6F7074"/>
          <w:sz w:val="24"/>
          <w:szCs w:val="24"/>
        </w:rPr>
        <w:t>can be asked for</w:t>
      </w:r>
      <w:proofErr w:type="gramEnd"/>
      <w:r w:rsidRPr="00E668B6">
        <w:rPr>
          <w:rFonts w:ascii="Tahoma" w:eastAsia="Times New Roman" w:hAnsi="Tahoma" w:cs="Tahoma"/>
          <w:color w:val="6F7074"/>
          <w:sz w:val="24"/>
          <w:szCs w:val="24"/>
        </w:rPr>
        <w:t xml:space="preserve"> depending on the case.</w:t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Contact Details of Claims Department:</w:t>
      </w:r>
      <w:r w:rsidRPr="00E668B6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t>Claims Department,</w:t>
      </w:r>
      <w:r w:rsidRPr="00E668B6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t>Jubilee Life INSURANCE COMPANY LIMITED,</w:t>
      </w:r>
      <w:r w:rsidRPr="00E668B6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t xml:space="preserve">74 / 1 – A, </w:t>
      </w:r>
      <w:proofErr w:type="spellStart"/>
      <w:r w:rsidRPr="00E668B6">
        <w:rPr>
          <w:rFonts w:ascii="Tahoma" w:eastAsia="Times New Roman" w:hAnsi="Tahoma" w:cs="Tahoma"/>
          <w:color w:val="6F7074"/>
          <w:sz w:val="24"/>
          <w:szCs w:val="24"/>
        </w:rPr>
        <w:t>Lalazar</w:t>
      </w:r>
      <w:proofErr w:type="spellEnd"/>
      <w:r w:rsidRPr="00E668B6">
        <w:rPr>
          <w:rFonts w:ascii="Tahoma" w:eastAsia="Times New Roman" w:hAnsi="Tahoma" w:cs="Tahoma"/>
          <w:color w:val="6F7074"/>
          <w:sz w:val="24"/>
          <w:szCs w:val="24"/>
        </w:rPr>
        <w:t>, M. T. Khan Road,</w:t>
      </w:r>
      <w:r w:rsidRPr="00E668B6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t>Karachi – 74000, Pakistan</w:t>
      </w:r>
      <w:r w:rsidRPr="00E668B6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t>Phone – Head Office: 92-21-35205095, 92-21-35205094 , 021-111-111-554</w:t>
      </w:r>
      <w:r w:rsidRPr="00E668B6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t>Fax: 92-21-35610959</w:t>
      </w:r>
      <w:r w:rsidRPr="00E668B6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E668B6">
        <w:rPr>
          <w:rFonts w:ascii="Tahoma" w:eastAsia="Times New Roman" w:hAnsi="Tahoma" w:cs="Tahoma"/>
          <w:color w:val="6F7074"/>
          <w:sz w:val="24"/>
          <w:szCs w:val="24"/>
        </w:rPr>
        <w:t>E-Mail: info@jubileelife.com</w:t>
      </w:r>
    </w:p>
    <w:p w:rsidR="00E668B6" w:rsidRDefault="00E668B6">
      <w:r>
        <w:t>Associated Charges</w:t>
      </w:r>
    </w:p>
    <w:p w:rsidR="00E668B6" w:rsidRPr="00E668B6" w:rsidRDefault="00E668B6" w:rsidP="00E668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Investment Management Charges: 1.5% p.a. of fund value </w:t>
      </w:r>
    </w:p>
    <w:p w:rsidR="00E668B6" w:rsidRPr="00E668B6" w:rsidRDefault="00E668B6" w:rsidP="00E668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5% Bid offer spread</w:t>
      </w:r>
    </w:p>
    <w:p w:rsidR="00E668B6" w:rsidRPr="00E668B6" w:rsidRDefault="00E668B6" w:rsidP="00E668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Administration Charges</w:t>
      </w:r>
    </w:p>
    <w:p w:rsidR="00E668B6" w:rsidRPr="00E668B6" w:rsidRDefault="00E668B6" w:rsidP="00E668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Applicable Mortality Charges</w:t>
      </w:r>
    </w:p>
    <w:p w:rsidR="00E668B6" w:rsidRPr="00E668B6" w:rsidRDefault="00E668B6" w:rsidP="00E668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 xml:space="preserve">Fund Switching: </w:t>
      </w:r>
      <w:proofErr w:type="spellStart"/>
      <w:r w:rsidRPr="00E668B6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E668B6">
        <w:rPr>
          <w:rFonts w:ascii="Tahoma" w:eastAsia="Times New Roman" w:hAnsi="Tahoma" w:cs="Tahoma"/>
          <w:color w:val="6F7074"/>
          <w:sz w:val="24"/>
          <w:szCs w:val="24"/>
        </w:rPr>
        <w:t>. 500 after first four free switches in a year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Surrender / Withdrawal Charges</w:t>
      </w:r>
    </w:p>
    <w:p w:rsidR="00E668B6" w:rsidRPr="00E668B6" w:rsidRDefault="00E668B6" w:rsidP="00E668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5% of cash Value in 1st year</w:t>
      </w:r>
    </w:p>
    <w:p w:rsidR="00E668B6" w:rsidRPr="00E668B6" w:rsidRDefault="00E668B6" w:rsidP="00E668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5% of cash Value in 2nd year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No surrender charge will apply after the first two policy years.</w:t>
      </w:r>
    </w:p>
    <w:p w:rsidR="00E668B6" w:rsidRPr="00E668B6" w:rsidRDefault="00E668B6" w:rsidP="00E66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668B6">
        <w:rPr>
          <w:rFonts w:ascii="Tahoma" w:eastAsia="Times New Roman" w:hAnsi="Tahoma" w:cs="Tahoma"/>
          <w:color w:val="6F7074"/>
          <w:sz w:val="24"/>
          <w:szCs w:val="24"/>
        </w:rPr>
        <w:t>* Rider Chargers, based on riders selected by customers</w:t>
      </w:r>
    </w:p>
    <w:p w:rsidR="00E668B6" w:rsidRDefault="00E668B6">
      <w:bookmarkStart w:id="0" w:name="_GoBack"/>
      <w:bookmarkEnd w:id="0"/>
    </w:p>
    <w:sectPr w:rsidR="00E668B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8B6" w:rsidRDefault="00E668B6" w:rsidP="00E668B6">
      <w:pPr>
        <w:spacing w:after="0" w:line="240" w:lineRule="auto"/>
      </w:pPr>
      <w:r>
        <w:separator/>
      </w:r>
    </w:p>
  </w:endnote>
  <w:endnote w:type="continuationSeparator" w:id="0">
    <w:p w:rsidR="00E668B6" w:rsidRDefault="00E668B6" w:rsidP="00E66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8B6" w:rsidRDefault="00E668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02f49c88097251919dd87c9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668B6" w:rsidRPr="00E668B6" w:rsidRDefault="00E668B6" w:rsidP="00E668B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668B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02f49c88097251919dd87c9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DoozgA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E668B6" w:rsidRPr="00E668B6" w:rsidRDefault="00E668B6" w:rsidP="00E668B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668B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8B6" w:rsidRDefault="00E668B6" w:rsidP="00E668B6">
      <w:pPr>
        <w:spacing w:after="0" w:line="240" w:lineRule="auto"/>
      </w:pPr>
      <w:r>
        <w:separator/>
      </w:r>
    </w:p>
  </w:footnote>
  <w:footnote w:type="continuationSeparator" w:id="0">
    <w:p w:rsidR="00E668B6" w:rsidRDefault="00E668B6" w:rsidP="00E66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730A9"/>
    <w:multiLevelType w:val="multilevel"/>
    <w:tmpl w:val="E1A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32812"/>
    <w:multiLevelType w:val="multilevel"/>
    <w:tmpl w:val="E67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32440"/>
    <w:multiLevelType w:val="multilevel"/>
    <w:tmpl w:val="B8AA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42BBC"/>
    <w:multiLevelType w:val="multilevel"/>
    <w:tmpl w:val="116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E2DBF"/>
    <w:multiLevelType w:val="multilevel"/>
    <w:tmpl w:val="47FC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52F24"/>
    <w:multiLevelType w:val="multilevel"/>
    <w:tmpl w:val="7E90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D0F43"/>
    <w:multiLevelType w:val="multilevel"/>
    <w:tmpl w:val="7C6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E5C18"/>
    <w:multiLevelType w:val="multilevel"/>
    <w:tmpl w:val="B2C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C608A"/>
    <w:multiLevelType w:val="multilevel"/>
    <w:tmpl w:val="8FD8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B6"/>
    <w:rsid w:val="00E668B6"/>
    <w:rsid w:val="00F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99D77"/>
  <w15:chartTrackingRefBased/>
  <w15:docId w15:val="{BF21C309-B934-44E4-B38C-DFEA4ECE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68B6"/>
    <w:rPr>
      <w:b/>
      <w:bCs/>
    </w:rPr>
  </w:style>
  <w:style w:type="paragraph" w:customStyle="1" w:styleId="colorred">
    <w:name w:val="colorred"/>
    <w:basedOn w:val="Normal"/>
    <w:rsid w:val="00E6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6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8B6"/>
  </w:style>
  <w:style w:type="paragraph" w:styleId="Footer">
    <w:name w:val="footer"/>
    <w:basedOn w:val="Normal"/>
    <w:link w:val="FooterChar"/>
    <w:uiPriority w:val="99"/>
    <w:unhideWhenUsed/>
    <w:rsid w:val="00E66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73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26239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2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2024-09-27T09:19:00Z</dcterms:created>
  <dcterms:modified xsi:type="dcterms:W3CDTF">2024-09-27T09:21:00Z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2024-09-27T09:21:03Z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2d98f5eb-9d16-4a2d-85e6-b45035c2aa78</vt:lpwstr>
  </property>
  <property fmtid="{D5CDD505-2E9C-101B-9397-08002B2CF9AE}" pid="8" name="MSIP_Label_4f2c76d5-45ba-4a63-8701-27a8aa3796e4_ContentBits">
    <vt:lpwstr>2</vt:lpwstr>
  </property>
</Properties>
</file>