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color w:val="6F7074"/>
          <w:sz w:val="24"/>
          <w:szCs w:val="24"/>
        </w:rPr>
        <w:t xml:space="preserve">"Jubilee </w:t>
      </w:r>
      <w:proofErr w:type="spellStart"/>
      <w:r w:rsidRPr="00FB3DCC">
        <w:rPr>
          <w:rFonts w:ascii="Tahoma" w:eastAsia="Times New Roman" w:hAnsi="Tahoma" w:cs="Tahoma"/>
          <w:color w:val="6F7074"/>
          <w:sz w:val="24"/>
          <w:szCs w:val="24"/>
        </w:rPr>
        <w:t>Misaal</w:t>
      </w:r>
      <w:proofErr w:type="spellEnd"/>
      <w:r w:rsidRPr="00FB3DCC">
        <w:rPr>
          <w:rFonts w:ascii="Tahoma" w:eastAsia="Times New Roman" w:hAnsi="Tahoma" w:cs="Tahoma"/>
          <w:color w:val="6F7074"/>
          <w:sz w:val="24"/>
          <w:szCs w:val="24"/>
        </w:rPr>
        <w:t xml:space="preserve"> Plan" has been designed to provide you with returns and maturity benefi</w:t>
      </w:r>
      <w:r w:rsidRPr="00FB3DCC">
        <w:rPr>
          <w:rFonts w:ascii="Tahoma" w:eastAsia="Times New Roman" w:hAnsi="Tahoma" w:cs="Tahoma"/>
          <w:color w:val="6F7074"/>
          <w:sz w:val="24"/>
          <w:szCs w:val="24"/>
        </w:rPr>
        <w:softHyphen/>
        <w:t>t. The purpose of this plan is to provide you with guaranteed protection benefi</w:t>
      </w:r>
      <w:r w:rsidRPr="00FB3DCC">
        <w:rPr>
          <w:rFonts w:ascii="Tahoma" w:eastAsia="Times New Roman" w:hAnsi="Tahoma" w:cs="Tahoma"/>
          <w:color w:val="6F7074"/>
          <w:sz w:val="24"/>
          <w:szCs w:val="24"/>
        </w:rPr>
        <w:softHyphen/>
        <w:t>t as well as a bonus at maturity on maintaining the policy for maximum number of years possible. This plan is underwritten by Jubilee Life Insurance</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b/>
          <w:bCs/>
          <w:color w:val="6F7074"/>
          <w:sz w:val="24"/>
          <w:szCs w:val="24"/>
          <w:u w:val="single"/>
        </w:rPr>
        <w:t>Product Features/ Benefits:</w:t>
      </w:r>
    </w:p>
    <w:tbl>
      <w:tblPr>
        <w:tblW w:w="21600" w:type="dxa"/>
        <w:shd w:val="clear" w:color="auto" w:fill="FFFFFF"/>
        <w:tblCellMar>
          <w:left w:w="0" w:type="dxa"/>
          <w:right w:w="0" w:type="dxa"/>
        </w:tblCellMar>
        <w:tblLook w:val="04A0" w:firstRow="1" w:lastRow="0" w:firstColumn="1" w:lastColumn="0" w:noHBand="0" w:noVBand="1"/>
      </w:tblPr>
      <w:tblGrid>
        <w:gridCol w:w="1362"/>
        <w:gridCol w:w="21916"/>
      </w:tblGrid>
      <w:tr w:rsidR="00FB3DCC" w:rsidRPr="00FB3DCC" w:rsidTr="00FB3DC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Death Benefit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Basic Sum Assured under the policy.</w:t>
            </w:r>
          </w:p>
        </w:tc>
      </w:tr>
      <w:tr w:rsidR="00FB3DCC" w:rsidRPr="00FB3DCC" w:rsidTr="00FB3DC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Maturity Benefit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Maturity bonus will be offered in addition to basic Sum Assured at maturity of the plan based on the term</w:t>
            </w:r>
          </w:p>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 </w:t>
            </w:r>
          </w:p>
          <w:tbl>
            <w:tblPr>
              <w:tblW w:w="21600" w:type="dxa"/>
              <w:tblCellMar>
                <w:left w:w="0" w:type="dxa"/>
                <w:right w:w="0" w:type="dxa"/>
              </w:tblCellMar>
              <w:tblLook w:val="04A0" w:firstRow="1" w:lastRow="0" w:firstColumn="1" w:lastColumn="0" w:noHBand="0" w:noVBand="1"/>
            </w:tblPr>
            <w:tblGrid>
              <w:gridCol w:w="14691"/>
              <w:gridCol w:w="797"/>
              <w:gridCol w:w="797"/>
              <w:gridCol w:w="5315"/>
            </w:tblGrid>
            <w:tr w:rsidR="00FB3DCC" w:rsidRPr="00FB3DCC">
              <w:tc>
                <w:tcPr>
                  <w:tcW w:w="0" w:type="auto"/>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Times New Roman" w:eastAsia="Times New Roman" w:hAnsi="Times New Roman" w:cs="Times New Roman"/>
                      <w:sz w:val="24"/>
                      <w:szCs w:val="24"/>
                    </w:rPr>
                  </w:pPr>
                  <w:r w:rsidRPr="00FB3DCC">
                    <w:rPr>
                      <w:rFonts w:ascii="Tahoma" w:eastAsia="Times New Roman" w:hAnsi="Tahoma" w:cs="Tahoma"/>
                      <w:sz w:val="24"/>
                      <w:szCs w:val="24"/>
                    </w:rPr>
                    <w:t>Term</w:t>
                  </w:r>
                </w:p>
              </w:tc>
              <w:tc>
                <w:tcPr>
                  <w:tcW w:w="300"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jc w:val="center"/>
                    <w:rPr>
                      <w:rFonts w:ascii="Times New Roman" w:eastAsia="Times New Roman" w:hAnsi="Times New Roman" w:cs="Times New Roman"/>
                      <w:sz w:val="24"/>
                      <w:szCs w:val="24"/>
                    </w:rPr>
                  </w:pPr>
                  <w:r w:rsidRPr="00FB3DCC">
                    <w:rPr>
                      <w:rFonts w:ascii="Tahoma" w:eastAsia="Times New Roman" w:hAnsi="Tahoma" w:cs="Tahoma"/>
                      <w:sz w:val="24"/>
                      <w:szCs w:val="24"/>
                    </w:rPr>
                    <w:t>10</w:t>
                  </w:r>
                </w:p>
              </w:tc>
              <w:tc>
                <w:tcPr>
                  <w:tcW w:w="300"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jc w:val="center"/>
                    <w:rPr>
                      <w:rFonts w:ascii="Times New Roman" w:eastAsia="Times New Roman" w:hAnsi="Times New Roman" w:cs="Times New Roman"/>
                      <w:sz w:val="24"/>
                      <w:szCs w:val="24"/>
                    </w:rPr>
                  </w:pPr>
                  <w:r w:rsidRPr="00FB3DCC">
                    <w:rPr>
                      <w:rFonts w:ascii="Tahoma" w:eastAsia="Times New Roman" w:hAnsi="Tahoma" w:cs="Tahoma"/>
                      <w:sz w:val="24"/>
                      <w:szCs w:val="24"/>
                    </w:rPr>
                    <w:t>15</w:t>
                  </w:r>
                </w:p>
              </w:tc>
              <w:tc>
                <w:tcPr>
                  <w:tcW w:w="0" w:type="auto"/>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jc w:val="center"/>
                    <w:rPr>
                      <w:rFonts w:ascii="Times New Roman" w:eastAsia="Times New Roman" w:hAnsi="Times New Roman" w:cs="Times New Roman"/>
                      <w:sz w:val="24"/>
                      <w:szCs w:val="24"/>
                    </w:rPr>
                  </w:pPr>
                  <w:r w:rsidRPr="00FB3DCC">
                    <w:rPr>
                      <w:rFonts w:ascii="Tahoma" w:eastAsia="Times New Roman" w:hAnsi="Tahoma" w:cs="Tahoma"/>
                      <w:sz w:val="24"/>
                      <w:szCs w:val="24"/>
                    </w:rPr>
                    <w:t>20</w:t>
                  </w:r>
                </w:p>
              </w:tc>
            </w:tr>
            <w:tr w:rsidR="00FB3DCC" w:rsidRPr="00FB3DCC">
              <w:tc>
                <w:tcPr>
                  <w:tcW w:w="0" w:type="auto"/>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Times New Roman" w:eastAsia="Times New Roman" w:hAnsi="Times New Roman" w:cs="Times New Roman"/>
                      <w:sz w:val="24"/>
                      <w:szCs w:val="24"/>
                    </w:rPr>
                  </w:pPr>
                  <w:r w:rsidRPr="00FB3DCC">
                    <w:rPr>
                      <w:rFonts w:ascii="Tahoma" w:eastAsia="Times New Roman" w:hAnsi="Tahoma" w:cs="Tahoma"/>
                      <w:sz w:val="24"/>
                      <w:szCs w:val="24"/>
                    </w:rPr>
                    <w:t>Bonus Percentage</w:t>
                  </w:r>
                </w:p>
              </w:tc>
              <w:tc>
                <w:tcPr>
                  <w:tcW w:w="300"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jc w:val="center"/>
                    <w:rPr>
                      <w:rFonts w:ascii="Times New Roman" w:eastAsia="Times New Roman" w:hAnsi="Times New Roman" w:cs="Times New Roman"/>
                      <w:sz w:val="24"/>
                      <w:szCs w:val="24"/>
                    </w:rPr>
                  </w:pPr>
                  <w:r w:rsidRPr="00FB3DCC">
                    <w:rPr>
                      <w:rFonts w:ascii="Tahoma" w:eastAsia="Times New Roman" w:hAnsi="Tahoma" w:cs="Tahoma"/>
                      <w:sz w:val="24"/>
                      <w:szCs w:val="24"/>
                    </w:rPr>
                    <w:t>15%</w:t>
                  </w:r>
                </w:p>
              </w:tc>
              <w:tc>
                <w:tcPr>
                  <w:tcW w:w="300" w:type="dxa"/>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jc w:val="center"/>
                    <w:rPr>
                      <w:rFonts w:ascii="Times New Roman" w:eastAsia="Times New Roman" w:hAnsi="Times New Roman" w:cs="Times New Roman"/>
                      <w:sz w:val="24"/>
                      <w:szCs w:val="24"/>
                    </w:rPr>
                  </w:pPr>
                  <w:r w:rsidRPr="00FB3DCC">
                    <w:rPr>
                      <w:rFonts w:ascii="Tahoma" w:eastAsia="Times New Roman" w:hAnsi="Tahoma" w:cs="Tahoma"/>
                      <w:sz w:val="24"/>
                      <w:szCs w:val="24"/>
                    </w:rPr>
                    <w:t>20%</w:t>
                  </w:r>
                </w:p>
              </w:tc>
              <w:tc>
                <w:tcPr>
                  <w:tcW w:w="0" w:type="auto"/>
                  <w:tcBorders>
                    <w:top w:val="single" w:sz="6" w:space="0" w:color="961C13"/>
                    <w:left w:val="single" w:sz="6" w:space="0" w:color="961C13"/>
                    <w:bottom w:val="single" w:sz="6" w:space="0" w:color="961C13"/>
                    <w:right w:val="single" w:sz="6" w:space="0" w:color="961C13"/>
                  </w:tcBorders>
                  <w:noWrap/>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jc w:val="center"/>
                    <w:rPr>
                      <w:rFonts w:ascii="Times New Roman" w:eastAsia="Times New Roman" w:hAnsi="Times New Roman" w:cs="Times New Roman"/>
                      <w:sz w:val="24"/>
                      <w:szCs w:val="24"/>
                    </w:rPr>
                  </w:pPr>
                  <w:r w:rsidRPr="00FB3DCC">
                    <w:rPr>
                      <w:rFonts w:ascii="Tahoma" w:eastAsia="Times New Roman" w:hAnsi="Tahoma" w:cs="Tahoma"/>
                      <w:sz w:val="24"/>
                      <w:szCs w:val="24"/>
                    </w:rPr>
                    <w:t>25%</w:t>
                  </w:r>
                </w:p>
              </w:tc>
            </w:tr>
          </w:tbl>
          <w:p w:rsidR="00FB3DCC" w:rsidRPr="00FB3DCC" w:rsidRDefault="00FB3DCC" w:rsidP="00FB3DCC">
            <w:pPr>
              <w:spacing w:after="0" w:line="240" w:lineRule="auto"/>
              <w:rPr>
                <w:rFonts w:ascii="Arial" w:eastAsia="Times New Roman" w:hAnsi="Arial" w:cs="Arial"/>
                <w:sz w:val="24"/>
                <w:szCs w:val="24"/>
              </w:rPr>
            </w:pPr>
          </w:p>
        </w:tc>
      </w:tr>
      <w:tr w:rsidR="00FB3DCC" w:rsidRPr="00FB3DCC" w:rsidTr="00FB3DC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Surrender Benefit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No Surrender Benefit will be payable in the first two Policy years. From the Third Policy Year and Onwards, Surrender Value of the Policy shall be determined as per Surrender Factors provided under the Surrender Table in the Illustration sheet.</w:t>
            </w:r>
          </w:p>
        </w:tc>
      </w:tr>
      <w:tr w:rsidR="00FB3DCC" w:rsidRPr="00FB3DCC" w:rsidTr="00FB3DC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Free Look Period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Each unit shall be entitled to a Free Look Period of 14 days from receipt of the policy document, during which the Policyholder may cancel the Policy and ask for refund of premium</w:t>
            </w:r>
          </w:p>
        </w:tc>
      </w:tr>
      <w:tr w:rsidR="00FB3DCC" w:rsidRPr="00FB3DCC" w:rsidTr="00FB3DC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Policy Loan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At any point of time after the first two policy years, the policyholder can opt for a Policy Loan from the Insurer Company. The Policy Loan shall be equal to 90% of the Surrender Value of the Policy at the time of loan application.</w:t>
            </w:r>
          </w:p>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 </w:t>
            </w:r>
          </w:p>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The Company shall charge an interest on the policy loan to be specified by the Company at the time of approval of the Policy Loan</w:t>
            </w:r>
          </w:p>
        </w:tc>
      </w:tr>
      <w:tr w:rsidR="00FB3DCC" w:rsidRPr="00FB3DCC" w:rsidTr="00FB3DC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Automatic Premium Loan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If the Policyholder does not pay premiums for the first two policy years on time then the policy will lapse (terminate) without any value.</w:t>
            </w:r>
          </w:p>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 </w:t>
            </w:r>
          </w:p>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However,  in case the policy holder fails to pay any premiums due under the policy after third year of policy and onwards, JLI will continue to keep the policy inforce and treat the said premium as paid by creating an automatic loan against the net surrender value of the policy. The policy shall remain inforce as long as the Surrender Value of the policy less any encumbrances (Accumulated Value of any outstanding policy loan and accumulated value of any unpaid premiums) is greater than zero.</w:t>
            </w:r>
          </w:p>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 </w:t>
            </w:r>
          </w:p>
          <w:p w:rsidR="00FB3DCC" w:rsidRPr="00FB3DCC" w:rsidRDefault="00FB3DCC" w:rsidP="00FB3DCC">
            <w:pPr>
              <w:spacing w:before="100" w:beforeAutospacing="1" w:after="100" w:afterAutospacing="1" w:line="240" w:lineRule="auto"/>
              <w:rPr>
                <w:rFonts w:ascii="Arial" w:eastAsia="Times New Roman" w:hAnsi="Arial" w:cs="Arial"/>
                <w:sz w:val="24"/>
                <w:szCs w:val="24"/>
              </w:rPr>
            </w:pPr>
            <w:r w:rsidRPr="00FB3DCC">
              <w:rPr>
                <w:rFonts w:ascii="Tahoma" w:eastAsia="Times New Roman" w:hAnsi="Tahoma" w:cs="Tahoma"/>
                <w:sz w:val="24"/>
                <w:szCs w:val="24"/>
              </w:rPr>
              <w:t>In short, any unpaid premiums shall be recovered by the Company from the Surrender Value of the Policy along with interest. In case the Accumulated value of Premiums exceeds the surrender value of the policy, the policy shall terminate without any value</w:t>
            </w:r>
          </w:p>
        </w:tc>
      </w:tr>
    </w:tbl>
    <w:p w:rsidR="00FC55C7" w:rsidRDefault="00FC55C7"/>
    <w:p w:rsidR="00FB3DCC" w:rsidRDefault="00FB3DCC"/>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b/>
          <w:bCs/>
          <w:color w:val="6F7074"/>
          <w:sz w:val="24"/>
          <w:szCs w:val="24"/>
          <w:u w:val="single"/>
        </w:rPr>
        <w:t>Product Variants:</w:t>
      </w:r>
    </w:p>
    <w:p w:rsidR="00FB3DCC" w:rsidRPr="00FB3DCC" w:rsidRDefault="00FB3DCC" w:rsidP="00FB3DC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Guaranteed Maturity Benefit</w:t>
      </w:r>
    </w:p>
    <w:p w:rsidR="00FB3DCC" w:rsidRPr="00FB3DCC" w:rsidRDefault="00FB3DCC" w:rsidP="00FB3DC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Maturity Bonus of 25% at the end of 20 years term.</w:t>
      </w:r>
    </w:p>
    <w:p w:rsidR="00FB3DCC" w:rsidRPr="00FB3DCC" w:rsidRDefault="00FB3DCC" w:rsidP="00FB3DC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lastRenderedPageBreak/>
        <w:t>Fixed Surrender Benefit</w:t>
      </w:r>
    </w:p>
    <w:p w:rsidR="00FB3DCC" w:rsidRPr="00FB3DCC" w:rsidRDefault="00FB3DCC" w:rsidP="00FB3DC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Policy Loan Option: Customer can avail 90% of surrender value as a loan from the company without surrendering the policy</w:t>
      </w:r>
    </w:p>
    <w:p w:rsidR="00FB3DCC" w:rsidRPr="00FB3DCC" w:rsidRDefault="00FB3DCC" w:rsidP="00FB3DC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Automatic Premium Loan: In case of non-payment the company will pay the premiums on customers’ behalf. These along with interest will be adjusted from the surrender value(s)</w:t>
      </w:r>
    </w:p>
    <w:p w:rsidR="00FB3DCC" w:rsidRPr="00FB3DCC" w:rsidRDefault="00FB3DCC" w:rsidP="00FB3DCC">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Free Look period of 14 days from receipt of policy documents</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b/>
          <w:bCs/>
          <w:color w:val="6F7074"/>
          <w:sz w:val="24"/>
          <w:szCs w:val="24"/>
          <w:u w:val="single"/>
        </w:rPr>
        <w:t>Term of Plan</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color w:val="6F7074"/>
          <w:sz w:val="24"/>
          <w:szCs w:val="24"/>
        </w:rPr>
        <w:t>Minimum Term: 10 years</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Maximum Term: 20 Years</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b/>
          <w:bCs/>
          <w:color w:val="6F7074"/>
          <w:sz w:val="24"/>
          <w:szCs w:val="24"/>
          <w:u w:val="single"/>
        </w:rPr>
        <w:t>Annual Contribution:</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color w:val="6F7074"/>
          <w:sz w:val="24"/>
          <w:szCs w:val="24"/>
        </w:rPr>
        <w:t>The Premium under the contract shall be based on a Premium Table. The Premium Table shall display rates per thousand of the Sum Assured selected by the policy holder in the Illustration.</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color w:val="6F7074"/>
          <w:sz w:val="24"/>
          <w:szCs w:val="24"/>
        </w:rPr>
        <w:t>The rates shall vary based on the Age at Entry of the Policy holder and Term of the Policy selected by </w:t>
      </w:r>
    </w:p>
    <w:p w:rsidR="00FB3DCC" w:rsidRDefault="00FB3DCC"/>
    <w:p w:rsidR="00FB3DCC" w:rsidRDefault="00FB3DCC">
      <w:r>
        <w:t>Target Market</w:t>
      </w:r>
    </w:p>
    <w:p w:rsidR="00FB3DCC" w:rsidRPr="00FB3DCC" w:rsidRDefault="00FB3DCC" w:rsidP="00FB3DC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Salaried Individuals</w:t>
      </w:r>
    </w:p>
    <w:p w:rsidR="00FB3DCC" w:rsidRPr="00FB3DCC" w:rsidRDefault="00FB3DCC" w:rsidP="00FB3DC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Professionals (Chartered Accountants, Consultants, Doctors, etc.)</w:t>
      </w:r>
    </w:p>
    <w:p w:rsidR="00FB3DCC" w:rsidRPr="00FB3DCC" w:rsidRDefault="00FB3DCC" w:rsidP="00FB3DC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Self Employed Individuals, Proprietorships, Partners and Family concern business</w:t>
      </w:r>
    </w:p>
    <w:p w:rsidR="00FB3DCC" w:rsidRPr="00FB3DCC" w:rsidRDefault="00FB3DCC" w:rsidP="00FB3DC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Landlords, Housewives &amp; Retired Individuals with consistent Rental Income/Foreign Remittances.</w:t>
      </w:r>
    </w:p>
    <w:p w:rsidR="00FB3DCC" w:rsidRPr="00FB3DCC" w:rsidRDefault="00FB3DCC" w:rsidP="00FB3DCC">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Government / Semi Government employees and Employees of Armed Forces.</w:t>
      </w:r>
    </w:p>
    <w:p w:rsidR="00FB3DCC" w:rsidRDefault="00FB3DCC"/>
    <w:p w:rsidR="00FB3DCC" w:rsidRDefault="00FB3DCC">
      <w:r>
        <w:t>Eligibility Criteria</w:t>
      </w:r>
    </w:p>
    <w:p w:rsidR="00FB3DCC" w:rsidRDefault="00FB3DCC">
      <w:pPr>
        <w:rPr>
          <w:rFonts w:ascii="Tahoma" w:hAnsi="Tahoma" w:cs="Tahoma"/>
          <w:color w:val="6F7074"/>
          <w:shd w:val="clear" w:color="auto" w:fill="FFFFFF"/>
        </w:rPr>
      </w:pPr>
      <w:r>
        <w:rPr>
          <w:rFonts w:ascii="Tahoma" w:hAnsi="Tahoma" w:cs="Tahoma"/>
          <w:color w:val="6F7074"/>
          <w:shd w:val="clear" w:color="auto" w:fill="FFFFFF"/>
        </w:rPr>
        <w:t xml:space="preserve">The plan is available to all Bank </w:t>
      </w:r>
      <w:proofErr w:type="spellStart"/>
      <w:r>
        <w:rPr>
          <w:rFonts w:ascii="Tahoma" w:hAnsi="Tahoma" w:cs="Tahoma"/>
          <w:color w:val="6F7074"/>
          <w:shd w:val="clear" w:color="auto" w:fill="FFFFFF"/>
        </w:rPr>
        <w:t>Alfalah</w:t>
      </w:r>
      <w:proofErr w:type="spellEnd"/>
      <w:r>
        <w:rPr>
          <w:rFonts w:ascii="Tahoma" w:hAnsi="Tahoma" w:cs="Tahoma"/>
          <w:color w:val="6F7074"/>
          <w:shd w:val="clear" w:color="auto" w:fill="FFFFFF"/>
        </w:rPr>
        <w:t xml:space="preserve"> Limited customers between 18-65 Years.</w:t>
      </w:r>
    </w:p>
    <w:p w:rsidR="00FB3DCC" w:rsidRDefault="00FB3DCC">
      <w:pPr>
        <w:rPr>
          <w:rFonts w:ascii="Tahoma" w:hAnsi="Tahoma" w:cs="Tahoma"/>
          <w:color w:val="6F7074"/>
          <w:shd w:val="clear" w:color="auto" w:fill="FFFFFF"/>
        </w:rPr>
      </w:pPr>
    </w:p>
    <w:p w:rsidR="00FB3DCC" w:rsidRDefault="00FB3DCC">
      <w:pPr>
        <w:rPr>
          <w:rFonts w:ascii="Tahoma" w:hAnsi="Tahoma" w:cs="Tahoma"/>
          <w:color w:val="6F7074"/>
          <w:shd w:val="clear" w:color="auto" w:fill="FFFFFF"/>
        </w:rPr>
      </w:pPr>
      <w:r>
        <w:rPr>
          <w:rFonts w:ascii="Tahoma" w:hAnsi="Tahoma" w:cs="Tahoma"/>
          <w:color w:val="6F7074"/>
          <w:shd w:val="clear" w:color="auto" w:fill="FFFFFF"/>
        </w:rPr>
        <w:t>Documentation Required</w:t>
      </w:r>
    </w:p>
    <w:p w:rsidR="00FB3DCC" w:rsidRPr="00FB3DCC" w:rsidRDefault="00FB3DCC" w:rsidP="00FB3DC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Complete auto debit form with customer’s signatures.</w:t>
      </w:r>
    </w:p>
    <w:p w:rsidR="00FB3DCC" w:rsidRPr="00FB3DCC" w:rsidRDefault="00FB3DCC" w:rsidP="00FB3DC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 Copy of CNIC/NICOP/POC/Smart ID (original seen by Sales.</w:t>
      </w:r>
    </w:p>
    <w:p w:rsidR="00FB3DCC" w:rsidRPr="00FB3DCC" w:rsidRDefault="00FB3DCC" w:rsidP="00FB3DC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 Declaration form and T&amp;C signed by customers.</w:t>
      </w:r>
    </w:p>
    <w:p w:rsidR="00FB3DCC" w:rsidRPr="00FB3DCC" w:rsidRDefault="00FB3DCC" w:rsidP="00FB3DCC">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B3DCC">
        <w:rPr>
          <w:rFonts w:ascii="Tahoma" w:eastAsia="Times New Roman" w:hAnsi="Tahoma" w:cs="Tahoma"/>
          <w:color w:val="6F7074"/>
          <w:sz w:val="24"/>
          <w:szCs w:val="24"/>
        </w:rPr>
        <w:t>Suitability Assessment Form</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b/>
          <w:bCs/>
          <w:color w:val="6F7074"/>
          <w:sz w:val="24"/>
          <w:szCs w:val="24"/>
        </w:rPr>
        <w:lastRenderedPageBreak/>
        <w:t>Claims:</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At time of claims, the beneficiary needs to contact Jubilee Life at (021) 111-111-554 and submit the following documents.</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color w:val="6F7074"/>
          <w:sz w:val="24"/>
          <w:szCs w:val="24"/>
        </w:rPr>
        <w:t>• Original Policy Documents</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 Claim Forms A, B, C, D</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 Complete Medical /Treatment Record including all Clinical Notes at the onset of the treatment</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 Death Certificate issued by Hospital and NADRA</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 Attested CNIC of both the life assured and claimant(s)</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 Intimation wherein Date of death and Cause of death should be mentioned by the claimant</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color w:val="6F7074"/>
          <w:sz w:val="24"/>
          <w:szCs w:val="24"/>
        </w:rPr>
        <w:t>However, in case of Murder, Suicide or Accidental Death following mandatory requirements should also be added:</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color w:val="6F7074"/>
          <w:sz w:val="24"/>
          <w:szCs w:val="24"/>
        </w:rPr>
        <w:t>• Post Mortem/ Autopsy Report (Attested)</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 News Paper Cutting of the event (Attested)</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 Police First Information Report (FIR) (Attested)</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 Medico Legal Report (Attested)</w:t>
      </w:r>
    </w:p>
    <w:p w:rsidR="00FB3DCC" w:rsidRPr="00FB3DCC" w:rsidRDefault="00FB3DCC" w:rsidP="00FB3DCC">
      <w:pPr>
        <w:shd w:val="clear" w:color="auto" w:fill="FFFFFF"/>
        <w:spacing w:before="100" w:beforeAutospacing="1" w:after="100" w:afterAutospacing="1" w:line="240" w:lineRule="auto"/>
        <w:rPr>
          <w:rFonts w:ascii="Arial" w:eastAsia="Times New Roman" w:hAnsi="Arial" w:cs="Arial"/>
          <w:color w:val="6F7074"/>
          <w:sz w:val="24"/>
          <w:szCs w:val="24"/>
        </w:rPr>
      </w:pPr>
      <w:r w:rsidRPr="00FB3DCC">
        <w:rPr>
          <w:rFonts w:ascii="Tahoma" w:eastAsia="Times New Roman" w:hAnsi="Tahoma" w:cs="Tahoma"/>
          <w:color w:val="6F7074"/>
          <w:sz w:val="24"/>
          <w:szCs w:val="24"/>
        </w:rPr>
        <w:t>Note: Further requirements can be asked for depending on the case.</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Contact Details of Claims Department:</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Claims Department,</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Jubilee Life INSURANCE COMPANY LIMITED,</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 xml:space="preserve">74 / 1 – A, </w:t>
      </w:r>
      <w:proofErr w:type="spellStart"/>
      <w:r w:rsidRPr="00FB3DCC">
        <w:rPr>
          <w:rFonts w:ascii="Tahoma" w:eastAsia="Times New Roman" w:hAnsi="Tahoma" w:cs="Tahoma"/>
          <w:color w:val="6F7074"/>
          <w:sz w:val="24"/>
          <w:szCs w:val="24"/>
        </w:rPr>
        <w:t>Lalazar</w:t>
      </w:r>
      <w:proofErr w:type="spellEnd"/>
      <w:r w:rsidRPr="00FB3DCC">
        <w:rPr>
          <w:rFonts w:ascii="Tahoma" w:eastAsia="Times New Roman" w:hAnsi="Tahoma" w:cs="Tahoma"/>
          <w:color w:val="6F7074"/>
          <w:sz w:val="24"/>
          <w:szCs w:val="24"/>
        </w:rPr>
        <w:t>, M. T. Khan Road,</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Karachi – 74000, Pakistan</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Phone – Head Office: 92-21-35205095, 92-21-35205094 , 021-111-111-554</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Fax: 92-21-35610959</w:t>
      </w:r>
      <w:r w:rsidRPr="00FB3DCC">
        <w:rPr>
          <w:rFonts w:ascii="Arial" w:eastAsia="Times New Roman" w:hAnsi="Arial" w:cs="Arial"/>
          <w:color w:val="6F7074"/>
          <w:sz w:val="24"/>
          <w:szCs w:val="24"/>
        </w:rPr>
        <w:br/>
      </w:r>
      <w:r w:rsidRPr="00FB3DCC">
        <w:rPr>
          <w:rFonts w:ascii="Tahoma" w:eastAsia="Times New Roman" w:hAnsi="Tahoma" w:cs="Tahoma"/>
          <w:color w:val="6F7074"/>
          <w:sz w:val="24"/>
          <w:szCs w:val="24"/>
        </w:rPr>
        <w:t>E-Mail: </w:t>
      </w:r>
      <w:hyperlink r:id="rId7" w:history="1">
        <w:r w:rsidRPr="00FB3DCC">
          <w:rPr>
            <w:rFonts w:ascii="Tahoma" w:eastAsia="Times New Roman" w:hAnsi="Tahoma" w:cs="Tahoma"/>
            <w:color w:val="C41000"/>
            <w:sz w:val="24"/>
            <w:szCs w:val="24"/>
            <w:u w:val="single"/>
          </w:rPr>
          <w:t>info@jubileelife.com</w:t>
        </w:r>
      </w:hyperlink>
    </w:p>
    <w:p w:rsidR="00FB3DCC" w:rsidRDefault="00FB3DCC"/>
    <w:p w:rsidR="00FB3DCC" w:rsidRDefault="00FB3DCC">
      <w:r>
        <w:t>Associated</w:t>
      </w:r>
      <w:bookmarkStart w:id="0" w:name="_GoBack"/>
      <w:bookmarkEnd w:id="0"/>
      <w:r>
        <w:t xml:space="preserve"> Charges </w:t>
      </w:r>
    </w:p>
    <w:p w:rsidR="00FB3DCC" w:rsidRDefault="00FB3DCC">
      <w:r>
        <w:rPr>
          <w:rFonts w:ascii="Tahoma" w:hAnsi="Tahoma" w:cs="Tahoma"/>
          <w:color w:val="6F7074"/>
          <w:shd w:val="clear" w:color="auto" w:fill="FFFFFF"/>
        </w:rPr>
        <w:t>Policy Fee = PKR 250 on every Annual Premium Payment</w:t>
      </w:r>
    </w:p>
    <w:sectPr w:rsidR="00FB3D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DCC" w:rsidRDefault="00FB3DCC" w:rsidP="00FB3DCC">
      <w:pPr>
        <w:spacing w:after="0" w:line="240" w:lineRule="auto"/>
      </w:pPr>
      <w:r>
        <w:separator/>
      </w:r>
    </w:p>
  </w:endnote>
  <w:endnote w:type="continuationSeparator" w:id="0">
    <w:p w:rsidR="00FB3DCC" w:rsidRDefault="00FB3DCC" w:rsidP="00FB3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CC" w:rsidRDefault="00FB3D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CC" w:rsidRDefault="00FB3DC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061c4fecaaa8db02ed7dbdca"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B3DCC" w:rsidRPr="00FB3DCC" w:rsidRDefault="00FB3DCC" w:rsidP="00FB3DCC">
                          <w:pPr>
                            <w:spacing w:after="0"/>
                            <w:rPr>
                              <w:rFonts w:ascii="Calibri" w:hAnsi="Calibri" w:cs="Calibri"/>
                              <w:color w:val="000000"/>
                              <w:sz w:val="14"/>
                            </w:rPr>
                          </w:pPr>
                          <w:r w:rsidRPr="00FB3DCC">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61c4fecaaa8db02ed7dbdca"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yF0J+h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FB3DCC" w:rsidRPr="00FB3DCC" w:rsidRDefault="00FB3DCC" w:rsidP="00FB3DCC">
                    <w:pPr>
                      <w:spacing w:after="0"/>
                      <w:rPr>
                        <w:rFonts w:ascii="Calibri" w:hAnsi="Calibri" w:cs="Calibri"/>
                        <w:color w:val="000000"/>
                        <w:sz w:val="14"/>
                      </w:rPr>
                    </w:pPr>
                    <w:r w:rsidRPr="00FB3DCC">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CC" w:rsidRDefault="00FB3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DCC" w:rsidRDefault="00FB3DCC" w:rsidP="00FB3DCC">
      <w:pPr>
        <w:spacing w:after="0" w:line="240" w:lineRule="auto"/>
      </w:pPr>
      <w:r>
        <w:separator/>
      </w:r>
    </w:p>
  </w:footnote>
  <w:footnote w:type="continuationSeparator" w:id="0">
    <w:p w:rsidR="00FB3DCC" w:rsidRDefault="00FB3DCC" w:rsidP="00FB3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CC" w:rsidRDefault="00FB3D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CC" w:rsidRDefault="00FB3D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CC" w:rsidRDefault="00FB3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A694F"/>
    <w:multiLevelType w:val="multilevel"/>
    <w:tmpl w:val="7384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64606"/>
    <w:multiLevelType w:val="multilevel"/>
    <w:tmpl w:val="2A9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0571D8"/>
    <w:multiLevelType w:val="multilevel"/>
    <w:tmpl w:val="819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DCC"/>
    <w:rsid w:val="00FB3DCC"/>
    <w:rsid w:val="00FC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EE31A"/>
  <w15:chartTrackingRefBased/>
  <w15:docId w15:val="{D446ECAD-B6FA-47CF-9BC6-18585103F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3D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DCC"/>
    <w:rPr>
      <w:b/>
      <w:bCs/>
    </w:rPr>
  </w:style>
  <w:style w:type="character" w:styleId="Hyperlink">
    <w:name w:val="Hyperlink"/>
    <w:basedOn w:val="DefaultParagraphFont"/>
    <w:uiPriority w:val="99"/>
    <w:semiHidden/>
    <w:unhideWhenUsed/>
    <w:rsid w:val="00FB3DCC"/>
    <w:rPr>
      <w:color w:val="0000FF"/>
      <w:u w:val="single"/>
    </w:rPr>
  </w:style>
  <w:style w:type="paragraph" w:styleId="Header">
    <w:name w:val="header"/>
    <w:basedOn w:val="Normal"/>
    <w:link w:val="HeaderChar"/>
    <w:uiPriority w:val="99"/>
    <w:unhideWhenUsed/>
    <w:rsid w:val="00FB3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DCC"/>
  </w:style>
  <w:style w:type="paragraph" w:styleId="Footer">
    <w:name w:val="footer"/>
    <w:basedOn w:val="Normal"/>
    <w:link w:val="FooterChar"/>
    <w:uiPriority w:val="99"/>
    <w:unhideWhenUsed/>
    <w:rsid w:val="00FB3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180466">
      <w:bodyDiv w:val="1"/>
      <w:marLeft w:val="0"/>
      <w:marRight w:val="0"/>
      <w:marTop w:val="0"/>
      <w:marBottom w:val="0"/>
      <w:divBdr>
        <w:top w:val="none" w:sz="0" w:space="0" w:color="auto"/>
        <w:left w:val="none" w:sz="0" w:space="0" w:color="auto"/>
        <w:bottom w:val="none" w:sz="0" w:space="0" w:color="auto"/>
        <w:right w:val="none" w:sz="0" w:space="0" w:color="auto"/>
      </w:divBdr>
    </w:div>
    <w:div w:id="659040236">
      <w:bodyDiv w:val="1"/>
      <w:marLeft w:val="0"/>
      <w:marRight w:val="0"/>
      <w:marTop w:val="0"/>
      <w:marBottom w:val="0"/>
      <w:divBdr>
        <w:top w:val="none" w:sz="0" w:space="0" w:color="auto"/>
        <w:left w:val="none" w:sz="0" w:space="0" w:color="auto"/>
        <w:bottom w:val="none" w:sz="0" w:space="0" w:color="auto"/>
        <w:right w:val="none" w:sz="0" w:space="0" w:color="auto"/>
      </w:divBdr>
    </w:div>
    <w:div w:id="786122290">
      <w:bodyDiv w:val="1"/>
      <w:marLeft w:val="0"/>
      <w:marRight w:val="0"/>
      <w:marTop w:val="0"/>
      <w:marBottom w:val="0"/>
      <w:divBdr>
        <w:top w:val="none" w:sz="0" w:space="0" w:color="auto"/>
        <w:left w:val="none" w:sz="0" w:space="0" w:color="auto"/>
        <w:bottom w:val="none" w:sz="0" w:space="0" w:color="auto"/>
        <w:right w:val="none" w:sz="0" w:space="0" w:color="auto"/>
      </w:divBdr>
    </w:div>
    <w:div w:id="84393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nfo@jubileelif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2024-09-27T10:35:00Z</dcterms:created>
  <dcterms:modified xsi:type="dcterms:W3CDTF">2024-09-27T10:37:00Z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2024-09-27T10:37:09Z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259b0c98-a6aa-497e-8d21-e4db27a5197f</vt:lpwstr>
  </property>
  <property fmtid="{D5CDD505-2E9C-101B-9397-08002B2CF9AE}" pid="8" name="MSIP_Label_4f2c76d5-45ba-4a63-8701-27a8aa3796e4_ContentBits">
    <vt:lpwstr>2</vt:lpwstr>
  </property>
</Properties>
</file>