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264" w:rsidRDefault="004F51C5">
      <w:r>
        <w:t>Product Features</w:t>
      </w:r>
    </w:p>
    <w:p w:rsidR="004F51C5" w:rsidRPr="004F51C5" w:rsidRDefault="004F51C5" w:rsidP="004F51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A saving and protection plan (Underwritten by Jubilee Life Insurance) to assist customers in planning for their retirement:</w:t>
      </w:r>
    </w:p>
    <w:p w:rsidR="004F51C5" w:rsidRPr="004F51C5" w:rsidRDefault="004F51C5" w:rsidP="004F51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F51C5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Features/ Benefits:</w:t>
      </w:r>
      <w:r w:rsidRPr="004F51C5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br/>
      </w:r>
    </w:p>
    <w:tbl>
      <w:tblPr>
        <w:tblpPr w:leftFromText="36" w:rightFromText="36" w:vertAnchor="text"/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18530"/>
      </w:tblGrid>
      <w:tr w:rsidR="004F51C5" w:rsidRPr="004F51C5" w:rsidTr="004F51C5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Unit Linked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It provides life cover as well as a return on investment.</w:t>
            </w:r>
          </w:p>
        </w:tc>
      </w:tr>
      <w:tr w:rsidR="004F51C5" w:rsidRPr="004F51C5" w:rsidTr="004F51C5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Contributions Management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Offers the flexibility to direct customer contributions in part or whole to any of the following funds</w:t>
            </w:r>
          </w:p>
          <w:p w:rsidR="004F51C5" w:rsidRPr="004F51C5" w:rsidRDefault="004F51C5" w:rsidP="004F51C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Managed Fund</w:t>
            </w:r>
          </w:p>
          <w:p w:rsidR="004F51C5" w:rsidRPr="004F51C5" w:rsidRDefault="004F51C5" w:rsidP="004F51C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Meesaq</w:t>
            </w:r>
            <w:proofErr w:type="spellEnd"/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 xml:space="preserve"> Fund</w:t>
            </w:r>
          </w:p>
          <w:p w:rsidR="004F51C5" w:rsidRPr="004F51C5" w:rsidRDefault="004F51C5" w:rsidP="004F51C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Capital Growth Fund</w:t>
            </w:r>
          </w:p>
          <w:p w:rsidR="004F51C5" w:rsidRPr="004F51C5" w:rsidRDefault="004F51C5" w:rsidP="004F51C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Yaqeen</w:t>
            </w:r>
            <w:proofErr w:type="spellEnd"/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 xml:space="preserve"> Growth Fund</w:t>
            </w:r>
          </w:p>
        </w:tc>
      </w:tr>
      <w:tr w:rsidR="004F51C5" w:rsidRPr="004F51C5" w:rsidTr="004F51C5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Death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 xml:space="preserve">5 times of Annualized Premium. Sum Assured should not exceed 500,000. The beneficiaries will receive sum assured </w:t>
            </w:r>
            <w:proofErr w:type="gramStart"/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plus</w:t>
            </w:r>
            <w:proofErr w:type="gramEnd"/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 xml:space="preserve"> basic plan premiums paid or cash value, whichever is higher.</w:t>
            </w:r>
          </w:p>
        </w:tc>
      </w:tr>
      <w:tr w:rsidR="004F51C5" w:rsidRPr="004F51C5" w:rsidTr="004F51C5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Maturity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 xml:space="preserve">At the end of the term of the plan, the </w:t>
            </w:r>
            <w:proofErr w:type="gramStart"/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policy holder</w:t>
            </w:r>
            <w:proofErr w:type="gramEnd"/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 xml:space="preserve"> will receive the Cash Value accumulated during the term of the plan.</w:t>
            </w:r>
          </w:p>
        </w:tc>
      </w:tr>
      <w:tr w:rsidR="004F51C5" w:rsidRPr="004F51C5" w:rsidTr="004F51C5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Optional Riders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Accidental Death</w:t>
            </w:r>
          </w:p>
        </w:tc>
      </w:tr>
      <w:tr w:rsidR="004F51C5" w:rsidRPr="004F51C5" w:rsidTr="004F51C5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Free Look Period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Customer can cancel the policy within a Free Look Period of 14 days from receipt of the documents, they are entitled for a full refund of premium less any expenses incurred by Jubilee Life in connection with your medical or clinical examinations</w:t>
            </w:r>
          </w:p>
        </w:tc>
      </w:tr>
    </w:tbl>
    <w:p w:rsidR="004F51C5" w:rsidRPr="004F51C5" w:rsidRDefault="004F51C5" w:rsidP="004F51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F51C5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Variants:</w:t>
      </w:r>
      <w:r w:rsidRPr="004F51C5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br/>
      </w:r>
    </w:p>
    <w:p w:rsidR="004F51C5" w:rsidRPr="004F51C5" w:rsidRDefault="004F51C5" w:rsidP="004F51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Free 14-day look period to review policy terms and conditions</w:t>
      </w:r>
    </w:p>
    <w:p w:rsidR="004F51C5" w:rsidRPr="004F51C5" w:rsidRDefault="004F51C5" w:rsidP="004F51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Customer can select sum assured of his own choice.</w:t>
      </w:r>
    </w:p>
    <w:p w:rsidR="004F51C5" w:rsidRPr="004F51C5" w:rsidRDefault="004F51C5" w:rsidP="004F51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 xml:space="preserve">Additional rider’s </w:t>
      </w:r>
      <w:proofErr w:type="gramStart"/>
      <w:r w:rsidRPr="004F51C5">
        <w:rPr>
          <w:rFonts w:ascii="Tahoma" w:eastAsia="Times New Roman" w:hAnsi="Tahoma" w:cs="Tahoma"/>
          <w:color w:val="6F7074"/>
          <w:sz w:val="24"/>
          <w:szCs w:val="24"/>
        </w:rPr>
        <w:t>is provided</w:t>
      </w:r>
      <w:proofErr w:type="gramEnd"/>
      <w:r w:rsidRPr="004F51C5">
        <w:rPr>
          <w:rFonts w:ascii="Tahoma" w:eastAsia="Times New Roman" w:hAnsi="Tahoma" w:cs="Tahoma"/>
          <w:color w:val="6F7074"/>
          <w:sz w:val="24"/>
          <w:szCs w:val="24"/>
        </w:rPr>
        <w:t xml:space="preserve"> to cover customers against unforeseen risks and hazards.</w:t>
      </w:r>
    </w:p>
    <w:p w:rsidR="004F51C5" w:rsidRPr="004F51C5" w:rsidRDefault="004F51C5" w:rsidP="004F51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F51C5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Term of Plan:</w:t>
      </w:r>
    </w:p>
    <w:p w:rsidR="004F51C5" w:rsidRPr="004F51C5" w:rsidRDefault="004F51C5" w:rsidP="004F51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Minimum Term: 10 years</w:t>
      </w:r>
      <w:r w:rsidRPr="004F51C5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4F51C5">
        <w:rPr>
          <w:rFonts w:ascii="Tahoma" w:eastAsia="Times New Roman" w:hAnsi="Tahoma" w:cs="Tahoma"/>
          <w:color w:val="6F7074"/>
          <w:sz w:val="24"/>
          <w:szCs w:val="24"/>
        </w:rPr>
        <w:t>Maximum Term: 47 years</w:t>
      </w:r>
    </w:p>
    <w:p w:rsidR="004F51C5" w:rsidRPr="004F51C5" w:rsidRDefault="004F51C5" w:rsidP="004F51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F51C5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Payment Frequency:</w:t>
      </w:r>
    </w:p>
    <w:p w:rsidR="004F51C5" w:rsidRPr="004F51C5" w:rsidRDefault="004F51C5" w:rsidP="004F51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Payments can be made annually, semi-annually, quarterly or monthly.</w:t>
      </w:r>
    </w:p>
    <w:p w:rsidR="004F51C5" w:rsidRPr="004F51C5" w:rsidRDefault="004F51C5" w:rsidP="004F51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 xml:space="preserve">Given below is a breakdown of the minimum premium contributions that </w:t>
      </w:r>
      <w:proofErr w:type="gramStart"/>
      <w:r w:rsidRPr="004F51C5">
        <w:rPr>
          <w:rFonts w:ascii="Tahoma" w:eastAsia="Times New Roman" w:hAnsi="Tahoma" w:cs="Tahoma"/>
          <w:color w:val="6F7074"/>
          <w:sz w:val="24"/>
          <w:szCs w:val="24"/>
        </w:rPr>
        <w:t>can be made</w:t>
      </w:r>
      <w:proofErr w:type="gramEnd"/>
      <w:r w:rsidRPr="004F51C5">
        <w:rPr>
          <w:rFonts w:ascii="Tahoma" w:eastAsia="Times New Roman" w:hAnsi="Tahoma" w:cs="Tahoma"/>
          <w:color w:val="6F7074"/>
          <w:sz w:val="24"/>
          <w:szCs w:val="24"/>
        </w:rPr>
        <w:t>: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3"/>
        <w:gridCol w:w="10747"/>
      </w:tblGrid>
      <w:tr w:rsidR="004F51C5" w:rsidRPr="004F51C5" w:rsidTr="004F51C5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Yearly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. 36,000</w:t>
            </w:r>
          </w:p>
        </w:tc>
      </w:tr>
      <w:tr w:rsidR="004F51C5" w:rsidRPr="004F51C5" w:rsidTr="004F51C5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Half Yearly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. 18,000</w:t>
            </w:r>
          </w:p>
        </w:tc>
      </w:tr>
      <w:tr w:rsidR="004F51C5" w:rsidRPr="004F51C5" w:rsidTr="004F51C5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Quarterly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. 9,000</w:t>
            </w:r>
          </w:p>
        </w:tc>
      </w:tr>
      <w:tr w:rsidR="004F51C5" w:rsidRPr="004F51C5" w:rsidTr="004F51C5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Monthly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. 5,000</w:t>
            </w:r>
          </w:p>
        </w:tc>
      </w:tr>
    </w:tbl>
    <w:p w:rsidR="004F51C5" w:rsidRPr="004F51C5" w:rsidRDefault="004F51C5" w:rsidP="004F51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F51C5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lastRenderedPageBreak/>
        <w:t>Tax Free Growth:</w:t>
      </w:r>
      <w:r w:rsidRPr="004F51C5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br/>
      </w:r>
    </w:p>
    <w:p w:rsidR="004F51C5" w:rsidRPr="004F51C5" w:rsidRDefault="004F51C5" w:rsidP="004F51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 xml:space="preserve">Savings </w:t>
      </w:r>
      <w:proofErr w:type="gramStart"/>
      <w:r w:rsidRPr="004F51C5">
        <w:rPr>
          <w:rFonts w:ascii="Tahoma" w:eastAsia="Times New Roman" w:hAnsi="Tahoma" w:cs="Tahoma"/>
          <w:color w:val="6F7074"/>
          <w:sz w:val="24"/>
          <w:szCs w:val="24"/>
        </w:rPr>
        <w:t>are exempted</w:t>
      </w:r>
      <w:proofErr w:type="gramEnd"/>
      <w:r w:rsidRPr="004F51C5">
        <w:rPr>
          <w:rFonts w:ascii="Tahoma" w:eastAsia="Times New Roman" w:hAnsi="Tahoma" w:cs="Tahoma"/>
          <w:color w:val="6F7074"/>
          <w:sz w:val="24"/>
          <w:szCs w:val="24"/>
        </w:rPr>
        <w:t xml:space="preserve"> from taxation; however, Zakat is levied in case of maturity or surrender.</w:t>
      </w:r>
    </w:p>
    <w:p w:rsidR="004F51C5" w:rsidRPr="004F51C5" w:rsidRDefault="004F51C5" w:rsidP="004F51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F51C5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Annual Contribution:</w:t>
      </w:r>
    </w:p>
    <w:p w:rsidR="004F51C5" w:rsidRPr="004F51C5" w:rsidRDefault="004F51C5" w:rsidP="004F51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The minimum annual contribution is PKR 36,000/-.</w:t>
      </w:r>
    </w:p>
    <w:p w:rsidR="004F51C5" w:rsidRPr="004F51C5" w:rsidRDefault="004F51C5" w:rsidP="004F51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F51C5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Unit Allocation:</w:t>
      </w:r>
    </w:p>
    <w:p w:rsidR="004F51C5" w:rsidRPr="004F51C5" w:rsidRDefault="004F51C5" w:rsidP="004F51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The allocation of the annual basic plan premium to buy units in the chosen funds is as follow:</w:t>
      </w:r>
    </w:p>
    <w:tbl>
      <w:tblPr>
        <w:tblpPr w:leftFromText="36" w:rightFromText="36" w:vertAnchor="text"/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5"/>
        <w:gridCol w:w="11865"/>
      </w:tblGrid>
      <w:tr w:rsidR="004F51C5" w:rsidRPr="004F51C5" w:rsidTr="004F51C5">
        <w:tc>
          <w:tcPr>
            <w:tcW w:w="20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Membership   Year</w:t>
            </w:r>
          </w:p>
        </w:tc>
        <w:tc>
          <w:tcPr>
            <w:tcW w:w="27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Allocation   Percentage</w:t>
            </w:r>
          </w:p>
        </w:tc>
      </w:tr>
      <w:tr w:rsidR="004F51C5" w:rsidRPr="004F51C5" w:rsidTr="004F51C5">
        <w:tc>
          <w:tcPr>
            <w:tcW w:w="20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Year  1</w:t>
            </w:r>
          </w:p>
        </w:tc>
        <w:tc>
          <w:tcPr>
            <w:tcW w:w="27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60%</w:t>
            </w:r>
          </w:p>
        </w:tc>
      </w:tr>
      <w:tr w:rsidR="004F51C5" w:rsidRPr="004F51C5" w:rsidTr="004F51C5">
        <w:tc>
          <w:tcPr>
            <w:tcW w:w="20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Year  2</w:t>
            </w:r>
          </w:p>
        </w:tc>
        <w:tc>
          <w:tcPr>
            <w:tcW w:w="27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80%</w:t>
            </w:r>
          </w:p>
        </w:tc>
      </w:tr>
      <w:tr w:rsidR="004F51C5" w:rsidRPr="004F51C5" w:rsidTr="004F51C5">
        <w:tc>
          <w:tcPr>
            <w:tcW w:w="20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Year  3</w:t>
            </w:r>
          </w:p>
        </w:tc>
        <w:tc>
          <w:tcPr>
            <w:tcW w:w="27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90%</w:t>
            </w:r>
          </w:p>
        </w:tc>
      </w:tr>
      <w:tr w:rsidR="004F51C5" w:rsidRPr="004F51C5" w:rsidTr="004F51C5">
        <w:tc>
          <w:tcPr>
            <w:tcW w:w="20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Year  4 &amp; onwards</w:t>
            </w:r>
          </w:p>
        </w:tc>
        <w:tc>
          <w:tcPr>
            <w:tcW w:w="27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100%</w:t>
            </w:r>
          </w:p>
        </w:tc>
      </w:tr>
      <w:tr w:rsidR="004F51C5" w:rsidRPr="004F51C5" w:rsidTr="004F51C5">
        <w:tc>
          <w:tcPr>
            <w:tcW w:w="20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Bonus Allocation</w:t>
            </w:r>
          </w:p>
        </w:tc>
      </w:tr>
      <w:tr w:rsidR="004F51C5" w:rsidRPr="004F51C5" w:rsidTr="004F51C5">
        <w:tc>
          <w:tcPr>
            <w:tcW w:w="20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Year 6 &amp; onwards</w:t>
            </w:r>
          </w:p>
        </w:tc>
        <w:tc>
          <w:tcPr>
            <w:tcW w:w="27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3%</w:t>
            </w:r>
          </w:p>
        </w:tc>
      </w:tr>
      <w:tr w:rsidR="004F51C5" w:rsidRPr="004F51C5" w:rsidTr="004F51C5">
        <w:tc>
          <w:tcPr>
            <w:tcW w:w="20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Adhoc</w:t>
            </w:r>
            <w:proofErr w:type="spellEnd"/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 xml:space="preserve">   premium</w:t>
            </w:r>
          </w:p>
        </w:tc>
        <w:tc>
          <w:tcPr>
            <w:tcW w:w="27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51C5" w:rsidRPr="004F51C5" w:rsidRDefault="004F51C5" w:rsidP="004F51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F51C5">
              <w:rPr>
                <w:rFonts w:ascii="Tahoma" w:eastAsia="Times New Roman" w:hAnsi="Tahoma" w:cs="Tahoma"/>
                <w:sz w:val="24"/>
                <w:szCs w:val="24"/>
              </w:rPr>
              <w:t>100%</w:t>
            </w:r>
          </w:p>
        </w:tc>
      </w:tr>
    </w:tbl>
    <w:p w:rsidR="004F51C5" w:rsidRDefault="004F51C5"/>
    <w:p w:rsidR="004F51C5" w:rsidRDefault="004F51C5">
      <w:r>
        <w:t>Target Market</w:t>
      </w:r>
    </w:p>
    <w:p w:rsidR="004F51C5" w:rsidRDefault="004F51C5" w:rsidP="004F51C5">
      <w:pPr>
        <w:pStyle w:val="NormalWeb"/>
        <w:numPr>
          <w:ilvl w:val="0"/>
          <w:numId w:val="3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Salaried Individuals</w:t>
      </w:r>
    </w:p>
    <w:p w:rsidR="004F51C5" w:rsidRDefault="004F51C5" w:rsidP="004F51C5">
      <w:pPr>
        <w:pStyle w:val="NormalWeb"/>
        <w:numPr>
          <w:ilvl w:val="0"/>
          <w:numId w:val="3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Professionals (Chartered Accountants, Consultants, Doctors, etc.)</w:t>
      </w:r>
    </w:p>
    <w:p w:rsidR="004F51C5" w:rsidRDefault="004F51C5" w:rsidP="004F51C5">
      <w:pPr>
        <w:pStyle w:val="NormalWeb"/>
        <w:numPr>
          <w:ilvl w:val="0"/>
          <w:numId w:val="3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Self Employed Individuals, Proprietorships, Partners and Family concern business</w:t>
      </w:r>
    </w:p>
    <w:p w:rsidR="004F51C5" w:rsidRDefault="004F51C5" w:rsidP="004F51C5">
      <w:pPr>
        <w:pStyle w:val="NormalWeb"/>
        <w:numPr>
          <w:ilvl w:val="0"/>
          <w:numId w:val="3"/>
        </w:numPr>
        <w:shd w:val="clear" w:color="auto" w:fill="FFFFFF"/>
        <w:ind w:left="0"/>
        <w:rPr>
          <w:rFonts w:ascii="Arial" w:hAnsi="Arial" w:cs="Arial"/>
          <w:color w:val="6F7074"/>
        </w:rPr>
      </w:pPr>
      <w:proofErr w:type="gramStart"/>
      <w:r>
        <w:rPr>
          <w:rFonts w:ascii="Tahoma" w:hAnsi="Tahoma" w:cs="Tahoma"/>
          <w:color w:val="6F7074"/>
        </w:rPr>
        <w:t>Landlords</w:t>
      </w:r>
      <w:proofErr w:type="gramEnd"/>
      <w:r>
        <w:rPr>
          <w:rFonts w:ascii="Tahoma" w:hAnsi="Tahoma" w:cs="Tahoma"/>
          <w:color w:val="6F7074"/>
        </w:rPr>
        <w:t>, Housewives &amp; Retired Individuals with consistent Rental Income/Foreign Remittances.</w:t>
      </w:r>
    </w:p>
    <w:p w:rsidR="004F51C5" w:rsidRDefault="004F51C5" w:rsidP="004F51C5">
      <w:pPr>
        <w:pStyle w:val="NormalWeb"/>
        <w:numPr>
          <w:ilvl w:val="0"/>
          <w:numId w:val="3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Government / Semi Government employees and Employees of Armed Forces.</w:t>
      </w:r>
    </w:p>
    <w:p w:rsidR="004F51C5" w:rsidRDefault="004F51C5">
      <w:r>
        <w:t>Eligibility Criteria</w:t>
      </w:r>
    </w:p>
    <w:p w:rsidR="004F51C5" w:rsidRDefault="004F51C5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 xml:space="preserve">The plan is available to all Bank </w:t>
      </w:r>
      <w:proofErr w:type="spellStart"/>
      <w:r>
        <w:rPr>
          <w:rFonts w:ascii="Tahoma" w:hAnsi="Tahoma" w:cs="Tahoma"/>
          <w:color w:val="6F7074"/>
          <w:shd w:val="clear" w:color="auto" w:fill="FFFFFF"/>
        </w:rPr>
        <w:t>Alfalah</w:t>
      </w:r>
      <w:proofErr w:type="spellEnd"/>
      <w:r>
        <w:rPr>
          <w:rFonts w:ascii="Tahoma" w:hAnsi="Tahoma" w:cs="Tahoma"/>
          <w:color w:val="6F7074"/>
          <w:shd w:val="clear" w:color="auto" w:fill="FFFFFF"/>
        </w:rPr>
        <w:t xml:space="preserve"> Limited customers between 18 to 50 years of age.</w:t>
      </w:r>
    </w:p>
    <w:p w:rsidR="004F51C5" w:rsidRDefault="004F51C5">
      <w:pPr>
        <w:rPr>
          <w:rFonts w:ascii="Tahoma" w:hAnsi="Tahoma" w:cs="Tahoma"/>
          <w:color w:val="6F7074"/>
          <w:shd w:val="clear" w:color="auto" w:fill="FFFFFF"/>
        </w:rPr>
      </w:pPr>
    </w:p>
    <w:p w:rsidR="004F51C5" w:rsidRDefault="004F51C5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Documentation Required</w:t>
      </w:r>
    </w:p>
    <w:p w:rsidR="004F51C5" w:rsidRPr="004F51C5" w:rsidRDefault="004F51C5" w:rsidP="004F51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F51C5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Documentation:</w:t>
      </w:r>
    </w:p>
    <w:p w:rsidR="004F51C5" w:rsidRPr="004F51C5" w:rsidRDefault="004F51C5" w:rsidP="004F51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Complete auto debit form with customer’s signatures,</w:t>
      </w:r>
    </w:p>
    <w:p w:rsidR="004F51C5" w:rsidRPr="004F51C5" w:rsidRDefault="004F51C5" w:rsidP="004F51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Copy of CNIC/NICOP/POC/Smart ID (original seen by Sales)</w:t>
      </w:r>
    </w:p>
    <w:p w:rsidR="004F51C5" w:rsidRPr="004F51C5" w:rsidRDefault="004F51C5" w:rsidP="004F51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lastRenderedPageBreak/>
        <w:t>Declaration form and T&amp;C signed by customers.</w:t>
      </w:r>
    </w:p>
    <w:p w:rsidR="004F51C5" w:rsidRPr="004F51C5" w:rsidRDefault="004F51C5" w:rsidP="004F51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F51C5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Claims:</w:t>
      </w:r>
    </w:p>
    <w:p w:rsidR="004F51C5" w:rsidRPr="004F51C5" w:rsidRDefault="004F51C5" w:rsidP="004F51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At time of claims, the beneficiary needs to contact Jubilee Life at (021) 111-111-554 and submit the following documents.</w:t>
      </w:r>
    </w:p>
    <w:p w:rsidR="004F51C5" w:rsidRPr="004F51C5" w:rsidRDefault="004F51C5" w:rsidP="004F5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Original Policy Documents</w:t>
      </w:r>
    </w:p>
    <w:p w:rsidR="004F51C5" w:rsidRPr="004F51C5" w:rsidRDefault="004F51C5" w:rsidP="004F5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Claim Forms A, B, C, D</w:t>
      </w:r>
    </w:p>
    <w:p w:rsidR="004F51C5" w:rsidRPr="004F51C5" w:rsidRDefault="004F51C5" w:rsidP="004F5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Complete  Medical /Treatment Record including all Clinical Notes at the onset of the treatment</w:t>
      </w:r>
    </w:p>
    <w:p w:rsidR="004F51C5" w:rsidRPr="004F51C5" w:rsidRDefault="004F51C5" w:rsidP="004F5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Death Certificate issued by Hospital and NADRA</w:t>
      </w:r>
    </w:p>
    <w:p w:rsidR="004F51C5" w:rsidRPr="004F51C5" w:rsidRDefault="004F51C5" w:rsidP="004F5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Attested CNIC of both the life assured and claimant(s)</w:t>
      </w:r>
    </w:p>
    <w:p w:rsidR="004F51C5" w:rsidRPr="004F51C5" w:rsidRDefault="004F51C5" w:rsidP="004F5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Intimation wherein Date of death and Cause of death should be mentioned by the claimant</w:t>
      </w:r>
    </w:p>
    <w:p w:rsidR="004F51C5" w:rsidRPr="004F51C5" w:rsidRDefault="004F51C5" w:rsidP="004F51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 xml:space="preserve">However, in case of Murder, Suicide or Accidental Death following mandatory requirements </w:t>
      </w:r>
      <w:proofErr w:type="gramStart"/>
      <w:r w:rsidRPr="004F51C5">
        <w:rPr>
          <w:rFonts w:ascii="Tahoma" w:eastAsia="Times New Roman" w:hAnsi="Tahoma" w:cs="Tahoma"/>
          <w:color w:val="6F7074"/>
          <w:sz w:val="24"/>
          <w:szCs w:val="24"/>
        </w:rPr>
        <w:t>should also be added</w:t>
      </w:r>
      <w:proofErr w:type="gramEnd"/>
      <w:r w:rsidRPr="004F51C5">
        <w:rPr>
          <w:rFonts w:ascii="Tahoma" w:eastAsia="Times New Roman" w:hAnsi="Tahoma" w:cs="Tahoma"/>
          <w:color w:val="6F7074"/>
          <w:sz w:val="24"/>
          <w:szCs w:val="24"/>
        </w:rPr>
        <w:t>:</w:t>
      </w:r>
    </w:p>
    <w:p w:rsidR="004F51C5" w:rsidRPr="004F51C5" w:rsidRDefault="004F51C5" w:rsidP="004F51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Post Mortem/ Autopsy Report (Attested)</w:t>
      </w:r>
    </w:p>
    <w:p w:rsidR="004F51C5" w:rsidRPr="004F51C5" w:rsidRDefault="004F51C5" w:rsidP="004F51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News Paper Cutting of the event (Attested)</w:t>
      </w:r>
    </w:p>
    <w:p w:rsidR="004F51C5" w:rsidRPr="004F51C5" w:rsidRDefault="004F51C5" w:rsidP="004F51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Police First Information Report (FIR) (Attested)</w:t>
      </w:r>
    </w:p>
    <w:p w:rsidR="004F51C5" w:rsidRPr="004F51C5" w:rsidRDefault="004F51C5" w:rsidP="004F51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Medico Legal Report (Attested)</w:t>
      </w:r>
    </w:p>
    <w:p w:rsidR="004F51C5" w:rsidRPr="004F51C5" w:rsidRDefault="004F51C5" w:rsidP="004F51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 xml:space="preserve">Note: Further requirements </w:t>
      </w:r>
      <w:proofErr w:type="gramStart"/>
      <w:r w:rsidRPr="004F51C5">
        <w:rPr>
          <w:rFonts w:ascii="Tahoma" w:eastAsia="Times New Roman" w:hAnsi="Tahoma" w:cs="Tahoma"/>
          <w:color w:val="6F7074"/>
          <w:sz w:val="24"/>
          <w:szCs w:val="24"/>
        </w:rPr>
        <w:t>can be asked for</w:t>
      </w:r>
      <w:proofErr w:type="gramEnd"/>
      <w:r w:rsidRPr="004F51C5">
        <w:rPr>
          <w:rFonts w:ascii="Tahoma" w:eastAsia="Times New Roman" w:hAnsi="Tahoma" w:cs="Tahoma"/>
          <w:color w:val="6F7074"/>
          <w:sz w:val="24"/>
          <w:szCs w:val="24"/>
        </w:rPr>
        <w:t xml:space="preserve"> depending on the case.</w:t>
      </w:r>
    </w:p>
    <w:p w:rsidR="004F51C5" w:rsidRPr="004F51C5" w:rsidRDefault="004F51C5" w:rsidP="004F51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Claims Department,</w:t>
      </w:r>
      <w:r w:rsidRPr="004F51C5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4F51C5">
        <w:rPr>
          <w:rFonts w:ascii="Tahoma" w:eastAsia="Times New Roman" w:hAnsi="Tahoma" w:cs="Tahoma"/>
          <w:color w:val="6F7074"/>
          <w:sz w:val="24"/>
          <w:szCs w:val="24"/>
        </w:rPr>
        <w:t>Jubilee Life INSURANCE COMPANY LIMITED,</w:t>
      </w:r>
      <w:r w:rsidRPr="004F51C5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4F51C5">
        <w:rPr>
          <w:rFonts w:ascii="Tahoma" w:eastAsia="Times New Roman" w:hAnsi="Tahoma" w:cs="Tahoma"/>
          <w:color w:val="6F7074"/>
          <w:sz w:val="24"/>
          <w:szCs w:val="24"/>
        </w:rPr>
        <w:t xml:space="preserve">74 / 1 – A, </w:t>
      </w:r>
      <w:proofErr w:type="spellStart"/>
      <w:r w:rsidRPr="004F51C5">
        <w:rPr>
          <w:rFonts w:ascii="Tahoma" w:eastAsia="Times New Roman" w:hAnsi="Tahoma" w:cs="Tahoma"/>
          <w:color w:val="6F7074"/>
          <w:sz w:val="24"/>
          <w:szCs w:val="24"/>
        </w:rPr>
        <w:t>Lalazar</w:t>
      </w:r>
      <w:proofErr w:type="spellEnd"/>
      <w:r w:rsidRPr="004F51C5">
        <w:rPr>
          <w:rFonts w:ascii="Tahoma" w:eastAsia="Times New Roman" w:hAnsi="Tahoma" w:cs="Tahoma"/>
          <w:color w:val="6F7074"/>
          <w:sz w:val="24"/>
          <w:szCs w:val="24"/>
        </w:rPr>
        <w:t>, M. T. Khan Road,</w:t>
      </w:r>
      <w:r w:rsidRPr="004F51C5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4F51C5">
        <w:rPr>
          <w:rFonts w:ascii="Tahoma" w:eastAsia="Times New Roman" w:hAnsi="Tahoma" w:cs="Tahoma"/>
          <w:color w:val="6F7074"/>
          <w:sz w:val="24"/>
          <w:szCs w:val="24"/>
        </w:rPr>
        <w:t>Karachi – 74000, Pakistan</w:t>
      </w:r>
      <w:r w:rsidRPr="004F51C5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4F51C5">
        <w:rPr>
          <w:rFonts w:ascii="Tahoma" w:eastAsia="Times New Roman" w:hAnsi="Tahoma" w:cs="Tahoma"/>
          <w:color w:val="6F7074"/>
          <w:sz w:val="24"/>
          <w:szCs w:val="24"/>
        </w:rPr>
        <w:t>Phone – Head Office: 92-21-35205095, 92-21-35205094 , 021-111-111-554</w:t>
      </w:r>
      <w:r w:rsidRPr="004F51C5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4F51C5">
        <w:rPr>
          <w:rFonts w:ascii="Tahoma" w:eastAsia="Times New Roman" w:hAnsi="Tahoma" w:cs="Tahoma"/>
          <w:color w:val="6F7074"/>
          <w:sz w:val="24"/>
          <w:szCs w:val="24"/>
        </w:rPr>
        <w:t>Fax: 92-21-35610959</w:t>
      </w:r>
      <w:r w:rsidRPr="004F51C5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4F51C5">
        <w:rPr>
          <w:rFonts w:ascii="Tahoma" w:eastAsia="Times New Roman" w:hAnsi="Tahoma" w:cs="Tahoma"/>
          <w:color w:val="6F7074"/>
          <w:sz w:val="24"/>
          <w:szCs w:val="24"/>
        </w:rPr>
        <w:t>E-Mail: info@jubileelife.com</w:t>
      </w:r>
    </w:p>
    <w:p w:rsidR="004F51C5" w:rsidRDefault="004F51C5"/>
    <w:p w:rsidR="004F51C5" w:rsidRDefault="004F51C5">
      <w:r>
        <w:t>Associated Charges</w:t>
      </w:r>
    </w:p>
    <w:p w:rsidR="004F51C5" w:rsidRPr="004F51C5" w:rsidRDefault="004F51C5" w:rsidP="004F51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Investment Management Charges: 1.5% p.a. of fund value</w:t>
      </w:r>
    </w:p>
    <w:p w:rsidR="004F51C5" w:rsidRPr="004F51C5" w:rsidRDefault="004F51C5" w:rsidP="004F51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5% Bid offer spread</w:t>
      </w:r>
    </w:p>
    <w:p w:rsidR="004F51C5" w:rsidRPr="004F51C5" w:rsidRDefault="004F51C5" w:rsidP="004F51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Administration Charges</w:t>
      </w:r>
    </w:p>
    <w:p w:rsidR="004F51C5" w:rsidRPr="004F51C5" w:rsidRDefault="004F51C5" w:rsidP="004F51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Applicable Mortality Charges</w:t>
      </w:r>
    </w:p>
    <w:p w:rsidR="004F51C5" w:rsidRPr="004F51C5" w:rsidRDefault="004F51C5" w:rsidP="004F51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 xml:space="preserve">Fund Switching: </w:t>
      </w:r>
      <w:proofErr w:type="spellStart"/>
      <w:r w:rsidRPr="004F51C5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4F51C5">
        <w:rPr>
          <w:rFonts w:ascii="Tahoma" w:eastAsia="Times New Roman" w:hAnsi="Tahoma" w:cs="Tahoma"/>
          <w:color w:val="6F7074"/>
          <w:sz w:val="24"/>
          <w:szCs w:val="24"/>
        </w:rPr>
        <w:t>. 500 after first four free switches in a year</w:t>
      </w:r>
    </w:p>
    <w:p w:rsidR="004F51C5" w:rsidRPr="004F51C5" w:rsidRDefault="004F51C5" w:rsidP="004F51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4F51C5">
        <w:rPr>
          <w:rFonts w:ascii="Tahoma" w:eastAsia="Times New Roman" w:hAnsi="Tahoma" w:cs="Tahoma"/>
          <w:color w:val="6F7074"/>
          <w:sz w:val="24"/>
          <w:szCs w:val="24"/>
        </w:rPr>
        <w:t>* Rider Chargers, based on riders selected by customers</w:t>
      </w:r>
    </w:p>
    <w:p w:rsidR="004F51C5" w:rsidRDefault="004F51C5">
      <w:bookmarkStart w:id="0" w:name="_GoBack"/>
      <w:bookmarkEnd w:id="0"/>
    </w:p>
    <w:sectPr w:rsidR="004F51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1C5" w:rsidRDefault="004F51C5" w:rsidP="004F51C5">
      <w:pPr>
        <w:spacing w:after="0" w:line="240" w:lineRule="auto"/>
      </w:pPr>
      <w:r>
        <w:separator/>
      </w:r>
    </w:p>
  </w:endnote>
  <w:endnote w:type="continuationSeparator" w:id="0">
    <w:p w:rsidR="004F51C5" w:rsidRDefault="004F51C5" w:rsidP="004F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1C5" w:rsidRDefault="004F51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1C5" w:rsidRDefault="004F51C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3e934f6d9adc9379ebe87adc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F51C5" w:rsidRPr="004F51C5" w:rsidRDefault="004F51C5" w:rsidP="004F51C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4F51C5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e934f6d9adc9379ebe87adc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9B7xuhwDAAA3BgAADgAAAAAAAAAA&#10;AAAAAAAuAgAAZHJzL2Uyb0RvYy54bWxQSwECLQAUAAYACAAAACEAGAVA3N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4F51C5" w:rsidRPr="004F51C5" w:rsidRDefault="004F51C5" w:rsidP="004F51C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4F51C5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1C5" w:rsidRDefault="004F5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1C5" w:rsidRDefault="004F51C5" w:rsidP="004F51C5">
      <w:pPr>
        <w:spacing w:after="0" w:line="240" w:lineRule="auto"/>
      </w:pPr>
      <w:r>
        <w:separator/>
      </w:r>
    </w:p>
  </w:footnote>
  <w:footnote w:type="continuationSeparator" w:id="0">
    <w:p w:rsidR="004F51C5" w:rsidRDefault="004F51C5" w:rsidP="004F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1C5" w:rsidRDefault="004F51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1C5" w:rsidRDefault="004F51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1C5" w:rsidRDefault="004F51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0D64"/>
    <w:multiLevelType w:val="multilevel"/>
    <w:tmpl w:val="C124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92814"/>
    <w:multiLevelType w:val="multilevel"/>
    <w:tmpl w:val="9DDE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55DFC"/>
    <w:multiLevelType w:val="multilevel"/>
    <w:tmpl w:val="8C2A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D2D93"/>
    <w:multiLevelType w:val="multilevel"/>
    <w:tmpl w:val="1AF8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23523"/>
    <w:multiLevelType w:val="multilevel"/>
    <w:tmpl w:val="57E4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1433B"/>
    <w:multiLevelType w:val="multilevel"/>
    <w:tmpl w:val="E394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E7C90"/>
    <w:multiLevelType w:val="multilevel"/>
    <w:tmpl w:val="E4EC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C5"/>
    <w:rsid w:val="004F51C5"/>
    <w:rsid w:val="00CB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8A55B"/>
  <w15:chartTrackingRefBased/>
  <w15:docId w15:val="{05EE405D-3758-4125-930A-7FE42EDD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51C5"/>
    <w:rPr>
      <w:b/>
      <w:bCs/>
    </w:rPr>
  </w:style>
  <w:style w:type="paragraph" w:customStyle="1" w:styleId="colorred">
    <w:name w:val="colorred"/>
    <w:basedOn w:val="Normal"/>
    <w:rsid w:val="004F5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1C5"/>
  </w:style>
  <w:style w:type="paragraph" w:styleId="Footer">
    <w:name w:val="footer"/>
    <w:basedOn w:val="Normal"/>
    <w:link w:val="FooterChar"/>
    <w:uiPriority w:val="99"/>
    <w:unhideWhenUsed/>
    <w:rsid w:val="004F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2024-09-27T09:34:00Z</dcterms:created>
  <dcterms:modified xsi:type="dcterms:W3CDTF">2024-09-27T09:35:00Z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2024-09-27T09:35:32Z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22098415-ec7a-4d7c-9ed8-f4506a91dce2</vt:lpwstr>
  </property>
  <property fmtid="{D5CDD505-2E9C-101B-9397-08002B2CF9AE}" pid="8" name="MSIP_Label_4f2c76d5-45ba-4a63-8701-27a8aa3796e4_ContentBits">
    <vt:lpwstr>2</vt:lpwstr>
  </property>
</Properties>
</file>