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1A35D" w14:textId="77777777" w:rsidR="00F042CD" w:rsidRDefault="00F042CD" w:rsidP="0018649D">
      <w:pPr>
        <w:pStyle w:val="NoSpacing"/>
        <w:rPr>
          <w:rFonts w:ascii="Times New Roman" w:hAnsi="Times New Roman" w:cs="Times New Roman"/>
        </w:rPr>
      </w:pPr>
      <w:r w:rsidRPr="0018649D">
        <w:rPr>
          <w:rFonts w:ascii="Times New Roman" w:hAnsi="Times New Roman" w:cs="Times New Roman"/>
        </w:rPr>
        <w:t>SLIC Tayyab Takaful Endowment Plan is an easy and affordable membership plans issued to the Participant that provides a cash benefit and bonus based encouragement at the occurrence of the covered events. Based on an application by the Participant, the membership is issued by State Life Insurance Corporation and administered in accordance with the rulings of the State Life’s Shariah Board.</w:t>
      </w:r>
    </w:p>
    <w:p w14:paraId="79F7FE94" w14:textId="77777777" w:rsidR="0018649D" w:rsidRPr="0018649D" w:rsidRDefault="0018649D" w:rsidP="0018649D">
      <w:pPr>
        <w:pStyle w:val="NoSpacing"/>
        <w:rPr>
          <w:rFonts w:ascii="Times New Roman" w:hAnsi="Times New Roman" w:cs="Times New Roman"/>
        </w:rPr>
      </w:pPr>
    </w:p>
    <w:p w14:paraId="7BD4FB13"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b/>
          <w:bCs/>
        </w:rPr>
        <w:t>Key Benefits</w:t>
      </w:r>
    </w:p>
    <w:p w14:paraId="34B1155E"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Hybrid product unique combination of Bonus Based and Unit Linked</w:t>
      </w:r>
    </w:p>
    <w:p w14:paraId="088D8E98"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High Value Savings</w:t>
      </w:r>
    </w:p>
    <w:p w14:paraId="39A40FB9"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Attractive rate of return</w:t>
      </w:r>
    </w:p>
    <w:p w14:paraId="65FBF004"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Shariah compliant Takaful Coverage approved by Takaful company’s Shariah Board</w:t>
      </w:r>
    </w:p>
    <w:p w14:paraId="0D33B20E"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Death Benefit and Maturity Benefit</w:t>
      </w:r>
    </w:p>
    <w:p w14:paraId="13428C72" w14:textId="77777777" w:rsidR="00F042CD" w:rsidRDefault="00F042CD" w:rsidP="0018649D">
      <w:pPr>
        <w:pStyle w:val="NoSpacing"/>
        <w:rPr>
          <w:rFonts w:ascii="Times New Roman" w:hAnsi="Times New Roman" w:cs="Times New Roman"/>
        </w:rPr>
      </w:pPr>
      <w:r w:rsidRPr="0018649D">
        <w:rPr>
          <w:rFonts w:ascii="Times New Roman" w:hAnsi="Times New Roman" w:cs="Times New Roman"/>
        </w:rPr>
        <w:t>Free Look Period of 14 Days</w:t>
      </w:r>
    </w:p>
    <w:p w14:paraId="0B094CAC" w14:textId="77777777" w:rsidR="0018649D" w:rsidRPr="0018649D" w:rsidRDefault="0018649D" w:rsidP="0018649D">
      <w:pPr>
        <w:pStyle w:val="NoSpacing"/>
        <w:rPr>
          <w:rFonts w:ascii="Times New Roman" w:hAnsi="Times New Roman" w:cs="Times New Roman"/>
          <w:sz w:val="23"/>
          <w:szCs w:val="23"/>
        </w:rPr>
      </w:pPr>
    </w:p>
    <w:p w14:paraId="7B129E38"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b/>
          <w:bCs/>
        </w:rPr>
        <w:t>Term of Plan</w:t>
      </w:r>
    </w:p>
    <w:p w14:paraId="144CBC03" w14:textId="77777777" w:rsidR="00F042CD" w:rsidRDefault="00F042CD" w:rsidP="0018649D">
      <w:pPr>
        <w:pStyle w:val="NoSpacing"/>
        <w:rPr>
          <w:rFonts w:ascii="Times New Roman" w:hAnsi="Times New Roman" w:cs="Times New Roman"/>
        </w:rPr>
      </w:pPr>
      <w:r w:rsidRPr="0018649D">
        <w:rPr>
          <w:rFonts w:ascii="Times New Roman" w:hAnsi="Times New Roman" w:cs="Times New Roman"/>
        </w:rPr>
        <w:t>Minimum Term: 10 years</w:t>
      </w:r>
      <w:r w:rsidRPr="0018649D">
        <w:rPr>
          <w:rFonts w:ascii="Times New Roman" w:hAnsi="Times New Roman" w:cs="Times New Roman"/>
        </w:rPr>
        <w:br/>
        <w:t>Maximum Term: 52 years</w:t>
      </w:r>
    </w:p>
    <w:p w14:paraId="6B75D9EC" w14:textId="77777777" w:rsidR="0018649D" w:rsidRPr="0018649D" w:rsidRDefault="0018649D" w:rsidP="0018649D">
      <w:pPr>
        <w:pStyle w:val="NoSpacing"/>
        <w:rPr>
          <w:rFonts w:ascii="Times New Roman" w:hAnsi="Times New Roman" w:cs="Times New Roman"/>
        </w:rPr>
      </w:pPr>
    </w:p>
    <w:p w14:paraId="5ED587B2"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b/>
          <w:bCs/>
        </w:rPr>
        <w:t>Unit Allocation:</w:t>
      </w:r>
    </w:p>
    <w:p w14:paraId="40C391E1"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The allocation of the annual basic plan premium to buy units in the chosen funds is as follow:</w:t>
      </w:r>
    </w:p>
    <w:tbl>
      <w:tblPr>
        <w:tblpPr w:leftFromText="36" w:rightFromText="36" w:vertAnchor="text"/>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30"/>
        <w:gridCol w:w="5214"/>
      </w:tblGrid>
      <w:tr w:rsidR="00F042CD" w:rsidRPr="0018649D" w14:paraId="6D7C6C22" w14:textId="77777777" w:rsidTr="0018649D">
        <w:tc>
          <w:tcPr>
            <w:tcW w:w="221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29C032E4"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b/>
                <w:bCs/>
              </w:rPr>
              <w:t>Policy Year</w:t>
            </w:r>
          </w:p>
        </w:tc>
        <w:tc>
          <w:tcPr>
            <w:tcW w:w="279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4D6D199D"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b/>
                <w:bCs/>
              </w:rPr>
              <w:t>Allocation Percentage</w:t>
            </w:r>
          </w:p>
        </w:tc>
      </w:tr>
      <w:tr w:rsidR="00F042CD" w:rsidRPr="0018649D" w14:paraId="3091CE9E" w14:textId="77777777" w:rsidTr="0018649D">
        <w:tc>
          <w:tcPr>
            <w:tcW w:w="221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594D34DC"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Year 1</w:t>
            </w:r>
          </w:p>
        </w:tc>
        <w:tc>
          <w:tcPr>
            <w:tcW w:w="279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01F1B3F7"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60%</w:t>
            </w:r>
          </w:p>
        </w:tc>
      </w:tr>
      <w:tr w:rsidR="00F042CD" w:rsidRPr="0018649D" w14:paraId="3D096F57" w14:textId="77777777" w:rsidTr="0018649D">
        <w:tc>
          <w:tcPr>
            <w:tcW w:w="221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64B04C9B"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Year 2</w:t>
            </w:r>
          </w:p>
        </w:tc>
        <w:tc>
          <w:tcPr>
            <w:tcW w:w="279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5A77B28B"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80%</w:t>
            </w:r>
          </w:p>
        </w:tc>
      </w:tr>
      <w:tr w:rsidR="00F042CD" w:rsidRPr="0018649D" w14:paraId="1FC55388" w14:textId="77777777" w:rsidTr="0018649D">
        <w:tc>
          <w:tcPr>
            <w:tcW w:w="221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2E012536"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Year 3</w:t>
            </w:r>
          </w:p>
        </w:tc>
        <w:tc>
          <w:tcPr>
            <w:tcW w:w="279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7CFD62D4"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90%</w:t>
            </w:r>
          </w:p>
        </w:tc>
      </w:tr>
      <w:tr w:rsidR="00F042CD" w:rsidRPr="0018649D" w14:paraId="2E59621B" w14:textId="77777777" w:rsidTr="0018649D">
        <w:tc>
          <w:tcPr>
            <w:tcW w:w="221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70224D43"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 xml:space="preserve">Year 4 and </w:t>
            </w:r>
            <w:proofErr w:type="gramStart"/>
            <w:r w:rsidRPr="0018649D">
              <w:rPr>
                <w:rFonts w:ascii="Times New Roman" w:hAnsi="Times New Roman" w:cs="Times New Roman"/>
              </w:rPr>
              <w:t>Onwards</w:t>
            </w:r>
            <w:proofErr w:type="gramEnd"/>
          </w:p>
        </w:tc>
        <w:tc>
          <w:tcPr>
            <w:tcW w:w="2790" w:type="pct"/>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14:paraId="6EFB00C4"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100%</w:t>
            </w:r>
          </w:p>
        </w:tc>
      </w:tr>
    </w:tbl>
    <w:p w14:paraId="361565E0"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 </w:t>
      </w:r>
    </w:p>
    <w:p w14:paraId="782F09D2" w14:textId="6F1F4C05"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 </w:t>
      </w:r>
    </w:p>
    <w:p w14:paraId="3F98A42A" w14:textId="77777777" w:rsidR="00F042CD" w:rsidRDefault="00F042CD" w:rsidP="0018649D">
      <w:pPr>
        <w:pStyle w:val="NoSpacing"/>
        <w:rPr>
          <w:rFonts w:ascii="Times New Roman" w:hAnsi="Times New Roman" w:cs="Times New Roman"/>
        </w:rPr>
      </w:pPr>
      <w:r w:rsidRPr="0018649D">
        <w:rPr>
          <w:rFonts w:ascii="Times New Roman" w:hAnsi="Times New Roman" w:cs="Times New Roman"/>
        </w:rPr>
        <w:t>*Ad-Hoc: 100%</w:t>
      </w:r>
    </w:p>
    <w:p w14:paraId="08495CD8" w14:textId="77777777" w:rsidR="0018649D" w:rsidRPr="0018649D" w:rsidRDefault="0018649D" w:rsidP="0018649D">
      <w:pPr>
        <w:pStyle w:val="NoSpacing"/>
        <w:rPr>
          <w:rFonts w:ascii="Times New Roman" w:hAnsi="Times New Roman" w:cs="Times New Roman"/>
        </w:rPr>
      </w:pPr>
    </w:p>
    <w:p w14:paraId="5DDEC83B"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b/>
          <w:bCs/>
        </w:rPr>
        <w:t>Annual Contribution:</w:t>
      </w:r>
    </w:p>
    <w:p w14:paraId="46B46BA1"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The minimum annual contribution is PKR 15,000/-.</w:t>
      </w:r>
    </w:p>
    <w:p w14:paraId="1291E46B" w14:textId="77777777" w:rsidR="00151196" w:rsidRPr="0018649D" w:rsidRDefault="00151196" w:rsidP="0018649D">
      <w:pPr>
        <w:pStyle w:val="NoSpacing"/>
        <w:rPr>
          <w:rFonts w:ascii="Times New Roman" w:hAnsi="Times New Roman" w:cs="Times New Roman"/>
        </w:rPr>
      </w:pPr>
    </w:p>
    <w:p w14:paraId="01F4AA0D" w14:textId="77777777" w:rsidR="00F042CD" w:rsidRPr="0018649D" w:rsidRDefault="00F042CD" w:rsidP="0018649D">
      <w:pPr>
        <w:pStyle w:val="NoSpacing"/>
        <w:rPr>
          <w:rFonts w:ascii="Times New Roman" w:hAnsi="Times New Roman" w:cs="Times New Roman"/>
          <w:b/>
          <w:bCs/>
        </w:rPr>
      </w:pPr>
      <w:r w:rsidRPr="0018649D">
        <w:rPr>
          <w:rFonts w:ascii="Times New Roman" w:hAnsi="Times New Roman" w:cs="Times New Roman"/>
          <w:b/>
          <w:bCs/>
        </w:rPr>
        <w:t>Target Market</w:t>
      </w:r>
    </w:p>
    <w:p w14:paraId="222C6BA6"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Salaried Individuals</w:t>
      </w:r>
    </w:p>
    <w:p w14:paraId="1D2A7841"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Professionals (Chartered Accountants, Consultants, Doctors, etc.)</w:t>
      </w:r>
    </w:p>
    <w:p w14:paraId="015421E5"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Self Employed Individuals, Proprietorships, Partners and Family concern business</w:t>
      </w:r>
    </w:p>
    <w:p w14:paraId="13A4FE39"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Landlords, Housewives &amp; Retired Individuals with consistent Rental Income/Foreign Remittances.</w:t>
      </w:r>
    </w:p>
    <w:p w14:paraId="3BB994BE"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Government / Semi Government employees and Employees of Armed Forces.</w:t>
      </w:r>
    </w:p>
    <w:p w14:paraId="598C1FAA" w14:textId="77777777" w:rsidR="00F042CD" w:rsidRPr="0018649D" w:rsidRDefault="00F042CD" w:rsidP="0018649D">
      <w:pPr>
        <w:pStyle w:val="NoSpacing"/>
        <w:rPr>
          <w:rFonts w:ascii="Times New Roman" w:hAnsi="Times New Roman" w:cs="Times New Roman"/>
        </w:rPr>
      </w:pPr>
    </w:p>
    <w:p w14:paraId="6FA7AECC" w14:textId="77777777" w:rsidR="00F042CD" w:rsidRPr="0018649D" w:rsidRDefault="00F042CD" w:rsidP="0018649D">
      <w:pPr>
        <w:pStyle w:val="NoSpacing"/>
        <w:rPr>
          <w:rFonts w:ascii="Times New Roman" w:hAnsi="Times New Roman" w:cs="Times New Roman"/>
          <w:b/>
          <w:bCs/>
        </w:rPr>
      </w:pPr>
      <w:r w:rsidRPr="0018649D">
        <w:rPr>
          <w:rFonts w:ascii="Times New Roman" w:hAnsi="Times New Roman" w:cs="Times New Roman"/>
          <w:b/>
          <w:bCs/>
        </w:rPr>
        <w:t>Eligibility Criteria</w:t>
      </w:r>
    </w:p>
    <w:p w14:paraId="0EE9B37C" w14:textId="77777777" w:rsidR="00F042CD" w:rsidRDefault="00F042CD" w:rsidP="0018649D">
      <w:pPr>
        <w:pStyle w:val="NoSpacing"/>
        <w:rPr>
          <w:rFonts w:ascii="Times New Roman" w:hAnsi="Times New Roman" w:cs="Times New Roman"/>
        </w:rPr>
      </w:pPr>
      <w:r w:rsidRPr="0018649D">
        <w:rPr>
          <w:rFonts w:ascii="Times New Roman" w:hAnsi="Times New Roman" w:cs="Times New Roman"/>
        </w:rPr>
        <w:t>The plan is available to all Bank Alfalah Limited customers between 18 years to 60 years of age</w:t>
      </w:r>
    </w:p>
    <w:p w14:paraId="7C3380B5" w14:textId="77777777" w:rsidR="0018649D" w:rsidRPr="0018649D" w:rsidRDefault="0018649D" w:rsidP="0018649D">
      <w:pPr>
        <w:pStyle w:val="NoSpacing"/>
        <w:rPr>
          <w:rFonts w:ascii="Times New Roman" w:hAnsi="Times New Roman" w:cs="Times New Roman"/>
        </w:rPr>
      </w:pPr>
    </w:p>
    <w:p w14:paraId="36975AC3" w14:textId="77777777" w:rsidR="00F042CD" w:rsidRPr="0018649D" w:rsidRDefault="00F042CD" w:rsidP="0018649D">
      <w:pPr>
        <w:pStyle w:val="NoSpacing"/>
        <w:rPr>
          <w:rFonts w:ascii="Times New Roman" w:hAnsi="Times New Roman" w:cs="Times New Roman"/>
          <w:b/>
          <w:bCs/>
        </w:rPr>
      </w:pPr>
      <w:r w:rsidRPr="0018649D">
        <w:rPr>
          <w:rFonts w:ascii="Times New Roman" w:hAnsi="Times New Roman" w:cs="Times New Roman"/>
          <w:b/>
          <w:bCs/>
        </w:rPr>
        <w:t>Documentation Required</w:t>
      </w:r>
    </w:p>
    <w:p w14:paraId="6781C5F3" w14:textId="77777777" w:rsidR="00F042CD" w:rsidRDefault="00F042CD" w:rsidP="0018649D">
      <w:pPr>
        <w:pStyle w:val="NoSpacing"/>
        <w:rPr>
          <w:rFonts w:ascii="Times New Roman" w:hAnsi="Times New Roman" w:cs="Times New Roman"/>
        </w:rPr>
      </w:pPr>
      <w:r w:rsidRPr="0018649D">
        <w:rPr>
          <w:rFonts w:ascii="Times New Roman" w:hAnsi="Times New Roman" w:cs="Times New Roman"/>
        </w:rPr>
        <w:t>The Plan provides a handsome, lump sum amount at maturity or (God forbid) at the death of the assured. Customer’s beneficiary/Nominee/claimant visits branch for claim. BS requests for the required documents for the claim</w:t>
      </w:r>
    </w:p>
    <w:p w14:paraId="784E2BB4" w14:textId="77777777" w:rsidR="0018649D" w:rsidRPr="0018649D" w:rsidRDefault="0018649D" w:rsidP="0018649D">
      <w:pPr>
        <w:pStyle w:val="NoSpacing"/>
        <w:rPr>
          <w:rFonts w:ascii="Times New Roman" w:hAnsi="Times New Roman" w:cs="Times New Roman"/>
        </w:rPr>
      </w:pPr>
    </w:p>
    <w:p w14:paraId="7893F6AE" w14:textId="77777777" w:rsidR="00F042CD" w:rsidRPr="0018649D" w:rsidRDefault="00F042CD" w:rsidP="0018649D">
      <w:pPr>
        <w:pStyle w:val="NoSpacing"/>
        <w:rPr>
          <w:rFonts w:ascii="Times New Roman" w:hAnsi="Times New Roman" w:cs="Times New Roman"/>
          <w:b/>
          <w:bCs/>
        </w:rPr>
      </w:pPr>
      <w:r w:rsidRPr="0018649D">
        <w:rPr>
          <w:rFonts w:ascii="Times New Roman" w:hAnsi="Times New Roman" w:cs="Times New Roman"/>
          <w:b/>
          <w:bCs/>
        </w:rPr>
        <w:t>ESSENTIAL DOCUMENTS REQUIRED TO PROCESS DEATH CLAIM</w:t>
      </w:r>
    </w:p>
    <w:p w14:paraId="5F6B77A1"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Policy Schedule.</w:t>
      </w:r>
    </w:p>
    <w:p w14:paraId="38D95699"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Original Policy Documents.</w:t>
      </w:r>
    </w:p>
    <w:p w14:paraId="04DBEFC5"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Death Certificate duly issued by the competent authority i.e. NADRA / Union Council etc.</w:t>
      </w:r>
    </w:p>
    <w:p w14:paraId="048A1749"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lastRenderedPageBreak/>
        <w:t>Copy of valid CNIC of deceased, claimant and identifier.</w:t>
      </w:r>
    </w:p>
    <w:p w14:paraId="40AC0045"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Claim Forms:</w:t>
      </w:r>
    </w:p>
    <w:p w14:paraId="21932C1D"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Claim Form A (Claimant Statement)</w:t>
      </w:r>
    </w:p>
    <w:p w14:paraId="26100E3B"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Claim Form A-5</w:t>
      </w:r>
    </w:p>
    <w:p w14:paraId="50FEC207"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Claim Form B, (Medical Attendant Statement)</w:t>
      </w:r>
    </w:p>
    <w:p w14:paraId="58666327"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Claim Form C (Identification Statement)</w:t>
      </w:r>
    </w:p>
    <w:p w14:paraId="6AF6BC7C"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Claim Form D (Employer Statement)</w:t>
      </w:r>
    </w:p>
    <w:p w14:paraId="16A9E1C7"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Premium Collection Record.</w:t>
      </w:r>
    </w:p>
    <w:p w14:paraId="0E47452B"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Claim investigation report (in case of early death Claim)</w:t>
      </w:r>
    </w:p>
    <w:p w14:paraId="5F354D19"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Note</w:t>
      </w:r>
    </w:p>
    <w:p w14:paraId="1ADBA70E"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Claim Form A-5 is to be used where policies stand assigned in favor of the Provident Fund Department.</w:t>
      </w:r>
    </w:p>
    <w:p w14:paraId="77A477EF"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BS forwards the same to Bank Operations</w:t>
      </w:r>
    </w:p>
    <w:p w14:paraId="7B9A0056"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Bank Ops scrutinizes the documents and dispatches the same to SLIC/GBA</w:t>
      </w:r>
    </w:p>
    <w:p w14:paraId="5E0BCE77"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SLIC/GBA verifies the received documents</w:t>
      </w:r>
    </w:p>
    <w:p w14:paraId="05FC8260"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SLIC/GBA process the claim and sends documents to SLIC</w:t>
      </w:r>
    </w:p>
    <w:p w14:paraId="432259DE"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SLIC receives the documents for claim processing</w:t>
      </w:r>
    </w:p>
    <w:p w14:paraId="17DE6DF2"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SLIC issue the claim forms to the claimant</w:t>
      </w:r>
    </w:p>
    <w:p w14:paraId="4B2C9DA7"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After submission of the claim forms/papers and other requirement if any, SLIC process the claim</w:t>
      </w:r>
    </w:p>
    <w:p w14:paraId="09A8E71D"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SLIC counter check and process the claim</w:t>
      </w:r>
    </w:p>
    <w:p w14:paraId="2FB6F60A"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SLIC sends the claim cheque to GBA</w:t>
      </w:r>
    </w:p>
    <w:p w14:paraId="1909A172"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GBA prepares discharge letter</w:t>
      </w:r>
    </w:p>
    <w:p w14:paraId="218354A7"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GBA Sends the Claimant Cheque and Claim Amount Discharge Letter to the Bank Ops</w:t>
      </w:r>
    </w:p>
    <w:p w14:paraId="46535406"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Bank Ops Forwards the same to DSFO/respective branch</w:t>
      </w:r>
    </w:p>
    <w:p w14:paraId="05CB3D5B"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Beneficiary visits the Bank to collect the cheque</w:t>
      </w:r>
    </w:p>
    <w:p w14:paraId="60FD70FF"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BS calls the beneficiary to collect the cheque in person</w:t>
      </w:r>
    </w:p>
    <w:p w14:paraId="75E4D587" w14:textId="77777777" w:rsidR="00F042CD" w:rsidRPr="0018649D" w:rsidRDefault="00F042CD" w:rsidP="0018649D">
      <w:pPr>
        <w:pStyle w:val="NoSpacing"/>
        <w:rPr>
          <w:rFonts w:ascii="Times New Roman" w:hAnsi="Times New Roman" w:cs="Times New Roman"/>
        </w:rPr>
      </w:pPr>
      <w:r w:rsidRPr="0018649D">
        <w:rPr>
          <w:rFonts w:ascii="Times New Roman" w:hAnsi="Times New Roman" w:cs="Times New Roman"/>
        </w:rPr>
        <w:t>BS ensures the claimant by</w:t>
      </w:r>
    </w:p>
    <w:p w14:paraId="66E095A6"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Original CNIC</w:t>
      </w:r>
    </w:p>
    <w:p w14:paraId="50D9FA03"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Copy of the cheque signed by beneficiary and sends to SLIC/GBA</w:t>
      </w:r>
    </w:p>
    <w:p w14:paraId="555936D4"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Signature on Discharge Letter</w:t>
      </w:r>
    </w:p>
    <w:p w14:paraId="5A9958E0"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Bank forwards the original relevant documents to SLIC/GBA</w:t>
      </w:r>
    </w:p>
    <w:p w14:paraId="47F37EDD" w14:textId="77777777" w:rsidR="00F042CD" w:rsidRPr="0018649D" w:rsidRDefault="00F042CD" w:rsidP="0018649D">
      <w:pPr>
        <w:pStyle w:val="NoSpacing"/>
        <w:rPr>
          <w:rFonts w:ascii="Times New Roman" w:hAnsi="Times New Roman" w:cs="Times New Roman"/>
        </w:rPr>
      </w:pPr>
    </w:p>
    <w:p w14:paraId="6356B6EE" w14:textId="77777777" w:rsidR="00F042CD" w:rsidRPr="0018649D" w:rsidRDefault="00F042CD" w:rsidP="0018649D">
      <w:pPr>
        <w:pStyle w:val="NoSpacing"/>
        <w:rPr>
          <w:rFonts w:ascii="Times New Roman" w:hAnsi="Times New Roman" w:cs="Times New Roman"/>
        </w:rPr>
      </w:pPr>
    </w:p>
    <w:p w14:paraId="10B4AFB7" w14:textId="77777777" w:rsidR="00F042CD" w:rsidRPr="009028AE" w:rsidRDefault="00F042CD" w:rsidP="0018649D">
      <w:pPr>
        <w:pStyle w:val="NoSpacing"/>
        <w:rPr>
          <w:rFonts w:ascii="Times New Roman" w:hAnsi="Times New Roman" w:cs="Times New Roman"/>
          <w:b/>
          <w:bCs/>
        </w:rPr>
      </w:pPr>
      <w:r w:rsidRPr="009028AE">
        <w:rPr>
          <w:rFonts w:ascii="Times New Roman" w:hAnsi="Times New Roman" w:cs="Times New Roman"/>
          <w:b/>
          <w:bCs/>
        </w:rPr>
        <w:t>Associated Charges</w:t>
      </w:r>
    </w:p>
    <w:p w14:paraId="7EC5BE7E"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Allocation charges</w:t>
      </w:r>
    </w:p>
    <w:p w14:paraId="0329DEC3"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Endowment Waqf Contribution</w:t>
      </w:r>
    </w:p>
    <w:p w14:paraId="7853A365"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Admin Charges (Wakala Fee)</w:t>
      </w:r>
    </w:p>
    <w:p w14:paraId="3BB0619D"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Unit allocation charges</w:t>
      </w:r>
    </w:p>
    <w:p w14:paraId="789DA19E" w14:textId="77777777" w:rsidR="00F042CD" w:rsidRPr="0018649D" w:rsidRDefault="00F042CD" w:rsidP="0018649D">
      <w:pPr>
        <w:pStyle w:val="NoSpacing"/>
        <w:rPr>
          <w:rFonts w:ascii="Times New Roman" w:hAnsi="Times New Roman" w:cs="Times New Roman"/>
          <w:sz w:val="23"/>
          <w:szCs w:val="23"/>
        </w:rPr>
      </w:pPr>
      <w:r w:rsidRPr="0018649D">
        <w:rPr>
          <w:rFonts w:ascii="Times New Roman" w:hAnsi="Times New Roman" w:cs="Times New Roman"/>
        </w:rPr>
        <w:t>Fund Management Charge (Investment Wakala Fee)</w:t>
      </w:r>
    </w:p>
    <w:p w14:paraId="524E2594" w14:textId="77777777" w:rsidR="00F042CD" w:rsidRPr="0018649D" w:rsidRDefault="00F042CD" w:rsidP="0018649D">
      <w:pPr>
        <w:pStyle w:val="NoSpacing"/>
        <w:rPr>
          <w:rFonts w:ascii="Times New Roman" w:hAnsi="Times New Roman" w:cs="Times New Roman"/>
          <w:sz w:val="23"/>
          <w:szCs w:val="23"/>
        </w:rPr>
      </w:pPr>
      <w:proofErr w:type="spellStart"/>
      <w:r w:rsidRPr="0018649D">
        <w:rPr>
          <w:rFonts w:ascii="Times New Roman" w:hAnsi="Times New Roman" w:cs="Times New Roman"/>
        </w:rPr>
        <w:t>Modarib</w:t>
      </w:r>
      <w:proofErr w:type="spellEnd"/>
      <w:r w:rsidRPr="0018649D">
        <w:rPr>
          <w:rFonts w:ascii="Times New Roman" w:hAnsi="Times New Roman" w:cs="Times New Roman"/>
        </w:rPr>
        <w:t xml:space="preserve"> Fee</w:t>
      </w:r>
    </w:p>
    <w:p w14:paraId="1B049049" w14:textId="77777777" w:rsidR="00F042CD" w:rsidRPr="0018649D" w:rsidRDefault="00F042CD" w:rsidP="0018649D">
      <w:pPr>
        <w:pStyle w:val="NoSpacing"/>
        <w:rPr>
          <w:rFonts w:ascii="Times New Roman" w:hAnsi="Times New Roman" w:cs="Times New Roman"/>
        </w:rPr>
      </w:pPr>
    </w:p>
    <w:sectPr w:rsidR="00F042CD" w:rsidRPr="001864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4BF9C" w14:textId="77777777" w:rsidR="005773AC" w:rsidRDefault="005773AC" w:rsidP="00F042CD">
      <w:pPr>
        <w:spacing w:after="0" w:line="240" w:lineRule="auto"/>
      </w:pPr>
      <w:r>
        <w:separator/>
      </w:r>
    </w:p>
  </w:endnote>
  <w:endnote w:type="continuationSeparator" w:id="0">
    <w:p w14:paraId="543E2D68" w14:textId="77777777" w:rsidR="005773AC" w:rsidRDefault="005773AC" w:rsidP="00F04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7922C" w14:textId="77777777" w:rsidR="005773AC" w:rsidRDefault="005773AC" w:rsidP="00F042CD">
      <w:pPr>
        <w:spacing w:after="0" w:line="240" w:lineRule="auto"/>
      </w:pPr>
      <w:r>
        <w:separator/>
      </w:r>
    </w:p>
  </w:footnote>
  <w:footnote w:type="continuationSeparator" w:id="0">
    <w:p w14:paraId="2005F5F1" w14:textId="77777777" w:rsidR="005773AC" w:rsidRDefault="005773AC" w:rsidP="00F04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A3BFC"/>
    <w:multiLevelType w:val="multilevel"/>
    <w:tmpl w:val="FFC60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111C3E"/>
    <w:multiLevelType w:val="multilevel"/>
    <w:tmpl w:val="613C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40AE9"/>
    <w:multiLevelType w:val="multilevel"/>
    <w:tmpl w:val="6310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5C7507"/>
    <w:multiLevelType w:val="multilevel"/>
    <w:tmpl w:val="A906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0548D0"/>
    <w:multiLevelType w:val="multilevel"/>
    <w:tmpl w:val="11D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B0C31"/>
    <w:multiLevelType w:val="multilevel"/>
    <w:tmpl w:val="CA30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63A1E"/>
    <w:multiLevelType w:val="multilevel"/>
    <w:tmpl w:val="82C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A279D1"/>
    <w:multiLevelType w:val="multilevel"/>
    <w:tmpl w:val="1348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551913">
    <w:abstractNumId w:val="4"/>
  </w:num>
  <w:num w:numId="2" w16cid:durableId="704603998">
    <w:abstractNumId w:val="0"/>
  </w:num>
  <w:num w:numId="3" w16cid:durableId="795832256">
    <w:abstractNumId w:val="7"/>
  </w:num>
  <w:num w:numId="4" w16cid:durableId="1835144507">
    <w:abstractNumId w:val="2"/>
  </w:num>
  <w:num w:numId="5" w16cid:durableId="1934044216">
    <w:abstractNumId w:val="5"/>
  </w:num>
  <w:num w:numId="6" w16cid:durableId="1443915528">
    <w:abstractNumId w:val="6"/>
  </w:num>
  <w:num w:numId="7" w16cid:durableId="12003013">
    <w:abstractNumId w:val="1"/>
  </w:num>
  <w:num w:numId="8" w16cid:durableId="3311075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2CD"/>
    <w:rsid w:val="00151196"/>
    <w:rsid w:val="0018649D"/>
    <w:rsid w:val="005773AC"/>
    <w:rsid w:val="00724628"/>
    <w:rsid w:val="009028AE"/>
    <w:rsid w:val="00B05D92"/>
    <w:rsid w:val="00F04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541BA"/>
  <w15:chartTrackingRefBased/>
  <w15:docId w15:val="{E58E5585-DC21-4266-ADB6-2B463FC0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2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04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2CD"/>
  </w:style>
  <w:style w:type="paragraph" w:styleId="Footer">
    <w:name w:val="footer"/>
    <w:basedOn w:val="Normal"/>
    <w:link w:val="FooterChar"/>
    <w:uiPriority w:val="99"/>
    <w:unhideWhenUsed/>
    <w:rsid w:val="00F04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2CD"/>
  </w:style>
  <w:style w:type="paragraph" w:styleId="NoSpacing">
    <w:name w:val="No Spacing"/>
    <w:uiPriority w:val="1"/>
    <w:qFormat/>
    <w:rsid w:val="0018649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070404">
      <w:bodyDiv w:val="1"/>
      <w:marLeft w:val="0"/>
      <w:marRight w:val="0"/>
      <w:marTop w:val="0"/>
      <w:marBottom w:val="0"/>
      <w:divBdr>
        <w:top w:val="none" w:sz="0" w:space="0" w:color="auto"/>
        <w:left w:val="none" w:sz="0" w:space="0" w:color="auto"/>
        <w:bottom w:val="none" w:sz="0" w:space="0" w:color="auto"/>
        <w:right w:val="none" w:sz="0" w:space="0" w:color="auto"/>
      </w:divBdr>
    </w:div>
    <w:div w:id="635793822">
      <w:bodyDiv w:val="1"/>
      <w:marLeft w:val="0"/>
      <w:marRight w:val="0"/>
      <w:marTop w:val="0"/>
      <w:marBottom w:val="0"/>
      <w:divBdr>
        <w:top w:val="none" w:sz="0" w:space="0" w:color="auto"/>
        <w:left w:val="none" w:sz="0" w:space="0" w:color="auto"/>
        <w:bottom w:val="none" w:sz="0" w:space="0" w:color="auto"/>
        <w:right w:val="none" w:sz="0" w:space="0" w:color="auto"/>
      </w:divBdr>
      <w:divsChild>
        <w:div w:id="1336112017">
          <w:marLeft w:val="0"/>
          <w:marRight w:val="0"/>
          <w:marTop w:val="0"/>
          <w:marBottom w:val="0"/>
          <w:divBdr>
            <w:top w:val="none" w:sz="0" w:space="0" w:color="auto"/>
            <w:left w:val="none" w:sz="0" w:space="0" w:color="auto"/>
            <w:bottom w:val="none" w:sz="0" w:space="0" w:color="auto"/>
            <w:right w:val="none" w:sz="0" w:space="0" w:color="auto"/>
          </w:divBdr>
          <w:divsChild>
            <w:div w:id="1161848044">
              <w:marLeft w:val="0"/>
              <w:marRight w:val="0"/>
              <w:marTop w:val="0"/>
              <w:marBottom w:val="0"/>
              <w:divBdr>
                <w:top w:val="none" w:sz="0" w:space="0" w:color="auto"/>
                <w:left w:val="none" w:sz="0" w:space="0" w:color="auto"/>
                <w:bottom w:val="none" w:sz="0" w:space="0" w:color="auto"/>
                <w:right w:val="none" w:sz="0" w:space="0" w:color="auto"/>
              </w:divBdr>
              <w:divsChild>
                <w:div w:id="2109807550">
                  <w:marLeft w:val="0"/>
                  <w:marRight w:val="0"/>
                  <w:marTop w:val="0"/>
                  <w:marBottom w:val="0"/>
                  <w:divBdr>
                    <w:top w:val="none" w:sz="0" w:space="0" w:color="auto"/>
                    <w:left w:val="none" w:sz="0" w:space="0" w:color="auto"/>
                    <w:bottom w:val="none" w:sz="0" w:space="0" w:color="auto"/>
                    <w:right w:val="none" w:sz="0" w:space="0" w:color="auto"/>
                  </w:divBdr>
                  <w:divsChild>
                    <w:div w:id="608509824">
                      <w:marLeft w:val="-225"/>
                      <w:marRight w:val="-225"/>
                      <w:marTop w:val="0"/>
                      <w:marBottom w:val="0"/>
                      <w:divBdr>
                        <w:top w:val="none" w:sz="0" w:space="0" w:color="auto"/>
                        <w:left w:val="none" w:sz="0" w:space="0" w:color="auto"/>
                        <w:bottom w:val="none" w:sz="0" w:space="0" w:color="auto"/>
                        <w:right w:val="none" w:sz="0" w:space="0" w:color="auto"/>
                      </w:divBdr>
                      <w:divsChild>
                        <w:div w:id="1678774050">
                          <w:marLeft w:val="0"/>
                          <w:marRight w:val="0"/>
                          <w:marTop w:val="0"/>
                          <w:marBottom w:val="0"/>
                          <w:divBdr>
                            <w:top w:val="none" w:sz="0" w:space="0" w:color="auto"/>
                            <w:left w:val="none" w:sz="0" w:space="0" w:color="auto"/>
                            <w:bottom w:val="none" w:sz="0" w:space="0" w:color="auto"/>
                            <w:right w:val="none" w:sz="0" w:space="0" w:color="auto"/>
                          </w:divBdr>
                          <w:divsChild>
                            <w:div w:id="1058552288">
                              <w:marLeft w:val="0"/>
                              <w:marRight w:val="0"/>
                              <w:marTop w:val="0"/>
                              <w:marBottom w:val="0"/>
                              <w:divBdr>
                                <w:top w:val="none" w:sz="0" w:space="0" w:color="auto"/>
                                <w:left w:val="none" w:sz="0" w:space="0" w:color="auto"/>
                                <w:bottom w:val="none" w:sz="0" w:space="0" w:color="auto"/>
                                <w:right w:val="none" w:sz="0" w:space="0" w:color="auto"/>
                              </w:divBdr>
                              <w:divsChild>
                                <w:div w:id="1044906119">
                                  <w:marLeft w:val="0"/>
                                  <w:marRight w:val="0"/>
                                  <w:marTop w:val="0"/>
                                  <w:marBottom w:val="0"/>
                                  <w:divBdr>
                                    <w:top w:val="none" w:sz="0" w:space="0" w:color="auto"/>
                                    <w:left w:val="none" w:sz="0" w:space="0" w:color="auto"/>
                                    <w:bottom w:val="none" w:sz="0" w:space="0" w:color="auto"/>
                                    <w:right w:val="none" w:sz="0" w:space="0" w:color="auto"/>
                                  </w:divBdr>
                                  <w:divsChild>
                                    <w:div w:id="932009408">
                                      <w:marLeft w:val="2400"/>
                                      <w:marRight w:val="2400"/>
                                      <w:marTop w:val="0"/>
                                      <w:marBottom w:val="0"/>
                                      <w:divBdr>
                                        <w:top w:val="none" w:sz="0" w:space="0" w:color="auto"/>
                                        <w:left w:val="none" w:sz="0" w:space="0" w:color="auto"/>
                                        <w:bottom w:val="none" w:sz="0" w:space="0" w:color="auto"/>
                                        <w:right w:val="none" w:sz="0" w:space="0" w:color="auto"/>
                                      </w:divBdr>
                                      <w:divsChild>
                                        <w:div w:id="803543870">
                                          <w:marLeft w:val="0"/>
                                          <w:marRight w:val="0"/>
                                          <w:marTop w:val="0"/>
                                          <w:marBottom w:val="0"/>
                                          <w:divBdr>
                                            <w:top w:val="none" w:sz="0" w:space="0" w:color="auto"/>
                                            <w:left w:val="none" w:sz="0" w:space="0" w:color="auto"/>
                                            <w:bottom w:val="none" w:sz="0" w:space="0" w:color="auto"/>
                                            <w:right w:val="none" w:sz="0" w:space="0" w:color="auto"/>
                                          </w:divBdr>
                                          <w:divsChild>
                                            <w:div w:id="7690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5245858">
      <w:bodyDiv w:val="1"/>
      <w:marLeft w:val="0"/>
      <w:marRight w:val="0"/>
      <w:marTop w:val="0"/>
      <w:marBottom w:val="0"/>
      <w:divBdr>
        <w:top w:val="none" w:sz="0" w:space="0" w:color="auto"/>
        <w:left w:val="none" w:sz="0" w:space="0" w:color="auto"/>
        <w:bottom w:val="none" w:sz="0" w:space="0" w:color="auto"/>
        <w:right w:val="none" w:sz="0" w:space="0" w:color="auto"/>
      </w:divBdr>
      <w:divsChild>
        <w:div w:id="921572301">
          <w:marLeft w:val="0"/>
          <w:marRight w:val="0"/>
          <w:marTop w:val="0"/>
          <w:marBottom w:val="0"/>
          <w:divBdr>
            <w:top w:val="none" w:sz="0" w:space="0" w:color="auto"/>
            <w:left w:val="none" w:sz="0" w:space="0" w:color="auto"/>
            <w:bottom w:val="none" w:sz="0" w:space="0" w:color="auto"/>
            <w:right w:val="none" w:sz="0" w:space="0" w:color="auto"/>
          </w:divBdr>
          <w:divsChild>
            <w:div w:id="1070075479">
              <w:marLeft w:val="0"/>
              <w:marRight w:val="0"/>
              <w:marTop w:val="0"/>
              <w:marBottom w:val="0"/>
              <w:divBdr>
                <w:top w:val="none" w:sz="0" w:space="0" w:color="auto"/>
                <w:left w:val="none" w:sz="0" w:space="0" w:color="auto"/>
                <w:bottom w:val="none" w:sz="0" w:space="0" w:color="auto"/>
                <w:right w:val="none" w:sz="0" w:space="0" w:color="auto"/>
              </w:divBdr>
              <w:divsChild>
                <w:div w:id="1114903245">
                  <w:marLeft w:val="0"/>
                  <w:marRight w:val="0"/>
                  <w:marTop w:val="0"/>
                  <w:marBottom w:val="0"/>
                  <w:divBdr>
                    <w:top w:val="none" w:sz="0" w:space="0" w:color="auto"/>
                    <w:left w:val="none" w:sz="0" w:space="0" w:color="auto"/>
                    <w:bottom w:val="none" w:sz="0" w:space="0" w:color="auto"/>
                    <w:right w:val="none" w:sz="0" w:space="0" w:color="auto"/>
                  </w:divBdr>
                  <w:divsChild>
                    <w:div w:id="1913156264">
                      <w:marLeft w:val="-225"/>
                      <w:marRight w:val="-225"/>
                      <w:marTop w:val="0"/>
                      <w:marBottom w:val="0"/>
                      <w:divBdr>
                        <w:top w:val="none" w:sz="0" w:space="0" w:color="auto"/>
                        <w:left w:val="none" w:sz="0" w:space="0" w:color="auto"/>
                        <w:bottom w:val="none" w:sz="0" w:space="0" w:color="auto"/>
                        <w:right w:val="none" w:sz="0" w:space="0" w:color="auto"/>
                      </w:divBdr>
                      <w:divsChild>
                        <w:div w:id="1900480709">
                          <w:marLeft w:val="0"/>
                          <w:marRight w:val="0"/>
                          <w:marTop w:val="0"/>
                          <w:marBottom w:val="0"/>
                          <w:divBdr>
                            <w:top w:val="none" w:sz="0" w:space="0" w:color="auto"/>
                            <w:left w:val="none" w:sz="0" w:space="0" w:color="auto"/>
                            <w:bottom w:val="none" w:sz="0" w:space="0" w:color="auto"/>
                            <w:right w:val="none" w:sz="0" w:space="0" w:color="auto"/>
                          </w:divBdr>
                          <w:divsChild>
                            <w:div w:id="737286015">
                              <w:marLeft w:val="0"/>
                              <w:marRight w:val="0"/>
                              <w:marTop w:val="0"/>
                              <w:marBottom w:val="0"/>
                              <w:divBdr>
                                <w:top w:val="none" w:sz="0" w:space="0" w:color="auto"/>
                                <w:left w:val="none" w:sz="0" w:space="0" w:color="auto"/>
                                <w:bottom w:val="none" w:sz="0" w:space="0" w:color="auto"/>
                                <w:right w:val="none" w:sz="0" w:space="0" w:color="auto"/>
                              </w:divBdr>
                              <w:divsChild>
                                <w:div w:id="834107762">
                                  <w:marLeft w:val="0"/>
                                  <w:marRight w:val="0"/>
                                  <w:marTop w:val="0"/>
                                  <w:marBottom w:val="0"/>
                                  <w:divBdr>
                                    <w:top w:val="none" w:sz="0" w:space="0" w:color="auto"/>
                                    <w:left w:val="none" w:sz="0" w:space="0" w:color="auto"/>
                                    <w:bottom w:val="none" w:sz="0" w:space="0" w:color="auto"/>
                                    <w:right w:val="none" w:sz="0" w:space="0" w:color="auto"/>
                                  </w:divBdr>
                                  <w:divsChild>
                                    <w:div w:id="724598757">
                                      <w:marLeft w:val="2400"/>
                                      <w:marRight w:val="2400"/>
                                      <w:marTop w:val="0"/>
                                      <w:marBottom w:val="0"/>
                                      <w:divBdr>
                                        <w:top w:val="none" w:sz="0" w:space="0" w:color="auto"/>
                                        <w:left w:val="none" w:sz="0" w:space="0" w:color="auto"/>
                                        <w:bottom w:val="none" w:sz="0" w:space="0" w:color="auto"/>
                                        <w:right w:val="none" w:sz="0" w:space="0" w:color="auto"/>
                                      </w:divBdr>
                                      <w:divsChild>
                                        <w:div w:id="1636333671">
                                          <w:marLeft w:val="0"/>
                                          <w:marRight w:val="0"/>
                                          <w:marTop w:val="0"/>
                                          <w:marBottom w:val="0"/>
                                          <w:divBdr>
                                            <w:top w:val="none" w:sz="0" w:space="0" w:color="auto"/>
                                            <w:left w:val="none" w:sz="0" w:space="0" w:color="auto"/>
                                            <w:bottom w:val="none" w:sz="0" w:space="0" w:color="auto"/>
                                            <w:right w:val="none" w:sz="0" w:space="0" w:color="auto"/>
                                          </w:divBdr>
                                          <w:divsChild>
                                            <w:div w:id="8776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578463">
      <w:bodyDiv w:val="1"/>
      <w:marLeft w:val="0"/>
      <w:marRight w:val="0"/>
      <w:marTop w:val="0"/>
      <w:marBottom w:val="0"/>
      <w:divBdr>
        <w:top w:val="none" w:sz="0" w:space="0" w:color="auto"/>
        <w:left w:val="none" w:sz="0" w:space="0" w:color="auto"/>
        <w:bottom w:val="none" w:sz="0" w:space="0" w:color="auto"/>
        <w:right w:val="none" w:sz="0" w:space="0" w:color="auto"/>
      </w:divBdr>
      <w:divsChild>
        <w:div w:id="1297833738">
          <w:marLeft w:val="0"/>
          <w:marRight w:val="0"/>
          <w:marTop w:val="0"/>
          <w:marBottom w:val="0"/>
          <w:divBdr>
            <w:top w:val="none" w:sz="0" w:space="0" w:color="auto"/>
            <w:left w:val="none" w:sz="0" w:space="0" w:color="auto"/>
            <w:bottom w:val="none" w:sz="0" w:space="0" w:color="auto"/>
            <w:right w:val="none" w:sz="0" w:space="0" w:color="auto"/>
          </w:divBdr>
          <w:divsChild>
            <w:div w:id="83767511">
              <w:marLeft w:val="0"/>
              <w:marRight w:val="0"/>
              <w:marTop w:val="0"/>
              <w:marBottom w:val="0"/>
              <w:divBdr>
                <w:top w:val="none" w:sz="0" w:space="0" w:color="auto"/>
                <w:left w:val="none" w:sz="0" w:space="0" w:color="auto"/>
                <w:bottom w:val="none" w:sz="0" w:space="0" w:color="auto"/>
                <w:right w:val="none" w:sz="0" w:space="0" w:color="auto"/>
              </w:divBdr>
              <w:divsChild>
                <w:div w:id="1001665363">
                  <w:marLeft w:val="0"/>
                  <w:marRight w:val="0"/>
                  <w:marTop w:val="0"/>
                  <w:marBottom w:val="0"/>
                  <w:divBdr>
                    <w:top w:val="none" w:sz="0" w:space="0" w:color="auto"/>
                    <w:left w:val="none" w:sz="0" w:space="0" w:color="auto"/>
                    <w:bottom w:val="none" w:sz="0" w:space="0" w:color="auto"/>
                    <w:right w:val="none" w:sz="0" w:space="0" w:color="auto"/>
                  </w:divBdr>
                  <w:divsChild>
                    <w:div w:id="1188058757">
                      <w:marLeft w:val="-225"/>
                      <w:marRight w:val="-225"/>
                      <w:marTop w:val="0"/>
                      <w:marBottom w:val="0"/>
                      <w:divBdr>
                        <w:top w:val="none" w:sz="0" w:space="0" w:color="auto"/>
                        <w:left w:val="none" w:sz="0" w:space="0" w:color="auto"/>
                        <w:bottom w:val="none" w:sz="0" w:space="0" w:color="auto"/>
                        <w:right w:val="none" w:sz="0" w:space="0" w:color="auto"/>
                      </w:divBdr>
                      <w:divsChild>
                        <w:div w:id="1358772617">
                          <w:marLeft w:val="0"/>
                          <w:marRight w:val="0"/>
                          <w:marTop w:val="0"/>
                          <w:marBottom w:val="0"/>
                          <w:divBdr>
                            <w:top w:val="none" w:sz="0" w:space="0" w:color="auto"/>
                            <w:left w:val="none" w:sz="0" w:space="0" w:color="auto"/>
                            <w:bottom w:val="none" w:sz="0" w:space="0" w:color="auto"/>
                            <w:right w:val="none" w:sz="0" w:space="0" w:color="auto"/>
                          </w:divBdr>
                          <w:divsChild>
                            <w:div w:id="924072249">
                              <w:marLeft w:val="0"/>
                              <w:marRight w:val="0"/>
                              <w:marTop w:val="0"/>
                              <w:marBottom w:val="0"/>
                              <w:divBdr>
                                <w:top w:val="none" w:sz="0" w:space="0" w:color="auto"/>
                                <w:left w:val="none" w:sz="0" w:space="0" w:color="auto"/>
                                <w:bottom w:val="none" w:sz="0" w:space="0" w:color="auto"/>
                                <w:right w:val="none" w:sz="0" w:space="0" w:color="auto"/>
                              </w:divBdr>
                              <w:divsChild>
                                <w:div w:id="555510616">
                                  <w:marLeft w:val="0"/>
                                  <w:marRight w:val="0"/>
                                  <w:marTop w:val="0"/>
                                  <w:marBottom w:val="0"/>
                                  <w:divBdr>
                                    <w:top w:val="none" w:sz="0" w:space="0" w:color="auto"/>
                                    <w:left w:val="none" w:sz="0" w:space="0" w:color="auto"/>
                                    <w:bottom w:val="none" w:sz="0" w:space="0" w:color="auto"/>
                                    <w:right w:val="none" w:sz="0" w:space="0" w:color="auto"/>
                                  </w:divBdr>
                                  <w:divsChild>
                                    <w:div w:id="248276510">
                                      <w:marLeft w:val="2400"/>
                                      <w:marRight w:val="2400"/>
                                      <w:marTop w:val="0"/>
                                      <w:marBottom w:val="0"/>
                                      <w:divBdr>
                                        <w:top w:val="none" w:sz="0" w:space="0" w:color="auto"/>
                                        <w:left w:val="none" w:sz="0" w:space="0" w:color="auto"/>
                                        <w:bottom w:val="none" w:sz="0" w:space="0" w:color="auto"/>
                                        <w:right w:val="none" w:sz="0" w:space="0" w:color="auto"/>
                                      </w:divBdr>
                                      <w:divsChild>
                                        <w:div w:id="1856459255">
                                          <w:marLeft w:val="0"/>
                                          <w:marRight w:val="0"/>
                                          <w:marTop w:val="0"/>
                                          <w:marBottom w:val="0"/>
                                          <w:divBdr>
                                            <w:top w:val="none" w:sz="0" w:space="0" w:color="auto"/>
                                            <w:left w:val="none" w:sz="0" w:space="0" w:color="auto"/>
                                            <w:bottom w:val="none" w:sz="0" w:space="0" w:color="auto"/>
                                            <w:right w:val="none" w:sz="0" w:space="0" w:color="auto"/>
                                          </w:divBdr>
                                          <w:divsChild>
                                            <w:div w:id="7892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8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Syed Affan Hussain</cp:lastModifiedBy>
  <cp:revision>3</cp:revision>
  <dcterms:created xsi:type="dcterms:W3CDTF">2024-09-27T11:13:00Z</dcterms:created>
  <dcterms:modified xsi:type="dcterms:W3CDTF">2024-10-22T06:22:00Z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2024-09-27T11:14:17Z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4ef8b821-87ab-43b0-8a29-d95f2f0bce32</vt:lpwstr>
  </property>
  <property fmtid="{D5CDD505-2E9C-101B-9397-08002B2CF9AE}" pid="8" name="MSIP_Label_4f2c76d5-45ba-4a63-8701-27a8aa3796e4_ContentBits">
    <vt:lpwstr>2</vt:lpwstr>
  </property>
</Properties>
</file>