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545"/>
      </w:tblGrid>
      <w:tr w:rsidR="005F4332" w:rsidRPr="005F4332" w:rsidTr="005F4332">
        <w:trPr>
          <w:trHeight w:val="276"/>
        </w:trPr>
        <w:tc>
          <w:tcPr>
            <w:tcW w:w="0" w:type="auto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Product Overview: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is a Sale contract wherein the Bank, upon the request of the customer, purchases an asset or commodity from the Supplier/Vendor and then sells it to the Customer on an immediate or deferred payment basis. It refers to a type of sale where the seller discloses the cost of commodity and the amount of profit being charged,</w:t>
            </w:r>
          </w:p>
        </w:tc>
      </w:tr>
      <w:tr w:rsidR="005F4332" w:rsidRPr="005F4332" w:rsidTr="005F4332">
        <w:trPr>
          <w:trHeight w:val="408"/>
        </w:trPr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5F4332" w:rsidRPr="005F4332" w:rsidRDefault="005F4332" w:rsidP="005F43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4332" w:rsidRPr="005F4332" w:rsidTr="005F4332">
        <w:trPr>
          <w:trHeight w:val="192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Underlying Islamic Mode: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</w:p>
        </w:tc>
      </w:tr>
      <w:tr w:rsidR="005F4332" w:rsidRPr="005F4332" w:rsidTr="005F4332">
        <w:trPr>
          <w:trHeight w:val="40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Type Of Product: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Corporate/Commercial/ SME</w:t>
            </w: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Basis For Pricing! Return: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The payment of the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price may be paid:</w:t>
            </w:r>
          </w:p>
          <w:p w:rsidR="005F4332" w:rsidRPr="005F4332" w:rsidRDefault="005F4332" w:rsidP="005F43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At Spot at the time of sale</w:t>
            </w:r>
          </w:p>
          <w:p w:rsidR="005F4332" w:rsidRPr="005F4332" w:rsidRDefault="005F4332" w:rsidP="005F43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In Installments</w:t>
            </w:r>
          </w:p>
          <w:p w:rsidR="005F4332" w:rsidRPr="005F4332" w:rsidRDefault="005F4332" w:rsidP="005F43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In lump Sum (bullet) after a certain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time period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As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requires disclosure of cost &amp; profit to customer, Bank is obliged to disclose to customer Incurred cost of goods and profit charged thereon.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Price= Cost + Profit (KIBOR + Spread).</w:t>
            </w: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 xml:space="preserve">Uses of </w:t>
            </w:r>
            <w:proofErr w:type="spellStart"/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Working Capital: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Facilitates Working capital needs such as Purchase of raw material, goods &amp; merchandise for manufacturing concerns.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Trade Finance: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Facilitates Import Finance and Export Financing (Pre-shipment).</w:t>
            </w: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br/>
            </w: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Unique Selling Points:</w:t>
            </w:r>
          </w:p>
          <w:p w:rsidR="005F4332" w:rsidRPr="005F4332" w:rsidRDefault="005F4332" w:rsidP="005F43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Flexible Repayment</w:t>
            </w:r>
          </w:p>
          <w:p w:rsidR="005F4332" w:rsidRPr="005F4332" w:rsidRDefault="005F4332" w:rsidP="005F43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Competitive pricing</w:t>
            </w:r>
          </w:p>
          <w:p w:rsidR="005F4332" w:rsidRPr="005F4332" w:rsidRDefault="005F4332" w:rsidP="005F43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Fixed reducing balance basis</w:t>
            </w:r>
          </w:p>
          <w:p w:rsidR="005F4332" w:rsidRPr="005F4332" w:rsidRDefault="005F4332" w:rsidP="005F43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Variable Tenures</w:t>
            </w: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Minimum &amp; Maximum Financing Limit:</w:t>
            </w:r>
          </w:p>
          <w:p w:rsidR="005F4332" w:rsidRPr="005F4332" w:rsidRDefault="005F4332" w:rsidP="005F43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Small Enterprises (SE): 25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Mi</w:t>
            </w:r>
            <w:proofErr w:type="spellEnd"/>
          </w:p>
          <w:p w:rsidR="005F4332" w:rsidRPr="005F4332" w:rsidRDefault="005F4332" w:rsidP="005F43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Medium Enterprise (ME): 200Mln</w:t>
            </w:r>
          </w:p>
          <w:p w:rsidR="005F4332" w:rsidRPr="005F4332" w:rsidRDefault="005F4332" w:rsidP="005F43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Commercial Customers: Exceed Rs.200Mln</w:t>
            </w:r>
          </w:p>
          <w:p w:rsidR="005F4332" w:rsidRPr="005F4332" w:rsidRDefault="005F4332" w:rsidP="005F43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Corporate Customers: Exceed Rs.300Mln</w:t>
            </w: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lastRenderedPageBreak/>
              <w:t>Tenure</w:t>
            </w:r>
          </w:p>
          <w:tbl>
            <w:tblPr>
              <w:tblW w:w="102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5981"/>
              <w:gridCol w:w="2996"/>
            </w:tblGrid>
            <w:tr w:rsidR="005F4332" w:rsidRPr="005F4332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u w:val="single"/>
                    </w:rPr>
                    <w:t>S. No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u w:val="single"/>
                    </w:rPr>
                    <w:t>Facility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u w:val="single"/>
                    </w:rPr>
                    <w:t>Maximum Tenor</w:t>
                  </w:r>
                </w:p>
              </w:tc>
            </w:tr>
            <w:tr w:rsidR="005F4332" w:rsidRPr="005F4332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Trade Finance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Up to 180 days</w:t>
                  </w:r>
                </w:p>
              </w:tc>
            </w:tr>
            <w:tr w:rsidR="005F4332" w:rsidRPr="005F4332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Working Capital Finance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Up to 1 year</w:t>
                  </w:r>
                </w:p>
              </w:tc>
            </w:tr>
            <w:tr w:rsidR="005F4332" w:rsidRPr="005F4332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Letter of Credit for Import of Machinery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F4332" w:rsidRPr="005F4332" w:rsidRDefault="005F4332" w:rsidP="005F433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332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Up to 18 Months</w:t>
                  </w:r>
                </w:p>
              </w:tc>
            </w:tr>
          </w:tbl>
          <w:p w:rsidR="005F4332" w:rsidRPr="005F4332" w:rsidRDefault="005F4332" w:rsidP="005F43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4332" w:rsidRPr="005F4332" w:rsidTr="005F4332">
        <w:trPr>
          <w:trHeight w:val="4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Other Salient Features:</w:t>
            </w:r>
          </w:p>
          <w:p w:rsidR="005F4332" w:rsidRPr="005F4332" w:rsidRDefault="005F4332" w:rsidP="005F43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The following are the rules governing a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transaction: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Asset/Commodity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being utilized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in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sale must exist at the time of the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Asset/Commodity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being utilized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should be in the ownership, either actual or constructive, of the seller at the time of sale.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Asset/Commodity being utilized must be in physical or constructive possession of the seller at the time of Sale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Asset/Commodity be ng utilized should be a property having value.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Asset/Commodity be ng utilized should not be a thing used for an un-Islamic (Haram) purpose.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Asset/Commodity be ng utilized must be specifically known and identifiable to the buyer.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sale must be instant and absolute.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Delivery of the sold commodity to the buyer must be certain.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Certainty of price is a necessary condition for the validity of the sale.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No, Price in a </w:t>
            </w:r>
            <w:proofErr w:type="spell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sale, once fixed,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cannot be changed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5F4332" w:rsidRPr="005F4332" w:rsidRDefault="005F4332" w:rsidP="005F43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Bank can charge a penalty for the overdue of payment period. However, this penalty amount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cannot be credited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into the Bank’s income. Rather, it </w:t>
            </w:r>
            <w:proofErr w:type="gramStart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>is credited</w:t>
            </w:r>
            <w:proofErr w:type="gramEnd"/>
            <w:r w:rsidRPr="005F4332">
              <w:rPr>
                <w:rFonts w:ascii="Tahoma" w:eastAsia="Times New Roman" w:hAnsi="Tahoma" w:cs="Tahoma"/>
                <w:sz w:val="24"/>
                <w:szCs w:val="24"/>
              </w:rPr>
              <w:t xml:space="preserve"> to a Charity Account from where the amount is used for charitable purposes.</w:t>
            </w:r>
          </w:p>
        </w:tc>
      </w:tr>
    </w:tbl>
    <w:p w:rsidR="00F56130" w:rsidRDefault="00F56130">
      <w:bookmarkStart w:id="0" w:name="_GoBack"/>
      <w:bookmarkEnd w:id="0"/>
    </w:p>
    <w:sectPr w:rsidR="00F561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332" w:rsidRDefault="005F4332" w:rsidP="005F4332">
      <w:pPr>
        <w:spacing w:after="0" w:line="240" w:lineRule="auto"/>
      </w:pPr>
      <w:r>
        <w:separator/>
      </w:r>
    </w:p>
  </w:endnote>
  <w:endnote w:type="continuationSeparator" w:id="0">
    <w:p w:rsidR="005F4332" w:rsidRDefault="005F4332" w:rsidP="005F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e3f4ae88d71e73ed7fbffd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4332" w:rsidRPr="005F4332" w:rsidRDefault="005F4332" w:rsidP="005F433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F433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3f4ae88d71e73ed7fbffd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Uda7e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F4332" w:rsidRPr="005F4332" w:rsidRDefault="005F4332" w:rsidP="005F433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F433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332" w:rsidRDefault="005F4332" w:rsidP="005F4332">
      <w:pPr>
        <w:spacing w:after="0" w:line="240" w:lineRule="auto"/>
      </w:pPr>
      <w:r>
        <w:separator/>
      </w:r>
    </w:p>
  </w:footnote>
  <w:footnote w:type="continuationSeparator" w:id="0">
    <w:p w:rsidR="005F4332" w:rsidRDefault="005F4332" w:rsidP="005F4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332" w:rsidRDefault="005F4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166"/>
    <w:multiLevelType w:val="multilevel"/>
    <w:tmpl w:val="87E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4B31"/>
    <w:multiLevelType w:val="multilevel"/>
    <w:tmpl w:val="D51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97D4C"/>
    <w:multiLevelType w:val="multilevel"/>
    <w:tmpl w:val="351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A2AAE"/>
    <w:multiLevelType w:val="multilevel"/>
    <w:tmpl w:val="18D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32"/>
    <w:rsid w:val="005F4332"/>
    <w:rsid w:val="00F5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C99F6C-8FD1-4C6B-8833-12807233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3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32"/>
  </w:style>
  <w:style w:type="paragraph" w:styleId="Footer">
    <w:name w:val="footer"/>
    <w:basedOn w:val="Normal"/>
    <w:link w:val="FooterChar"/>
    <w:uiPriority w:val="99"/>
    <w:unhideWhenUsed/>
    <w:rsid w:val="005F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2024-09-27T07:32:00Z</dcterms:created>
  <dcterms:modified xsi:type="dcterms:W3CDTF">2024-09-27T07:32:00Z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2024-09-27T07:32:35Z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de5281a2-ec2f-4afa-b9ab-ad7c9194fde1</vt:lpwstr>
  </property>
  <property fmtid="{D5CDD505-2E9C-101B-9397-08002B2CF9AE}" pid="8" name="MSIP_Label_4f2c76d5-45ba-4a63-8701-27a8aa3796e4_ContentBits">
    <vt:lpwstr>2</vt:lpwstr>
  </property>
</Properties>
</file>