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Overview:</w:t>
      </w:r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 Prime Minister’s </w:t>
      </w:r>
      <w:proofErr w:type="spellStart"/>
      <w:r w:rsidRPr="00F41042">
        <w:rPr>
          <w:rFonts w:ascii="Tahoma" w:eastAsia="Times New Roman" w:hAnsi="Tahoma" w:cs="Tahoma"/>
          <w:color w:val="6F7074"/>
          <w:sz w:val="24"/>
          <w:szCs w:val="24"/>
        </w:rPr>
        <w:t>Kamyab</w:t>
      </w:r>
      <w:proofErr w:type="spellEnd"/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F41042">
        <w:rPr>
          <w:rFonts w:ascii="Tahoma" w:eastAsia="Times New Roman" w:hAnsi="Tahoma" w:cs="Tahoma"/>
          <w:color w:val="6F7074"/>
          <w:sz w:val="24"/>
          <w:szCs w:val="24"/>
        </w:rPr>
        <w:t>Jawan</w:t>
      </w:r>
      <w:proofErr w:type="spellEnd"/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 Youth Entrepreneurship Program (PMKJ-YES) is an initiative by the Government of Pakistan to motivate the country’s youth to utilize their entrepreneurial skills and contribute in economy’s growth.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Underlying Islamic Mode of Financing: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Following modes of financing for each financing category </w:t>
      </w:r>
      <w:proofErr w:type="gramStart"/>
      <w:r w:rsidRPr="00F41042">
        <w:rPr>
          <w:rFonts w:ascii="Tahoma" w:eastAsia="Times New Roman" w:hAnsi="Tahoma" w:cs="Tahoma"/>
          <w:color w:val="6F7074"/>
          <w:sz w:val="24"/>
          <w:szCs w:val="24"/>
        </w:rPr>
        <w:t>shall be offered</w:t>
      </w:r>
      <w:proofErr w:type="gramEnd"/>
      <w:r w:rsidRPr="00F41042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15195"/>
      </w:tblGrid>
      <w:tr w:rsidR="00F41042" w:rsidRPr="00F41042" w:rsidTr="00F41042">
        <w:tc>
          <w:tcPr>
            <w:tcW w:w="38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Long Term Financing</w:t>
            </w:r>
          </w:p>
        </w:tc>
        <w:tc>
          <w:tcPr>
            <w:tcW w:w="90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Diminishing </w:t>
            </w:r>
            <w:proofErr w:type="spellStart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Musharakah</w:t>
            </w:r>
            <w:proofErr w:type="spellEnd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 (DM)</w:t>
            </w:r>
          </w:p>
        </w:tc>
      </w:tr>
      <w:tr w:rsidR="00F41042" w:rsidRPr="00F41042" w:rsidTr="00F41042">
        <w:tc>
          <w:tcPr>
            <w:tcW w:w="38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Financing of Vehicles</w:t>
            </w:r>
          </w:p>
        </w:tc>
        <w:tc>
          <w:tcPr>
            <w:tcW w:w="90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Diminishing </w:t>
            </w:r>
            <w:proofErr w:type="spellStart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Musharakah</w:t>
            </w:r>
            <w:proofErr w:type="spellEnd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 or any other mode as approved subsequently.</w:t>
            </w:r>
          </w:p>
        </w:tc>
      </w:tr>
      <w:tr w:rsidR="00F41042" w:rsidRPr="00F41042" w:rsidTr="00F41042">
        <w:tc>
          <w:tcPr>
            <w:tcW w:w="38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Working Capital Finance</w:t>
            </w:r>
          </w:p>
        </w:tc>
        <w:tc>
          <w:tcPr>
            <w:tcW w:w="90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Musawamah</w:t>
            </w:r>
            <w:proofErr w:type="spellEnd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Istisna</w:t>
            </w:r>
            <w:proofErr w:type="spellEnd"/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 xml:space="preserve"> or any other mode as approved subsequently.</w:t>
            </w:r>
          </w:p>
        </w:tc>
      </w:tr>
    </w:tbl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i/>
          <w:iCs/>
          <w:color w:val="6F7074"/>
          <w:sz w:val="24"/>
          <w:szCs w:val="24"/>
        </w:rPr>
        <w:t>Locally Manufactured Vehicles for commercial use only.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b/>
          <w:bCs/>
          <w:i/>
          <w:iCs/>
          <w:color w:val="6F7074"/>
          <w:sz w:val="24"/>
          <w:szCs w:val="24"/>
        </w:rPr>
        <w:t>Type of Product: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i/>
          <w:iCs/>
          <w:color w:val="6F7074"/>
          <w:sz w:val="24"/>
          <w:szCs w:val="24"/>
        </w:rPr>
        <w:t>SME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Financing size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i/>
          <w:iCs/>
          <w:color w:val="6F7074"/>
          <w:sz w:val="24"/>
          <w:szCs w:val="24"/>
        </w:rPr>
        <w:t>Size of the financing, segregated into three tiers, are as under: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3"/>
        <w:gridCol w:w="14677"/>
      </w:tblGrid>
      <w:tr w:rsidR="00F41042" w:rsidRPr="00F41042" w:rsidTr="00F41042">
        <w:tc>
          <w:tcPr>
            <w:tcW w:w="3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Tier 1 (T1) Financing</w:t>
            </w:r>
          </w:p>
        </w:tc>
        <w:tc>
          <w:tcPr>
            <w:tcW w:w="74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 xml:space="preserve">. 100,000 to </w:t>
            </w: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. 1 million</w:t>
            </w:r>
          </w:p>
        </w:tc>
      </w:tr>
      <w:tr w:rsidR="00F41042" w:rsidRPr="00F41042" w:rsidTr="00F41042">
        <w:tc>
          <w:tcPr>
            <w:tcW w:w="3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Tier 2 (T2) Financing</w:t>
            </w:r>
          </w:p>
        </w:tc>
        <w:tc>
          <w:tcPr>
            <w:tcW w:w="74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 xml:space="preserve">Above </w:t>
            </w: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 xml:space="preserve">. 1 million and up to </w:t>
            </w: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. 10 million</w:t>
            </w:r>
          </w:p>
        </w:tc>
      </w:tr>
      <w:tr w:rsidR="00F41042" w:rsidRPr="00F41042" w:rsidTr="00F41042">
        <w:tc>
          <w:tcPr>
            <w:tcW w:w="34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Tier 3 (T3) Financing</w:t>
            </w:r>
          </w:p>
        </w:tc>
        <w:tc>
          <w:tcPr>
            <w:tcW w:w="74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 xml:space="preserve">Above </w:t>
            </w: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 xml:space="preserve">. 10 million and up to </w:t>
            </w:r>
            <w:proofErr w:type="spellStart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Rs</w:t>
            </w:r>
            <w:proofErr w:type="spellEnd"/>
            <w:r w:rsidRPr="00F41042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. 25 million</w:t>
            </w:r>
          </w:p>
        </w:tc>
      </w:tr>
    </w:tbl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Basis for Pricing:</w:t>
      </w:r>
    </w:p>
    <w:tbl>
      <w:tblPr>
        <w:tblW w:w="109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4485"/>
        <w:gridCol w:w="4485"/>
      </w:tblGrid>
      <w:tr w:rsidR="00F41042" w:rsidRPr="00F41042" w:rsidTr="00F41042"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Limit Caps (PKR)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Pricing</w:t>
            </w:r>
          </w:p>
        </w:tc>
      </w:tr>
      <w:tr w:rsidR="00F41042" w:rsidRPr="00F41042" w:rsidTr="00F41042"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 1 (T1)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0.100M to 1.000M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3.00% p.a.</w:t>
            </w:r>
          </w:p>
        </w:tc>
      </w:tr>
      <w:tr w:rsidR="00F41042" w:rsidRPr="00F41042" w:rsidTr="00F41042"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 2 (T2)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&gt; 1.000M to 10.000M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4.00% p.a.</w:t>
            </w:r>
          </w:p>
        </w:tc>
      </w:tr>
      <w:tr w:rsidR="00F41042" w:rsidRPr="00F41042" w:rsidTr="00F41042"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 3 (T3)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&gt; 10.000M to 25.000M</w:t>
            </w:r>
          </w:p>
        </w:tc>
        <w:tc>
          <w:tcPr>
            <w:tcW w:w="4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5.00% p.a.</w:t>
            </w:r>
          </w:p>
        </w:tc>
      </w:tr>
    </w:tbl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Debt to Equity Ratio: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6"/>
        <w:gridCol w:w="6952"/>
        <w:gridCol w:w="6952"/>
      </w:tblGrid>
      <w:tr w:rsidR="00F41042" w:rsidRPr="00F41042" w:rsidTr="00F41042">
        <w:tc>
          <w:tcPr>
            <w:tcW w:w="38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Type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 1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Tier 2 &amp; 3</w:t>
            </w:r>
          </w:p>
        </w:tc>
      </w:tr>
      <w:tr w:rsidR="00F41042" w:rsidRPr="00F41042" w:rsidTr="00F41042">
        <w:tc>
          <w:tcPr>
            <w:tcW w:w="38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New Business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90:10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80:20</w:t>
            </w:r>
          </w:p>
        </w:tc>
      </w:tr>
      <w:tr w:rsidR="00F41042" w:rsidRPr="00F41042" w:rsidTr="00F41042">
        <w:tc>
          <w:tcPr>
            <w:tcW w:w="38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Existing Business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Nil*</w:t>
            </w:r>
          </w:p>
        </w:tc>
        <w:tc>
          <w:tcPr>
            <w:tcW w:w="351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1042" w:rsidRPr="00F41042" w:rsidRDefault="00F41042" w:rsidP="00F4104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41042">
              <w:rPr>
                <w:rFonts w:ascii="Tahoma" w:eastAsia="Times New Roman" w:hAnsi="Tahoma" w:cs="Tahoma"/>
                <w:sz w:val="24"/>
                <w:szCs w:val="24"/>
              </w:rPr>
              <w:t>Nil*</w:t>
            </w:r>
          </w:p>
        </w:tc>
      </w:tr>
    </w:tbl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Security Requirements: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Security arrangements will be as under: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·        T1 Financing: Clean; however only personal guarantee of the customer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·        T2 &amp; T3 Financing: As per bank’s own credit policy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lastRenderedPageBreak/>
        <w:t>·        Vehicle financed under T1, T2 and T3 to serve as collateral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Charges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As per prevailing Bank’s SOC to </w:t>
      </w:r>
      <w:proofErr w:type="gramStart"/>
      <w:r w:rsidRPr="00F41042">
        <w:rPr>
          <w:rFonts w:ascii="Tahoma" w:eastAsia="Times New Roman" w:hAnsi="Tahoma" w:cs="Tahoma"/>
          <w:color w:val="6F7074"/>
          <w:sz w:val="24"/>
          <w:szCs w:val="24"/>
        </w:rPr>
        <w:t>be charged</w:t>
      </w:r>
      <w:proofErr w:type="gramEnd"/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 for underlying financing products</w:t>
      </w:r>
    </w:p>
    <w:p w:rsidR="00F41042" w:rsidRPr="00F41042" w:rsidRDefault="00F41042" w:rsidP="00F4104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</w:rPr>
      </w:pPr>
      <w:r w:rsidRPr="00F41042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Tenor: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color w:val="6F7074"/>
          <w:sz w:val="24"/>
          <w:szCs w:val="24"/>
        </w:rPr>
        <w:t>As per the PMKJ-YES Program, tenor of financing shall be up to 08 years with maximum grace period up to 01 year.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Portfolio Loss Sharing by Government  </w:t>
      </w:r>
    </w:p>
    <w:p w:rsidR="00F41042" w:rsidRPr="00F41042" w:rsidRDefault="00F41042" w:rsidP="00F410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41042">
        <w:rPr>
          <w:rFonts w:ascii="Tahoma" w:eastAsia="Times New Roman" w:hAnsi="Tahoma" w:cs="Tahoma"/>
          <w:color w:val="6F7074"/>
          <w:sz w:val="24"/>
          <w:szCs w:val="24"/>
        </w:rPr>
        <w:t>On behalf of Government of Pakistan, State Bank will make payment of 50%, 20% &amp;10% credit losses of outstanding principle portion only for Tier 1, Tier</w:t>
      </w:r>
      <w:proofErr w:type="gramStart"/>
      <w:r w:rsidRPr="00F41042">
        <w:rPr>
          <w:rFonts w:ascii="Tahoma" w:eastAsia="Times New Roman" w:hAnsi="Tahoma" w:cs="Tahoma"/>
          <w:color w:val="6F7074"/>
          <w:sz w:val="24"/>
          <w:szCs w:val="24"/>
        </w:rPr>
        <w:t>,2</w:t>
      </w:r>
      <w:proofErr w:type="gramEnd"/>
      <w:r w:rsidRPr="00F41042">
        <w:rPr>
          <w:rFonts w:ascii="Tahoma" w:eastAsia="Times New Roman" w:hAnsi="Tahoma" w:cs="Tahoma"/>
          <w:color w:val="6F7074"/>
          <w:sz w:val="24"/>
          <w:szCs w:val="24"/>
        </w:rPr>
        <w:t xml:space="preserve"> &amp; Tier 3 respectively.</w:t>
      </w:r>
    </w:p>
    <w:p w:rsidR="00F41042" w:rsidRDefault="00F41042" w:rsidP="00F4104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b/>
          <w:bCs/>
          <w:color w:val="6F7074"/>
        </w:rPr>
        <w:t>Eligibility Criteria</w:t>
      </w:r>
    </w:p>
    <w:p w:rsidR="00F41042" w:rsidRDefault="00F41042" w:rsidP="00F4104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All Pakistani citizens, holding valid CNIC with entrepreneurial potential are eligible.</w:t>
      </w:r>
    </w:p>
    <w:p w:rsidR="00F41042" w:rsidRDefault="00F41042" w:rsidP="00F41042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In case of individuals or sole proprietor, age should be between 21 years to 45 years. However, in case of IT or E-Commerce related business, lower age limit will be 18 years.</w:t>
      </w:r>
    </w:p>
    <w:p w:rsidR="00671A6E" w:rsidRDefault="00671A6E">
      <w:bookmarkStart w:id="0" w:name="_GoBack"/>
      <w:bookmarkEnd w:id="0"/>
    </w:p>
    <w:sectPr w:rsidR="00671A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42" w:rsidRDefault="00F41042" w:rsidP="00F41042">
      <w:pPr>
        <w:spacing w:after="0" w:line="240" w:lineRule="auto"/>
      </w:pPr>
      <w:r>
        <w:separator/>
      </w:r>
    </w:p>
  </w:endnote>
  <w:endnote w:type="continuationSeparator" w:id="0">
    <w:p w:rsidR="00F41042" w:rsidRDefault="00F41042" w:rsidP="00F4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4b540628f5b434eed77b850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41042" w:rsidRPr="00F41042" w:rsidRDefault="00F41042" w:rsidP="00F4104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4104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4b540628f5b434eed77b850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CLhYhWGAMAADcGAAAOAAAAAAAAAAAAAAAA&#10;AC4CAABkcnMvZTJvRG9jLnhtbFBLAQItABQABgAIAAAAIQAYBUDc3gAAAAsBAAAPAAAAAAAAAAAA&#10;AAAAAHIFAABkcnMvZG93bnJldi54bWxQSwUGAAAAAAQABADzAAAAfQYAAAAA&#10;" o:allowincell="f" filled="f" stroked="f" strokeweight=".5pt">
              <v:fill o:detectmouseclick="t"/>
              <v:textbox inset="20pt,0,,0">
                <w:txbxContent>
                  <w:p w:rsidR="00F41042" w:rsidRPr="00F41042" w:rsidRDefault="00F41042" w:rsidP="00F4104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4104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42" w:rsidRDefault="00F41042" w:rsidP="00F41042">
      <w:pPr>
        <w:spacing w:after="0" w:line="240" w:lineRule="auto"/>
      </w:pPr>
      <w:r>
        <w:separator/>
      </w:r>
    </w:p>
  </w:footnote>
  <w:footnote w:type="continuationSeparator" w:id="0">
    <w:p w:rsidR="00F41042" w:rsidRDefault="00F41042" w:rsidP="00F4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42" w:rsidRDefault="00F41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42"/>
    <w:rsid w:val="00671A6E"/>
    <w:rsid w:val="00F4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E3EEF9-8A02-48C6-85B3-AA5568E4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0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42"/>
  </w:style>
  <w:style w:type="paragraph" w:styleId="Footer">
    <w:name w:val="footer"/>
    <w:basedOn w:val="Normal"/>
    <w:link w:val="FooterChar"/>
    <w:uiPriority w:val="99"/>
    <w:unhideWhenUsed/>
    <w:rsid w:val="00F4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2024-09-27T07:33:00Z</dcterms:created>
  <dcterms:modified xsi:type="dcterms:W3CDTF">2024-09-27T07:33:00Z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2024-09-27T07:33:46Z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0ecec21b-c03a-4ca6-a9c1-889e461f4405</vt:lpwstr>
  </property>
  <property fmtid="{D5CDD505-2E9C-101B-9397-08002B2CF9AE}" pid="8" name="MSIP_Label_4f2c76d5-45ba-4a63-8701-27a8aa3796e4_ContentBits">
    <vt:lpwstr>2</vt:lpwstr>
  </property>
</Properties>
</file>