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77" w:rsidRPr="002C6188" w:rsidRDefault="002C6188">
      <w:pPr>
        <w:rPr>
          <w:b/>
        </w:rPr>
      </w:pPr>
      <w:r w:rsidRPr="002C6188">
        <w:rPr>
          <w:b/>
        </w:rPr>
        <w:t>Product Features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A profit bearing account based on the principles of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Mudarabah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>, where Customer is “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Rab-ul-Maal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>” and Bank is “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Mudarib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”. Bank may, at its discretion, use or employ such funds as it deems fit under the products and avenues approved by the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Board of the Bank. Bank shall share the profit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on the basis of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predetermined profit sharing ratio. Return on deposits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will be based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on predetermined weightages for each month or any interval decided by the bank and announced as per SBP’s instructions. A sheet containing this information shall be available on Customer’s demand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and also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be placed at the public notice board of branches and on the website of the bank.   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In the event of loss to the pool, all the investors of the pool shall share such loss proportionate to their investment. The Bank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may at its option also participate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in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Mudarabah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Pool as “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Rab-ul-Maal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>” by comingling its own equity/funds and the funds of other depositors including the current deposits as and when required.  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Currency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: Pak Rupees only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Minimum Investment Requirement</w:t>
      </w:r>
      <w:r w:rsidRPr="002C6188">
        <w:rPr>
          <w:rFonts w:ascii="Tahoma" w:eastAsia="Times New Roman" w:hAnsi="Tahoma" w:cs="Tahoma"/>
          <w:color w:val="003366"/>
          <w:sz w:val="24"/>
          <w:szCs w:val="24"/>
        </w:rPr>
        <w:t>: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 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. 2000 monthly,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. 6000 quarterly,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. 12,000 semiannually &amp; </w:t>
      </w:r>
      <w:proofErr w:type="spell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>. 24,000 annually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Term</w:t>
      </w:r>
      <w:r w:rsidRPr="002C61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 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Multiple term options starting from 1 year up to 10 years.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Structure</w:t>
      </w:r>
      <w:r w:rsidRPr="002C61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 Single tier structure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Profit calculation basis:</w:t>
      </w:r>
    </w:p>
    <w:p w:rsidR="002C6188" w:rsidRPr="002C6188" w:rsidRDefault="002C6188" w:rsidP="002C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>Profit calculation on daily basis</w:t>
      </w:r>
    </w:p>
    <w:p w:rsidR="002C6188" w:rsidRPr="002C6188" w:rsidRDefault="002C6188" w:rsidP="002C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>Profit for the final month shall be calculated as the per the latest declared profit rate(s)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Frequency of Profit Payment:</w:t>
      </w:r>
      <w:r w:rsidRPr="002C61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Monthly Profit disbursement in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customer’s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checking account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Statutory</w:t>
      </w:r>
      <w:r w:rsidRPr="002C61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 WHT and Zakat as per Government’s rules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Others</w:t>
      </w:r>
      <w:r w:rsidRPr="002C61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</w:p>
    <w:p w:rsidR="002C6188" w:rsidRPr="002C6188" w:rsidRDefault="002C6188" w:rsidP="002C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>Rollover applicable as per the instructions given on the request form</w:t>
      </w:r>
    </w:p>
    <w:p w:rsidR="002C6188" w:rsidRPr="002C6188" w:rsidRDefault="002C6188" w:rsidP="002C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6188">
        <w:rPr>
          <w:rFonts w:ascii="Tahoma" w:eastAsia="Times New Roman" w:hAnsi="Tahoma" w:cs="Tahoma"/>
          <w:color w:val="6F7074"/>
          <w:sz w:val="24"/>
          <w:szCs w:val="24"/>
        </w:rPr>
        <w:t>No premature encashment fee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Other Terms &amp; Conditions: 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>As detailed in Request form</w:t>
      </w:r>
    </w:p>
    <w:p w:rsidR="002C6188" w:rsidRPr="002C6188" w:rsidRDefault="002C6188" w:rsidP="002C6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618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Missed Instalments: 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Not being able to pay the installment until the 10th of the month when due, will violate the contract and the product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will be liquidated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r w:rsidRPr="002C6188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automatically. In such </w:t>
      </w:r>
      <w:proofErr w:type="gramStart"/>
      <w:r w:rsidRPr="002C6188">
        <w:rPr>
          <w:rFonts w:ascii="Tahoma" w:eastAsia="Times New Roman" w:hAnsi="Tahoma" w:cs="Tahoma"/>
          <w:color w:val="6F7074"/>
          <w:sz w:val="24"/>
          <w:szCs w:val="24"/>
        </w:rPr>
        <w:t>cases</w:t>
      </w:r>
      <w:proofErr w:type="gramEnd"/>
      <w:r w:rsidRPr="002C6188">
        <w:rPr>
          <w:rFonts w:ascii="Tahoma" w:eastAsia="Times New Roman" w:hAnsi="Tahoma" w:cs="Tahoma"/>
          <w:color w:val="6F7074"/>
          <w:sz w:val="24"/>
          <w:szCs w:val="24"/>
        </w:rPr>
        <w:t xml:space="preserve"> the customer will be returned the accumulated balance and the profit as per declared rates</w:t>
      </w:r>
    </w:p>
    <w:p w:rsidR="002C6188" w:rsidRPr="002C6188" w:rsidRDefault="002C6188">
      <w:pPr>
        <w:rPr>
          <w:b/>
        </w:rPr>
      </w:pPr>
      <w:bookmarkStart w:id="0" w:name="_GoBack"/>
      <w:r w:rsidRPr="002C6188">
        <w:rPr>
          <w:b/>
        </w:rPr>
        <w:t>Eligibility Criteria</w:t>
      </w:r>
    </w:p>
    <w:bookmarkEnd w:id="0"/>
    <w:p w:rsidR="002C6188" w:rsidRDefault="002C6188">
      <w:r>
        <w:rPr>
          <w:rFonts w:ascii="Tahoma" w:hAnsi="Tahoma" w:cs="Tahoma"/>
          <w:color w:val="6F7074"/>
          <w:shd w:val="clear" w:color="auto" w:fill="FFFFFF"/>
        </w:rPr>
        <w:t>All IBG current and saving account holders are eligible except for corporations, government entities and FCY deposits.</w:t>
      </w:r>
    </w:p>
    <w:sectPr w:rsidR="002C6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188" w:rsidRDefault="002C6188" w:rsidP="002C6188">
      <w:pPr>
        <w:spacing w:after="0" w:line="240" w:lineRule="auto"/>
      </w:pPr>
      <w:r>
        <w:separator/>
      </w:r>
    </w:p>
  </w:endnote>
  <w:endnote w:type="continuationSeparator" w:id="0">
    <w:p w:rsidR="002C6188" w:rsidRDefault="002C6188" w:rsidP="002C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bff40d8875d605b6115b067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6188" w:rsidRPr="002C6188" w:rsidRDefault="002C6188" w:rsidP="002C618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C618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bff40d8875d605b6115b067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gwBct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2C6188" w:rsidRPr="002C6188" w:rsidRDefault="002C6188" w:rsidP="002C618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C618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188" w:rsidRDefault="002C6188" w:rsidP="002C6188">
      <w:pPr>
        <w:spacing w:after="0" w:line="240" w:lineRule="auto"/>
      </w:pPr>
      <w:r>
        <w:separator/>
      </w:r>
    </w:p>
  </w:footnote>
  <w:footnote w:type="continuationSeparator" w:id="0">
    <w:p w:rsidR="002C6188" w:rsidRDefault="002C6188" w:rsidP="002C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88" w:rsidRDefault="002C6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07BE"/>
    <w:multiLevelType w:val="multilevel"/>
    <w:tmpl w:val="472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3771C"/>
    <w:multiLevelType w:val="multilevel"/>
    <w:tmpl w:val="8A6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88"/>
    <w:rsid w:val="002C6188"/>
    <w:rsid w:val="002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B4A45"/>
  <w15:chartTrackingRefBased/>
  <w15:docId w15:val="{79F20210-9B3D-43D6-A4A7-A38E5DD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88"/>
  </w:style>
  <w:style w:type="paragraph" w:styleId="Footer">
    <w:name w:val="footer"/>
    <w:basedOn w:val="Normal"/>
    <w:link w:val="FooterChar"/>
    <w:uiPriority w:val="99"/>
    <w:unhideWhenUsed/>
    <w:rsid w:val="002C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2024-09-26T10:45:00Z</dcterms:created>
  <dcterms:modified xsi:type="dcterms:W3CDTF">2024-09-26T10:45:00Z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2024-09-26T10:45:52Z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99dbaeaa-8233-4edf-b779-2a8d506ca02f</vt:lpwstr>
  </property>
  <property fmtid="{D5CDD505-2E9C-101B-9397-08002B2CF9AE}" pid="8" name="MSIP_Label_4f2c76d5-45ba-4a63-8701-27a8aa3796e4_ContentBits">
    <vt:lpwstr>2</vt:lpwstr>
  </property>
</Properties>
</file>