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kern w:val="2"/>
        </w:rPr>
        <w:t>Development and Validation of a Novel Posture Monitoring System</w:t>
      </w:r>
    </w:p>
    <w:p>
      <w:pPr>
        <w:pStyle w:val="Author"/>
        <w:spacing w:lineRule="auto" w:line="120" w:beforeAutospacing="1" w:afterAutospacing="1"/>
        <w:rPr>
          <w:sz w:val="16"/>
          <w:szCs w:val="16"/>
        </w:rPr>
      </w:pPr>
      <w:r>
        <w:rPr>
          <w:sz w:val="16"/>
          <w:szCs w:val="16"/>
        </w:rPr>
      </w:r>
    </w:p>
    <w:p>
      <w:pPr>
        <w:sectPr>
          <w:type w:val="nextPage"/>
          <w:pgSz w:w="11906" w:h="16838"/>
          <w:pgMar w:left="893" w:right="893" w:gutter="0" w:header="0" w:top="540" w:footer="0" w:bottom="1440"/>
          <w:pgNumType w:fmt="decimal"/>
          <w:formProt w:val="false"/>
          <w:textDirection w:val="lrTb"/>
          <w:docGrid w:type="default" w:linePitch="360" w:charSpace="8192"/>
        </w:sectPr>
      </w:pPr>
    </w:p>
    <w:p>
      <w:pPr>
        <w:pStyle w:val="Author"/>
        <w:spacing w:beforeAutospacing="1" w:after="40"/>
        <w:rPr>
          <w:sz w:val="18"/>
          <w:szCs w:val="18"/>
        </w:rPr>
      </w:pPr>
      <w:r>
        <w:rPr>
          <w:sz w:val="18"/>
          <w:szCs w:val="18"/>
        </w:rPr>
        <w:t xml:space="preserve">Sai Sri Harini.C </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br/>
      </w:r>
    </w:p>
    <w:p>
      <w:pPr>
        <w:pStyle w:val="Author"/>
        <w:spacing w:beforeAutospacing="1" w:after="40"/>
        <w:rPr>
          <w:sz w:val="18"/>
          <w:szCs w:val="18"/>
        </w:rPr>
      </w:pPr>
      <w:r>
        <w:rPr>
          <w:sz w:val="18"/>
          <w:szCs w:val="18"/>
        </w:rPr>
      </w:r>
    </w:p>
    <w:p>
      <w:pPr>
        <w:pStyle w:val="Normal"/>
        <w:spacing w:before="0" w:after="0"/>
        <w:ind w:hanging="0"/>
        <w:rPr>
          <w:sz w:val="18"/>
          <w:szCs w:val="18"/>
        </w:rPr>
      </w:pPr>
      <w:r>
        <w:br w:type="column"/>
      </w:r>
      <w:r>
        <w:rPr>
          <w:sz w:val="18"/>
          <w:szCs w:val="18"/>
        </w:rPr>
        <w:t xml:space="preserve">Syed Althamish ur Rahman </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rPr>
          <w:sz w:val="18"/>
          <w:szCs w:val="18"/>
        </w:rPr>
      </w:r>
    </w:p>
    <w:p>
      <w:pPr>
        <w:pStyle w:val="Author"/>
        <w:spacing w:beforeAutospacing="1" w:after="40"/>
        <w:rPr>
          <w:sz w:val="18"/>
          <w:szCs w:val="18"/>
        </w:rPr>
      </w:pPr>
      <w:r>
        <w:rPr>
          <w:sz w:val="18"/>
          <w:szCs w:val="18"/>
        </w:rPr>
        <w:t>Sarvesh Rajavel.R</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br w:type="column"/>
      </w:r>
      <w:r>
        <w:rPr>
          <w:sz w:val="18"/>
          <w:szCs w:val="18"/>
        </w:rPr>
        <w:t>Kefira Jane.J</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rPr>
          <w:sz w:val="18"/>
          <w:szCs w:val="18"/>
        </w:rPr>
      </w:r>
    </w:p>
    <w:p>
      <w:pPr>
        <w:pStyle w:val="Author"/>
        <w:spacing w:beforeAutospacing="1" w:after="40"/>
        <w:rPr/>
      </w:pPr>
      <w:r>
        <w:rPr/>
        <w:t xml:space="preserve"> </w:t>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Abstract"/>
        <w:rPr>
          <w:i/>
          <w:i/>
          <w:iCs/>
        </w:rPr>
      </w:pPr>
      <w:r>
        <w:rPr>
          <w:i/>
          <w:iCs/>
        </w:rPr>
        <w:t>Abstract</w:t>
      </w:r>
      <w:r>
        <w:rPr/>
        <w:t>—In</w:t>
      </w:r>
      <w:r>
        <w:rPr>
          <w:spacing w:val="1"/>
        </w:rPr>
        <w:t xml:space="preserve"> </w:t>
      </w:r>
      <w:r>
        <w:rPr/>
        <w:t>contemporary</w:t>
      </w:r>
      <w:r>
        <w:rPr>
          <w:spacing w:val="1"/>
        </w:rPr>
        <w:t xml:space="preserve"> </w:t>
      </w:r>
      <w:r>
        <w:rPr/>
        <w:t>society, posture-related</w:t>
      </w:r>
      <w:r>
        <w:rPr>
          <w:spacing w:val="-53"/>
        </w:rPr>
        <w:t xml:space="preserve"> </w:t>
      </w:r>
      <w:r>
        <w:rPr/>
        <w:t>musculoskeletal</w:t>
      </w:r>
      <w:r>
        <w:rPr>
          <w:spacing w:val="1"/>
        </w:rPr>
        <w:t xml:space="preserve"> </w:t>
      </w:r>
      <w:r>
        <w:rPr/>
        <w:t>disorders</w:t>
      </w:r>
      <w:r>
        <w:rPr>
          <w:spacing w:val="1"/>
        </w:rPr>
        <w:t xml:space="preserve"> </w:t>
      </w:r>
      <w:r>
        <w:rPr/>
        <w:t>are</w:t>
      </w:r>
      <w:r>
        <w:rPr>
          <w:spacing w:val="1"/>
        </w:rPr>
        <w:t xml:space="preserve"> </w:t>
      </w:r>
      <w:r>
        <w:rPr/>
        <w:t>on</w:t>
      </w:r>
      <w:r>
        <w:rPr>
          <w:spacing w:val="1"/>
        </w:rPr>
        <w:t xml:space="preserve"> </w:t>
      </w:r>
      <w:r>
        <w:rPr/>
        <w:t>the</w:t>
      </w:r>
      <w:r>
        <w:rPr>
          <w:spacing w:val="-52"/>
        </w:rPr>
        <w:t xml:space="preserve"> </w:t>
      </w:r>
      <w:r>
        <w:rPr/>
        <w:t>rise</w:t>
      </w:r>
      <w:r>
        <w:rPr>
          <w:spacing w:val="1"/>
        </w:rPr>
        <w:t xml:space="preserve"> </w:t>
      </w:r>
      <w:r>
        <w:rPr/>
        <w:t>due</w:t>
      </w:r>
      <w:r>
        <w:rPr>
          <w:spacing w:val="1"/>
        </w:rPr>
        <w:t xml:space="preserve"> </w:t>
      </w:r>
      <w:r>
        <w:rPr/>
        <w:t>to</w:t>
      </w:r>
      <w:r>
        <w:rPr>
          <w:spacing w:val="1"/>
        </w:rPr>
        <w:t xml:space="preserve"> </w:t>
      </w:r>
      <w:r>
        <w:rPr/>
        <w:t>extended</w:t>
      </w:r>
      <w:r>
        <w:rPr>
          <w:spacing w:val="1"/>
        </w:rPr>
        <w:t xml:space="preserve"> </w:t>
      </w:r>
      <w:r>
        <w:rPr/>
        <w:t>periods</w:t>
      </w:r>
      <w:r>
        <w:rPr>
          <w:spacing w:val="1"/>
        </w:rPr>
        <w:t xml:space="preserve"> </w:t>
      </w:r>
      <w:r>
        <w:rPr/>
        <w:t>of</w:t>
      </w:r>
      <w:r>
        <w:rPr>
          <w:spacing w:val="1"/>
        </w:rPr>
        <w:t xml:space="preserve"> </w:t>
      </w:r>
      <w:r>
        <w:rPr>
          <w:spacing w:val="-1"/>
        </w:rPr>
        <w:t>sedentary</w:t>
      </w:r>
      <w:r>
        <w:rPr>
          <w:spacing w:val="-13"/>
        </w:rPr>
        <w:t xml:space="preserve"> </w:t>
      </w:r>
      <w:r>
        <w:rPr/>
        <w:t>behavior</w:t>
      </w:r>
      <w:r>
        <w:rPr>
          <w:spacing w:val="-13"/>
        </w:rPr>
        <w:t xml:space="preserve"> </w:t>
      </w:r>
      <w:r>
        <w:rPr/>
        <w:t>and</w:t>
      </w:r>
      <w:r>
        <w:rPr>
          <w:spacing w:val="-12"/>
        </w:rPr>
        <w:t xml:space="preserve"> </w:t>
      </w:r>
      <w:r>
        <w:rPr/>
        <w:t>repetitive</w:t>
      </w:r>
      <w:r>
        <w:rPr>
          <w:spacing w:val="-13"/>
        </w:rPr>
        <w:t xml:space="preserve"> </w:t>
      </w:r>
      <w:r>
        <w:rPr/>
        <w:t>tasks with people spending most</w:t>
      </w:r>
      <w:r>
        <w:rPr>
          <w:spacing w:val="-52"/>
        </w:rPr>
        <w:t xml:space="preserve"> </w:t>
      </w:r>
      <w:r>
        <w:rPr/>
        <w:t>of their time slouching and hunching</w:t>
      </w:r>
      <w:r>
        <w:rPr>
          <w:spacing w:val="1"/>
        </w:rPr>
        <w:t xml:space="preserve"> </w:t>
      </w:r>
      <w:r>
        <w:rPr/>
        <w:t>over</w:t>
      </w:r>
      <w:r>
        <w:rPr>
          <w:spacing w:val="1"/>
        </w:rPr>
        <w:t xml:space="preserve"> </w:t>
      </w:r>
      <w:r>
        <w:rPr/>
        <w:t>desktop</w:t>
      </w:r>
      <w:r>
        <w:rPr>
          <w:spacing w:val="1"/>
        </w:rPr>
        <w:t xml:space="preserve"> </w:t>
      </w:r>
      <w:r>
        <w:rPr/>
        <w:t>screens,</w:t>
      </w:r>
      <w:r>
        <w:rPr>
          <w:spacing w:val="1"/>
        </w:rPr>
        <w:t xml:space="preserve"> </w:t>
      </w:r>
      <w:r>
        <w:rPr/>
        <w:t>tablets</w:t>
      </w:r>
      <w:r>
        <w:rPr>
          <w:spacing w:val="1"/>
        </w:rPr>
        <w:t xml:space="preserve"> </w:t>
      </w:r>
      <w:r>
        <w:rPr/>
        <w:t>and</w:t>
      </w:r>
      <w:r>
        <w:rPr>
          <w:spacing w:val="1"/>
        </w:rPr>
        <w:t xml:space="preserve"> </w:t>
      </w:r>
      <w:r>
        <w:rPr/>
        <w:t>mobile</w:t>
      </w:r>
      <w:r>
        <w:rPr>
          <w:spacing w:val="1"/>
        </w:rPr>
        <w:t xml:space="preserve"> </w:t>
      </w:r>
      <w:r>
        <w:rPr/>
        <w:t>phones.</w:t>
      </w:r>
      <w:r>
        <w:rPr>
          <w:spacing w:val="1"/>
        </w:rPr>
        <w:t xml:space="preserve"> </w:t>
      </w:r>
      <w:r>
        <w:rPr/>
        <w:t>This</w:t>
      </w:r>
      <w:r>
        <w:rPr>
          <w:spacing w:val="1"/>
        </w:rPr>
        <w:t xml:space="preserve"> </w:t>
      </w:r>
      <w:r>
        <w:rPr/>
        <w:t>continuous</w:t>
      </w:r>
      <w:r>
        <w:rPr>
          <w:spacing w:val="1"/>
        </w:rPr>
        <w:t xml:space="preserve"> </w:t>
      </w:r>
      <w:r>
        <w:rPr/>
        <w:t>behavior</w:t>
      </w:r>
      <w:r>
        <w:rPr>
          <w:spacing w:val="-5"/>
        </w:rPr>
        <w:t xml:space="preserve"> </w:t>
      </w:r>
      <w:r>
        <w:rPr/>
        <w:t>over</w:t>
      </w:r>
      <w:r>
        <w:rPr>
          <w:spacing w:val="-7"/>
        </w:rPr>
        <w:t xml:space="preserve"> </w:t>
      </w:r>
      <w:r>
        <w:rPr/>
        <w:t>extended</w:t>
      </w:r>
      <w:r>
        <w:rPr>
          <w:spacing w:val="-9"/>
        </w:rPr>
        <w:t xml:space="preserve"> </w:t>
      </w:r>
      <w:r>
        <w:rPr/>
        <w:t>periods</w:t>
      </w:r>
      <w:r>
        <w:rPr>
          <w:spacing w:val="-5"/>
        </w:rPr>
        <w:t xml:space="preserve"> </w:t>
      </w:r>
      <w:r>
        <w:rPr/>
        <w:t>of</w:t>
      </w:r>
      <w:r>
        <w:rPr>
          <w:spacing w:val="-8"/>
        </w:rPr>
        <w:t xml:space="preserve"> </w:t>
      </w:r>
      <w:r>
        <w:rPr/>
        <w:t>time</w:t>
      </w:r>
      <w:r>
        <w:rPr>
          <w:spacing w:val="-52"/>
        </w:rPr>
        <w:t xml:space="preserve"> </w:t>
      </w:r>
      <w:r>
        <w:rPr/>
        <w:t>causes</w:t>
      </w:r>
      <w:r>
        <w:rPr>
          <w:spacing w:val="1"/>
        </w:rPr>
        <w:t xml:space="preserve"> </w:t>
      </w:r>
      <w:r>
        <w:rPr/>
        <w:t>severe</w:t>
      </w:r>
      <w:r>
        <w:rPr>
          <w:spacing w:val="1"/>
        </w:rPr>
        <w:t xml:space="preserve"> </w:t>
      </w:r>
      <w:r>
        <w:rPr/>
        <w:t>upper</w:t>
      </w:r>
      <w:r>
        <w:rPr>
          <w:spacing w:val="1"/>
        </w:rPr>
        <w:t xml:space="preserve"> </w:t>
      </w:r>
      <w:r>
        <w:rPr/>
        <w:t>and</w:t>
      </w:r>
      <w:r>
        <w:rPr>
          <w:spacing w:val="1"/>
        </w:rPr>
        <w:t xml:space="preserve"> </w:t>
      </w:r>
      <w:r>
        <w:rPr/>
        <w:t>lower</w:t>
      </w:r>
      <w:r>
        <w:rPr>
          <w:spacing w:val="1"/>
        </w:rPr>
        <w:t xml:space="preserve"> </w:t>
      </w:r>
      <w:r>
        <w:rPr/>
        <w:t>backpain</w:t>
      </w:r>
      <w:r>
        <w:rPr>
          <w:spacing w:val="1"/>
        </w:rPr>
        <w:t xml:space="preserve"> </w:t>
      </w:r>
      <w:r>
        <w:rPr/>
        <w:t>that</w:t>
      </w:r>
      <w:r>
        <w:rPr>
          <w:spacing w:val="1"/>
        </w:rPr>
        <w:t xml:space="preserve"> </w:t>
      </w:r>
      <w:r>
        <w:rPr/>
        <w:t>subsequently</w:t>
      </w:r>
      <w:r>
        <w:rPr>
          <w:spacing w:val="1"/>
        </w:rPr>
        <w:t xml:space="preserve"> </w:t>
      </w:r>
      <w:r>
        <w:rPr/>
        <w:t>leads</w:t>
      </w:r>
      <w:r>
        <w:rPr>
          <w:spacing w:val="1"/>
        </w:rPr>
        <w:t xml:space="preserve"> </w:t>
      </w:r>
      <w:r>
        <w:rPr/>
        <w:t>to</w:t>
      </w:r>
      <w:r>
        <w:rPr>
          <w:spacing w:val="1"/>
        </w:rPr>
        <w:t xml:space="preserve"> </w:t>
      </w:r>
      <w:r>
        <w:rPr/>
        <w:t>cervical</w:t>
      </w:r>
      <w:r>
        <w:rPr>
          <w:spacing w:val="1"/>
        </w:rPr>
        <w:t xml:space="preserve"> </w:t>
      </w:r>
      <w:r>
        <w:rPr/>
        <w:t>spondylosis</w:t>
      </w:r>
      <w:r>
        <w:rPr>
          <w:spacing w:val="1"/>
        </w:rPr>
        <w:t xml:space="preserve"> </w:t>
      </w:r>
      <w:r>
        <w:rPr/>
        <w:t>and</w:t>
      </w:r>
      <w:r>
        <w:rPr>
          <w:spacing w:val="1"/>
        </w:rPr>
        <w:t xml:space="preserve"> </w:t>
      </w:r>
      <w:r>
        <w:rPr/>
        <w:t>bulging</w:t>
      </w:r>
      <w:r>
        <w:rPr>
          <w:spacing w:val="1"/>
        </w:rPr>
        <w:t xml:space="preserve"> </w:t>
      </w:r>
      <w:r>
        <w:rPr/>
        <w:t>of</w:t>
      </w:r>
      <w:r>
        <w:rPr>
          <w:spacing w:val="1"/>
        </w:rPr>
        <w:t xml:space="preserve"> </w:t>
      </w:r>
      <w:r>
        <w:rPr/>
        <w:t>lumbar</w:t>
      </w:r>
      <w:r>
        <w:rPr>
          <w:spacing w:val="1"/>
        </w:rPr>
        <w:t xml:space="preserve"> </w:t>
      </w:r>
      <w:r>
        <w:rPr/>
        <w:t>discs.</w:t>
      </w:r>
      <w:r>
        <w:rPr>
          <w:spacing w:val="1"/>
        </w:rPr>
        <w:t xml:space="preserve"> In response to the </w:t>
      </w:r>
      <w:r>
        <w:rPr/>
        <w:t>prevalence</w:t>
      </w:r>
      <w:r>
        <w:rPr>
          <w:spacing w:val="1"/>
        </w:rPr>
        <w:t xml:space="preserve"> </w:t>
      </w:r>
      <w:r>
        <w:rPr/>
        <w:t>of</w:t>
      </w:r>
      <w:r>
        <w:rPr>
          <w:spacing w:val="1"/>
        </w:rPr>
        <w:t xml:space="preserve"> </w:t>
      </w:r>
      <w:r>
        <w:rPr/>
        <w:t>this</w:t>
      </w:r>
      <w:r>
        <w:rPr>
          <w:spacing w:val="1"/>
        </w:rPr>
        <w:t xml:space="preserve"> </w:t>
      </w:r>
      <w:r>
        <w:rPr/>
        <w:t>issue,</w:t>
      </w:r>
      <w:r>
        <w:rPr>
          <w:spacing w:val="1"/>
        </w:rPr>
        <w:t xml:space="preserve"> </w:t>
      </w:r>
      <w:r>
        <w:rPr/>
        <w:t>we</w:t>
      </w:r>
      <w:r>
        <w:rPr>
          <w:spacing w:val="1"/>
        </w:rPr>
        <w:t xml:space="preserve"> </w:t>
      </w:r>
      <w:r>
        <w:rPr/>
        <w:t>have</w:t>
      </w:r>
      <w:r>
        <w:rPr>
          <w:spacing w:val="1"/>
        </w:rPr>
        <w:t xml:space="preserve"> </w:t>
      </w:r>
      <w:r>
        <w:rPr/>
        <w:t>developed</w:t>
      </w:r>
      <w:r>
        <w:rPr>
          <w:spacing w:val="-12"/>
        </w:rPr>
        <w:t xml:space="preserve"> </w:t>
      </w:r>
      <w:r>
        <w:rPr/>
        <w:t>a</w:t>
      </w:r>
      <w:r>
        <w:rPr>
          <w:spacing w:val="-9"/>
        </w:rPr>
        <w:t xml:space="preserve"> </w:t>
      </w:r>
      <w:r>
        <w:rPr/>
        <w:t>posture</w:t>
      </w:r>
      <w:r>
        <w:rPr>
          <w:spacing w:val="-12"/>
        </w:rPr>
        <w:t xml:space="preserve"> </w:t>
      </w:r>
      <w:r>
        <w:rPr/>
        <w:t>monitoring</w:t>
      </w:r>
      <w:r>
        <w:rPr>
          <w:spacing w:val="-12"/>
        </w:rPr>
        <w:t xml:space="preserve"> </w:t>
      </w:r>
      <w:r>
        <w:rPr/>
        <w:t>system</w:t>
      </w:r>
      <w:r>
        <w:rPr>
          <w:spacing w:val="-53"/>
        </w:rPr>
        <w:t xml:space="preserve"> </w:t>
      </w:r>
      <w:r>
        <w:rPr/>
        <w:t>realized</w:t>
      </w:r>
      <w:r>
        <w:rPr>
          <w:spacing w:val="1"/>
        </w:rPr>
        <w:t xml:space="preserve"> through </w:t>
      </w:r>
      <w:r>
        <w:rPr/>
        <w:t>a</w:t>
      </w:r>
      <w:r>
        <w:rPr>
          <w:spacing w:val="1"/>
        </w:rPr>
        <w:t xml:space="preserve"> </w:t>
      </w:r>
      <w:r>
        <w:rPr/>
        <w:t>shoulder</w:t>
      </w:r>
      <w:r>
        <w:rPr>
          <w:spacing w:val="1"/>
        </w:rPr>
        <w:t xml:space="preserve"> </w:t>
      </w:r>
      <w:r>
        <w:rPr/>
        <w:t>strap</w:t>
      </w:r>
      <w:r>
        <w:rPr>
          <w:spacing w:val="1"/>
        </w:rPr>
        <w:t xml:space="preserve"> </w:t>
      </w:r>
      <w:r>
        <w:rPr/>
        <w:t>to</w:t>
      </w:r>
      <w:r>
        <w:rPr>
          <w:spacing w:val="-52"/>
        </w:rPr>
        <w:t xml:space="preserve"> </w:t>
      </w:r>
      <w:r>
        <w:rPr/>
        <w:t>capture</w:t>
      </w:r>
      <w:r>
        <w:rPr>
          <w:spacing w:val="1"/>
        </w:rPr>
        <w:t xml:space="preserve"> </w:t>
      </w:r>
      <w:r>
        <w:rPr/>
        <w:t>the</w:t>
      </w:r>
      <w:r>
        <w:rPr>
          <w:spacing w:val="1"/>
        </w:rPr>
        <w:t xml:space="preserve"> </w:t>
      </w:r>
      <w:r>
        <w:rPr/>
        <w:t>siting</w:t>
      </w:r>
      <w:r>
        <w:rPr>
          <w:spacing w:val="1"/>
        </w:rPr>
        <w:t xml:space="preserve"> </w:t>
      </w:r>
      <w:r>
        <w:rPr/>
        <w:t>posture</w:t>
      </w:r>
      <w:r>
        <w:rPr>
          <w:spacing w:val="1"/>
        </w:rPr>
        <w:t xml:space="preserve"> </w:t>
      </w:r>
      <w:r>
        <w:rPr/>
        <w:t>of</w:t>
      </w:r>
      <w:r>
        <w:rPr>
          <w:spacing w:val="-52"/>
        </w:rPr>
        <w:t xml:space="preserve"> </w:t>
      </w:r>
      <w:r>
        <w:rPr/>
        <w:t>individuals. This is achieved by utilizing 3 IMU sensors to monitor and Machine Learning Algorithms to classify. The classification algorithms were trained with data acquired from 12 healthy individuals and the bests chosen one is the KNN algorithm with an accuracy of 99%. The system was further validated with a real time validation routine and was identified with 80% accuracy.</w:t>
      </w:r>
    </w:p>
    <w:p>
      <w:pPr>
        <w:pStyle w:val="Keywords"/>
        <w:rPr/>
      </w:pPr>
      <w:r>
        <w:rPr/>
        <w:t>Keywords—IMU, Spinal Posture, Data Classification</w:t>
      </w:r>
    </w:p>
    <w:p>
      <w:pPr>
        <w:pStyle w:val="Heading1"/>
        <w:ind w:hanging="0"/>
        <w:rPr/>
      </w:pPr>
      <w:r>
        <w:rPr/>
        <w:t>Introduction (</w:t>
      </w:r>
      <w:r>
        <w:rPr>
          <w:rFonts w:eastAsia="MS Mincho"/>
          <w:i/>
        </w:rPr>
        <w:t>Heading 1</w:t>
      </w:r>
      <w:r>
        <w:rPr/>
        <w:t>)</w:t>
      </w:r>
    </w:p>
    <w:p>
      <w:pPr>
        <w:pStyle w:val="BodyText"/>
        <w:rPr/>
      </w:pPr>
      <w:r>
        <w:rPr/>
        <w:t>Sitting is one of the most common postures in daily life [1.2-7], with studies indicating that people spend around six hours sitting each day. Consequently, back pain has become a widespread and troubling issue, now ranking as the third most common reason for individuals to seek medical attention [3.?]. Approximately 70-80% of those experiencing back pain attribute it to poor posture [d1?]. Chronic back pain develops gradually due to sedentary behavior, often exacerbated by prolonged use of digital devices. This has resulted in 15-19% of people suffering from upper back pain and 60-70% from lower back pain [d1?].</w:t>
      </w:r>
    </w:p>
    <w:p>
      <w:pPr>
        <w:pStyle w:val="BodyText"/>
        <w:rPr/>
      </w:pPr>
      <w:r>
        <w:rPr/>
        <w:t>The most frequent activity while sitting is using mobile phones, with an estimated 4.77 billion users worldwide as of 2017. This number was projected to increase to 5.07 billion by 2019 [2.1].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[4.1]. Correspondingly, another study highlighted that a condition known as "Text Neck," caused by 60 pounds of neck pressure, can lead to Kyphosis [2...?]This disease is an excessive spine curve because of abnormal rounding of upper back. which can lead to breathing problems that may eventually require a surgical treatment.[4.?].</w:t>
      </w:r>
    </w:p>
    <w:p>
      <w:pPr>
        <w:pStyle w:val="BodyText"/>
        <w:rPr/>
      </w:pPr>
      <w:r>
        <w:rPr/>
        <w:t>Chronic Low Back Pain (CLBP) is another significant cause of disability, affecting similar populations across various countries and cultures, with one in five adults experiencing CLBP each year [1.2]. In industrialized nations, chronic pain is rapidly becoming the foremost health issue, contributing to annual low back pain costs of $100-$200 billion [1.4].</w:t>
      </w:r>
    </w:p>
    <w:p>
      <w:pPr>
        <w:pStyle w:val="BodyText"/>
        <w:rPr/>
      </w:pPr>
      <w:r>
        <w:rPr/>
        <w:t>Acute back pain, which often results from injuries like muscle strains or ligament tears due to activities such as heavy lifting or sudden movements, can also lead to considerable discomfort and mobility limitations [d.?].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[2.4]. Poor posture also affects workplace productivity, with approximately 75% to 85% of worker absenteeism being attributed to recurrent or chronic back pain [1.6].</w:t>
      </w:r>
    </w:p>
    <w:p>
      <w:pPr>
        <w:pStyle w:val="BodyText"/>
        <w:rPr/>
      </w:pPr>
      <w:r>
        <w:rPr/>
        <w:t>Despite its prevalence, simple preventive measures can effectively mitigate these disorders. According to medical research, most cases of severe Kyphosis can be treated and prevented through exercises aimed at improving posture and maintaining a straight spine [4.2]. A study by Robertson et al. [5.1] found that musculoskeletal risk decreased after 16 months of ergonomic posture training for seated individuals. Further studies by Choobineh et al. [5.2] and Menendez et al. [5.3] demonstrated that ergonomic interventions could reduce musculoskeletal discomfort and related symptoms. Additionally, research by Taieb-Maimon et al. [5.5] showed that posture risk diminished after three weeks of an experiment using a camera to display the seated individual’s sagittal posture. Therefore, maintaining proper spinal posture is possible and essential, which is the goal of our system’s design.</w:t>
      </w:r>
    </w:p>
    <w:p>
      <w:pPr>
        <w:pStyle w:val="BodyText"/>
        <w:rPr/>
      </w:pPr>
      <w:r>
        <w:rPr/>
        <w:t>Several systems have been developed to address this issue, comprising three main components: data collection, data analysis, and feedback [4.?]. Our system incorporates all these elements, with a particular focus on analyzing the collected data while in a seated position.</w:t>
      </w:r>
    </w:p>
    <w:p>
      <w:pPr>
        <w:pStyle w:val="Heading1"/>
        <w:ind w:hanging="0"/>
        <w:rPr/>
      </w:pPr>
      <w:r>
        <w:rPr/>
        <w:t>Ease of Use</w:t>
      </w:r>
    </w:p>
    <w:p>
      <w:pPr>
        <w:pStyle w:val="Heading2"/>
        <w:rPr/>
      </w:pPr>
      <w:r>
        <w:rPr/>
        <w:t>Selecting a Template (Heading 2)</w:t>
      </w:r>
    </w:p>
    <w:p>
      <w:pPr>
        <w:pStyle w:val="BodyText"/>
        <w:rPr/>
      </w:pPr>
      <w:r>
        <w:rPr/>
        <w:t xml:space="preserve">First, confirm that you have the correct template for your paper size. This template has been tailored for output on the </w:t>
      </w:r>
      <w:r>
        <w:rPr>
          <w:lang w:val="en-US"/>
        </w:rPr>
        <w:t>A4</w:t>
      </w:r>
      <w:r>
        <w:rPr/>
        <w:t xml:space="preserve"> paper size. If you are using </w:t>
      </w:r>
      <w:r>
        <w:rPr>
          <w:lang w:val="en-US"/>
        </w:rPr>
        <w:t>US letter</w:t>
      </w:r>
      <w:r>
        <w:rPr/>
        <w:t xml:space="preserve">-sized paper, please close this file and download the </w:t>
      </w:r>
      <w:r>
        <w:rPr>
          <w:lang w:val="en-US"/>
        </w:rPr>
        <w:t xml:space="preserve">Microsoft Word, Letter </w:t>
      </w:r>
      <w:r>
        <w:rPr/>
        <w:t>file.</w:t>
      </w:r>
    </w:p>
    <w:p>
      <w:pPr>
        <w:pStyle w:val="Heading2"/>
        <w:rPr/>
      </w:pPr>
      <w:r>
        <w:rPr/>
        <w:t>Maintaining the Integrity of the Specifications</w:t>
      </w:r>
    </w:p>
    <w:p>
      <w:pPr>
        <w:pStyle w:val="BodyText"/>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ind w:hanging="0"/>
        <w:rPr/>
      </w:pPr>
      <w:r>
        <w:rPr/>
        <w:t>Prepare Your Paper Before Styling</w:t>
      </w:r>
    </w:p>
    <w:p>
      <w:pPr>
        <w:pStyle w:val="BodyText"/>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BodyText"/>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rPr/>
      </w:pPr>
      <w:r>
        <w:rPr/>
        <w:t>Abbreviations and Acronyms</w:t>
      </w:r>
    </w:p>
    <w:p>
      <w:pPr>
        <w:pStyle w:val="BodyText"/>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pPr>
      <w:r>
        <w:rPr/>
        <w:t>Units</w:t>
      </w:r>
    </w:p>
    <w:p>
      <w:pPr>
        <w:pStyle w:val="Bulletlist"/>
        <w:numPr>
          <w:ilvl w:val="0"/>
          <w:numId w:val="2"/>
        </w:numPr>
        <w:ind w:hanging="288" w:start="576"/>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hanging="288" w:start="576"/>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hanging="288" w:start="576"/>
        <w:rPr/>
      </w:pPr>
      <w:r>
        <w:rPr/>
        <w:t>Do not mix complete spellings and abbreviations of units: “Wb/m2” or “webers per square meter”, not “webers/m2”.  Spell out units when they appear in text: “. . . a few henries”, not “. . . a few H”.</w:t>
      </w:r>
    </w:p>
    <w:p>
      <w:pPr>
        <w:pStyle w:val="Sponsors"/>
        <w:pBdr>
          <w:top w:val="single" w:sz="4" w:space="2" w:color="000000"/>
        </w:pBdr>
        <w:ind w:firstLine="289"/>
        <w:rPr/>
        <w:framePr w:w="4592" w:h="418" w:x="918" w:y="15121" w:hSpace="0" w:vSpace="0" w:wrap="auto" w:vAnchor="page" w:hAnchor="page" w:hRule="exact"/>
      </w:pPr>
      <w:r>
        <w:rPr/>
        <w:t xml:space="preserve">Identify applicable funding agency here. </w:t>
      </w:r>
      <w:r>
        <w:rPr>
          <w:iCs/>
        </w:rPr>
        <w:t>If none, delete this text box.</w:t>
      </w:r>
    </w:p>
    <w:p>
      <w:pPr>
        <w:pStyle w:val="Bulletlist"/>
        <w:numPr>
          <w:ilvl w:val="0"/>
          <w:numId w:val="2"/>
        </w:numPr>
        <w:ind w:hanging="288" w:start="576"/>
        <w:rPr/>
      </w:pPr>
      <w:r>
        <w:rPr/>
        <w:t>Use a zero before decimal points: “0.25”, not “.25”. Use “cm3”, not “cc”. (</w:t>
      </w:r>
      <w:r>
        <w:rPr>
          <w:i/>
          <w:iCs/>
        </w:rPr>
        <w:t>bullet list</w:t>
      </w:r>
      <w:r>
        <w:rPr/>
        <w:t>)</w:t>
      </w:r>
    </w:p>
    <w:p>
      <w:pPr>
        <w:pStyle w:val="Heading2"/>
        <w:rPr/>
      </w:pPr>
      <w:r>
        <w:rPr/>
        <w:t>Equations</w:t>
      </w:r>
    </w:p>
    <w:p>
      <w:pPr>
        <w:pStyle w:val="BodyText"/>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BodyText"/>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BodyText"/>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pPr>
      <w:r>
        <w:rPr/>
        <w:t>Some Common Mistakes</w:t>
      </w:r>
    </w:p>
    <w:p>
      <w:pPr>
        <w:pStyle w:val="Bulletlist"/>
        <w:numPr>
          <w:ilvl w:val="0"/>
          <w:numId w:val="2"/>
        </w:numPr>
        <w:ind w:hanging="288" w:start="576"/>
        <w:rPr/>
      </w:pPr>
      <w:r>
        <w:rPr/>
        <w:t>The word “data” is plural, not singular.</w:t>
      </w:r>
    </w:p>
    <w:p>
      <w:pPr>
        <w:pStyle w:val="Bulletlist"/>
        <w:numPr>
          <w:ilvl w:val="0"/>
          <w:numId w:val="2"/>
        </w:numPr>
        <w:ind w:hanging="288" w:start="576"/>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hanging="288" w:start="576"/>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hanging="288" w:start="576"/>
        <w:rPr/>
      </w:pPr>
      <w:r>
        <w:rPr/>
        <w:t>A graph within a graph is an “inset”, not an “insert”. The word alternatively is preferred to the word “alternately” (unless you really mean something that alternates).</w:t>
      </w:r>
    </w:p>
    <w:p>
      <w:pPr>
        <w:pStyle w:val="Bulletlist"/>
        <w:numPr>
          <w:ilvl w:val="0"/>
          <w:numId w:val="2"/>
        </w:numPr>
        <w:ind w:hanging="288" w:start="576"/>
        <w:rPr/>
      </w:pPr>
      <w:r>
        <w:rPr/>
        <w:t>Do not use the word “essentially” to mean “approximately” or “effectively”.</w:t>
      </w:r>
    </w:p>
    <w:p>
      <w:pPr>
        <w:pStyle w:val="Bulletlist"/>
        <w:numPr>
          <w:ilvl w:val="0"/>
          <w:numId w:val="2"/>
        </w:numPr>
        <w:ind w:hanging="288" w:start="576"/>
        <w:rPr/>
      </w:pPr>
      <w:r>
        <w:rPr/>
        <w:t>In your paper title, if the words “that uses” can accurately replace the word “using”, capitalize the “u”; if not, keep using lower-cased.</w:t>
      </w:r>
    </w:p>
    <w:p>
      <w:pPr>
        <w:pStyle w:val="Bulletlist"/>
        <w:numPr>
          <w:ilvl w:val="0"/>
          <w:numId w:val="2"/>
        </w:numPr>
        <w:ind w:hanging="288" w:start="576"/>
        <w:rPr/>
      </w:pPr>
      <w:r>
        <w:rPr/>
        <w:t>Be aware of the different meanings of the homophones “affect” and “effect”, “complement” and “compliment”, “discreet” and “discrete”, “principal” and “principle”.</w:t>
      </w:r>
    </w:p>
    <w:p>
      <w:pPr>
        <w:pStyle w:val="Bulletlist"/>
        <w:numPr>
          <w:ilvl w:val="0"/>
          <w:numId w:val="2"/>
        </w:numPr>
        <w:ind w:hanging="288" w:start="576"/>
        <w:rPr/>
      </w:pPr>
      <w:r>
        <w:rPr/>
        <w:t>Do not confuse “imply” and “infer”.</w:t>
      </w:r>
    </w:p>
    <w:p>
      <w:pPr>
        <w:pStyle w:val="Bulletlist"/>
        <w:numPr>
          <w:ilvl w:val="0"/>
          <w:numId w:val="2"/>
        </w:numPr>
        <w:ind w:hanging="288" w:start="576"/>
        <w:rPr/>
      </w:pPr>
      <w:r>
        <w:rPr/>
        <w:t>The prefix “non” is not a word; it should be joined to the word it modifies, usually without a hyphen.</w:t>
      </w:r>
    </w:p>
    <w:p>
      <w:pPr>
        <w:pStyle w:val="Bulletlist"/>
        <w:numPr>
          <w:ilvl w:val="0"/>
          <w:numId w:val="2"/>
        </w:numPr>
        <w:ind w:hanging="288" w:start="576"/>
        <w:rPr/>
      </w:pPr>
      <w:r>
        <w:rPr/>
        <w:t>There is no period after the “et” in the Latin abbreviation “et al.”.</w:t>
      </w:r>
    </w:p>
    <w:p>
      <w:pPr>
        <w:pStyle w:val="Bulletlist"/>
        <w:numPr>
          <w:ilvl w:val="0"/>
          <w:numId w:val="2"/>
        </w:numPr>
        <w:ind w:hanging="288" w:start="576"/>
        <w:rPr/>
      </w:pPr>
      <w:r>
        <w:rPr/>
        <w:t>The abbreviation “i.e.” means “that is”, and the abbreviation “e.g.” means “for example”.</w:t>
      </w:r>
    </w:p>
    <w:p>
      <w:pPr>
        <w:pStyle w:val="BodyText"/>
        <w:rPr/>
      </w:pPr>
      <w:r>
        <w:rPr/>
        <w:t>An excellent style manual for science writers is [7].</w:t>
      </w:r>
    </w:p>
    <w:p>
      <w:pPr>
        <w:pStyle w:val="Heading1"/>
        <w:ind w:hanging="0"/>
        <w:rPr/>
      </w:pPr>
      <w:r>
        <w:rPr/>
        <w:t>Using the Template</w:t>
      </w:r>
    </w:p>
    <w:p>
      <w:pPr>
        <w:pStyle w:val="BodyText"/>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t>Authors and Affiliations</w:t>
      </w:r>
    </w:p>
    <w:p>
      <w:pPr>
        <w:pStyle w:val="BodyText"/>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Normal"/>
        <w:jc w:val="start"/>
        <w:rPr>
          <w:i/>
          <w:i/>
          <w:iCs/>
        </w:rPr>
      </w:pPr>
      <w:r>
        <w:rPr>
          <w:i/>
          <w:iCs/>
        </w:rPr>
      </w:r>
    </w:p>
    <w:p>
      <w:pPr>
        <w:pStyle w:val="Heading2"/>
        <w:rPr/>
      </w:pPr>
      <w:r>
        <w:rPr/>
        <w:t>Identify the Headings</w:t>
      </w:r>
    </w:p>
    <w:p>
      <w:pPr>
        <w:pStyle w:val="BodyText"/>
        <w:rPr/>
      </w:pPr>
      <w:r>
        <w:rPr/>
        <w:t>Headings, or heads, are organizational devices that guide the reader through your paper. There are two types: component heads and text heads.</w:t>
      </w:r>
    </w:p>
    <w:p>
      <w:pPr>
        <w:pStyle w:val="BodyText"/>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BodyText"/>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rPr/>
      </w:pPr>
      <w:r>
        <w:rPr/>
        <w:t>Figures and Tables</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firstRow="0" w:noVBand="0" w:lastRow="0" w:firstColumn="0" w:lastColumn="0" w:noHBand="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rPr>
                <w:sz w:val="16"/>
                <w:szCs w:val="16"/>
              </w:rPr>
            </w:pPr>
            <w:r>
              <w:rPr>
                <w:sz w:val="16"/>
                <w:szCs w:val="16"/>
              </w:rPr>
            </w:r>
          </w:p>
        </w:tc>
      </w:tr>
    </w:tbl>
    <w:p>
      <w:pPr>
        <w:pStyle w:val="Tablefootnote"/>
        <w:numPr>
          <w:ilvl w:val="0"/>
          <w:numId w:val="7"/>
        </w:numPr>
        <w:ind w:hanging="29" w:start="58"/>
        <w:rPr/>
      </w:pPr>
      <w:r>
        <w:rPr/>
        <w:t>Sample of a Table footnote. (</w:t>
      </w:r>
      <w:r>
        <w:rPr>
          <w:i/>
        </w:rPr>
        <w:t>Table footnote</w:t>
      </w:r>
      <w:r>
        <w:rPr/>
        <w:t>)</w:t>
      </w:r>
    </w:p>
    <w:p>
      <w:pPr>
        <w:pStyle w:val="Figurecaption"/>
        <w:numPr>
          <w:ilvl w:val="0"/>
          <w:numId w:val="3"/>
        </w:numPr>
        <w:ind w:hanging="0" w:start="0"/>
        <w:rPr/>
      </w:pPr>
      <w:r>
        <w:rPr/>
        <w:t xml:space="preserve">Example of a figure caption. </w:t>
      </w:r>
      <w:r>
        <w:rPr>
          <w:iCs/>
        </w:rPr>
        <w:t>(</w:t>
      </w:r>
      <w:r>
        <w:rPr>
          <w:i/>
          <w:iCs/>
        </w:rPr>
        <w:t>figure caption</w:t>
      </w:r>
      <w:r>
        <w:rPr>
          <w:iCs/>
        </w:rPr>
        <w:t>)</w:t>
      </w:r>
    </w:p>
    <w:p>
      <w:pPr>
        <w:pStyle w:val="BodyText"/>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BodyText"/>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Put sponsor acknowledgments in the unnumbered footnote on the first page.</w:t>
      </w:r>
    </w:p>
    <w:p>
      <w:pPr>
        <w:pStyle w:val="Heading5"/>
        <w:rPr/>
      </w:pPr>
      <w:r>
        <w:rPr/>
        <w:t>References</w:t>
      </w:r>
    </w:p>
    <w:p>
      <w:pPr>
        <w:pStyle w:val="BodyText"/>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BodyText"/>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BodyText"/>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BodyText"/>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hanging="354" w:start="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start="354"/>
        <w:rPr/>
      </w:pPr>
      <w:r>
        <w:rPr/>
        <w:t>J. Clerk Maxwell, A Treatise on Electricity and Magnetism, 3rd ed., vol. 2. Oxford: Clarendon, 1892, pp.68–73.</w:t>
      </w:r>
    </w:p>
    <w:p>
      <w:pPr>
        <w:pStyle w:val="References"/>
        <w:numPr>
          <w:ilvl w:val="0"/>
          <w:numId w:val="5"/>
        </w:numPr>
        <w:ind w:hanging="354" w:start="354"/>
        <w:rPr/>
      </w:pPr>
      <w:r>
        <w:rPr/>
        <w:t>I. S. Jacobs and C. P. Bean, “Fine particles, thin films and exchange anisotropy,” in Magnetism, vol. III, G. T. Rado and H. Suhl, Eds. New York: Academic, 1963, pp. 271–350.</w:t>
      </w:r>
    </w:p>
    <w:p>
      <w:pPr>
        <w:pStyle w:val="References"/>
        <w:numPr>
          <w:ilvl w:val="0"/>
          <w:numId w:val="5"/>
        </w:numPr>
        <w:ind w:hanging="354" w:start="354"/>
        <w:rPr/>
      </w:pPr>
      <w:r>
        <w:rPr/>
        <w:t>K. Elissa, “Title of paper if known,” unpublished.</w:t>
      </w:r>
    </w:p>
    <w:p>
      <w:pPr>
        <w:pStyle w:val="References"/>
        <w:numPr>
          <w:ilvl w:val="0"/>
          <w:numId w:val="5"/>
        </w:numPr>
        <w:ind w:hanging="354" w:start="354"/>
        <w:rPr/>
      </w:pPr>
      <w:r>
        <w:rPr/>
        <w:t>R. Nicole, “Title of paper with only first word capitalized,” J. Name Stand. Abbrev., in press.</w:t>
      </w:r>
    </w:p>
    <w:p>
      <w:pPr>
        <w:pStyle w:val="References"/>
        <w:numPr>
          <w:ilvl w:val="0"/>
          <w:numId w:val="5"/>
        </w:numPr>
        <w:ind w:hanging="354" w:start="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start="354"/>
        <w:rPr/>
      </w:pPr>
      <w:r>
        <w:rPr/>
        <w:t>M. Young, The Technical Writer’s Handbook. Mill Valley, CA: University Science, 1989.</w:t>
      </w:r>
    </w:p>
    <w:p>
      <w:pPr>
        <w:pStyle w:val="References"/>
        <w:numPr>
          <w:ilvl w:val="0"/>
          <w:numId w:val="5"/>
        </w:numPr>
        <w:ind w:hanging="354" w:start="354"/>
        <w:rPr>
          <w:rFonts w:ascii="NimbusRomNo9L-Regu" w:hAnsi="NimbusRomNo9L-Regu" w:eastAsia="NimbusRomNo9L-Regu" w:cs="NimbusRomNo9L-Regu"/>
        </w:rPr>
      </w:pPr>
      <w:r>
        <w:rPr/>
        <w:t xml:space="preserve">K. Eves and J. Valasek, “Adaptive control for singularly perturbed systems examples,” Code Ocean, Aug. 2023. [Online]. Available: </w:t>
      </w:r>
      <w:hyperlink r:id="rId2">
        <w:r>
          <w:rPr/>
          <w:t>https://codeocean.com/capsule/4989235/tree</w:t>
        </w:r>
      </w:hyperlink>
      <w:r>
        <w:rPr/>
        <w:t xml:space="preserve"> </w:t>
      </w:r>
    </w:p>
    <w:p>
      <w:pPr>
        <w:pStyle w:val="References"/>
        <w:numPr>
          <w:ilvl w:val="0"/>
          <w:numId w:val="5"/>
        </w:numPr>
        <w:ind w:hanging="354" w:start="354"/>
        <w:jc w:val="start"/>
        <w:rPr/>
      </w:pPr>
      <w:r>
        <w:rPr/>
        <w:t xml:space="preserve">D. P. Kingma and M. Welling, “Auto-encoding variational Bayes,” 2013, arXiv:1312.6114. [Online]. Available: </w:t>
      </w:r>
      <w:hyperlink r:id="rId3">
        <w:r>
          <w:rPr/>
          <w:t>https://arxiv.org/abs/1312.6114</w:t>
        </w:r>
      </w:hyperlink>
    </w:p>
    <w:p>
      <w:pPr>
        <w:pStyle w:val="References"/>
        <w:numPr>
          <w:ilvl w:val="0"/>
          <w:numId w:val="5"/>
        </w:numPr>
        <w:ind w:hanging="354" w:start="354"/>
        <w:jc w:val="start"/>
        <w:rPr/>
      </w:pPr>
      <w:r>
        <w:rPr/>
        <w:t xml:space="preserve">S. Liu, “Wi-Fi Energy Detection Testbed (12MTC),” 2023, gitHub repository. [Online]. Available: https://github.com/liustone99/Wi-Fi-Energy-Detection-Testbed-12MTC </w:t>
      </w:r>
    </w:p>
    <w:p>
      <w:pPr>
        <w:pStyle w:val="References"/>
        <w:numPr>
          <w:ilvl w:val="0"/>
          <w:numId w:val="5"/>
        </w:numPr>
        <w:ind w:hanging="354" w:start="354"/>
        <w:jc w:val="start"/>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hanging="0" w:start="354"/>
        <w:rPr/>
      </w:pPr>
      <w:r>
        <w:rPr/>
      </w:r>
    </w:p>
    <w:p>
      <w:pPr>
        <w:pStyle w:val="References"/>
        <w:numPr>
          <w:ilvl w:val="0"/>
          <w:numId w:val="0"/>
        </w:numPr>
        <w:ind w:hanging="360" w:start="360"/>
        <w:rPr/>
      </w:pPr>
      <w:r>
        <w:rPr/>
      </w:r>
    </w:p>
    <w:p>
      <w:pPr>
        <w:pStyle w:val="References"/>
        <w:numPr>
          <w:ilvl w:val="0"/>
          <w:numId w:val="0"/>
        </w:numPr>
        <w:spacing w:lineRule="auto" w:line="240"/>
        <w:ind w:hanging="360" w:start="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gutter="0" w:header="0" w:top="540" w:footer="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Calibri">
    <w:charset w:val="00" w:characterSet="windows-1252"/>
    <w:family w:val="roman"/>
    <w:pitch w:val="variable"/>
  </w:font>
  <w:font w:name="NimbusRomNo9L-Regu">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itle">
    <w:name w:val="Title"/>
    <w:basedOn w:val="Normal"/>
    <w:qFormat/>
    <w:pPr>
      <w:spacing w:lineRule="exact" w:line="486"/>
      <w:ind w:start="783" w:end="783"/>
      <w:jc w:val="center"/>
    </w:pPr>
    <w:rPr>
      <w:rFonts w:ascii="Calibri" w:hAnsi="Calibri" w:eastAsia="Calibri" w:cs="Calibri"/>
      <w:sz w:val="40"/>
      <w:szCs w:val="4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ocean.com/capsule/4989235/tree" TargetMode="External"/><Relationship Id="rId3" Type="http://schemas.openxmlformats.org/officeDocument/2006/relationships/hyperlink" Target="https://arxiv.org/abs/1312.6114"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130</TotalTime>
  <Application>LibreOffice/7.6.4.1$Windows_X86_64 LibreOffice_project/e19e193f88cd6c0525a17fb7a176ed8e6a3e2aa1</Application>
  <AppVersion>15.0000</AppVersion>
  <Pages>4</Pages>
  <Words>2839</Words>
  <Characters>15019</Characters>
  <CharactersWithSpaces>17709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en-IN</dc:language>
  <cp:lastModifiedBy/>
  <dcterms:modified xsi:type="dcterms:W3CDTF">2024-09-27T12:37:39Z</dcterms:modified>
  <cp:revision>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