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40"/>
        <w:jc w:val="center"/>
      </w:pPr>
      <w:r>
        <w:rPr>
          <w:rFonts w:ascii="Arial" w:hAnsi="Arial"/>
          <w:b/>
          <w:color w:val="166534"/>
          <w:sz w:val="72"/>
        </w:rPr>
        <w:t>AGRICONNECT</w:t>
      </w:r>
    </w:p>
    <w:p>
      <w:pPr>
        <w:spacing w:after="720"/>
        <w:jc w:val="center"/>
      </w:pPr>
      <w:r>
        <w:rPr>
          <w:rFonts w:ascii="Arial" w:hAnsi="Arial"/>
          <w:b/>
          <w:color w:val="4B5563"/>
          <w:sz w:val="28"/>
        </w:rPr>
        <w:t>Humanoid Agriculture Marketplace &amp; Plant Diagnostics Platform</w:t>
      </w:r>
    </w:p>
    <w:p>
      <w:pPr>
        <w:jc w:val="center"/>
      </w:pPr>
      <w:r>
        <w:rPr>
          <w:rFonts w:ascii="Arial" w:hAnsi="Arial"/>
          <w:i/>
          <w:color w:val="6B7280"/>
          <w:sz w:val="22"/>
        </w:rPr>
        <w:t>A Localized Digital Ecosystem for the Mianwali District</w:t>
        <w:br/>
        <w:t>Bypassing Commission Agents, Enabling Fair Trade, and Integrating Client-Side AI Plant Health Diagnostics.</w:t>
      </w:r>
    </w:p>
    <w:p/>
    <w:p/>
    <w:p/>
    <w:p/>
    <w:p/>
    <w:p/>
    <w:p/>
    <w:p/>
    <w:p>
      <w:pPr>
        <w:spacing w:line="312" w:lineRule="auto"/>
        <w:jc w:val="center"/>
      </w:pPr>
      <w:r>
        <w:rPr>
          <w:rFonts w:ascii="Arial" w:hAnsi="Arial"/>
          <w:color w:val="374151"/>
          <w:sz w:val="21"/>
        </w:rPr>
        <w:t>DEVELOPED BY:</w:t>
        <w:br/>
        <w:t>Azan Mehdi  •  M. Talha  •  Zia Ullah</w:t>
        <w:br/>
        <w:t>University of Mianwali — Department of Computer Science</w:t>
        <w:br/>
        <w:t>Course: CSC-271 Database Systems Project</w:t>
        <w:br/>
        <w:br/>
        <w:t>SYSTEM VERSION: 1.0 (Bilingual English &amp; Urdu)</w:t>
        <w:br/>
        <w:t>DATE: May 2026</w:t>
      </w:r>
    </w:p>
    <w:p>
      <w:r>
        <w:br w:type="page"/>
      </w:r>
    </w:p>
    <w:p>
      <w:pPr>
        <w:pStyle w:val="Heading1"/>
        <w:keepNext/>
        <w:spacing w:before="240" w:after="120"/>
      </w:pPr>
      <w:r>
        <w:rPr>
          <w:rFonts w:ascii="Arial" w:hAnsi="Arial"/>
          <w:b/>
          <w:color w:val="166534"/>
          <w:sz w:val="40"/>
        </w:rPr>
        <w:t>Chapter 1: Project Overview &amp; Social Impact</w:t>
      </w:r>
    </w:p>
    <w:p>
      <w:pPr>
        <w:pStyle w:val="Heading2"/>
        <w:keepNext/>
        <w:spacing w:before="240" w:after="120"/>
      </w:pPr>
      <w:r>
        <w:rPr>
          <w:rFonts w:ascii="Arial" w:hAnsi="Arial"/>
          <w:b/>
          <w:color w:val="166534"/>
          <w:sz w:val="30"/>
        </w:rPr>
        <w:t>1.1 The Agricultural Problem in Pakistan (Mianwali District)</w:t>
      </w:r>
    </w:p>
    <w:p>
      <w:pPr>
        <w:spacing w:after="120" w:line="276" w:lineRule="auto"/>
      </w:pPr>
      <w:r>
        <w:rPr>
          <w:rFonts w:ascii="Arial" w:hAnsi="Arial"/>
          <w:b w:val="0"/>
          <w:i w:val="0"/>
          <w:sz w:val="21"/>
        </w:rPr>
        <w:t>In the traditional agricultural system of Mianwali and surrounding tehsils (Isa Khel, Piplan, Kundian), small-scale farmers face a significant financial disadvantage due to the presence of monopolistic middlemen (locally known as 'Aarthi' or commission agents). These agents dominate the local grain markets (Mandis). They offer credit to credit-starved farmers at exorbitant rates and, in return, force them to sell their harvests below market value. Consequently, the farmer, who does the hard physical labor, earns minimal profits while the middleman takes the largest share. Buyers, on the other hand, pay higher prices due to the multiple layers of transactional fees added by these middlemen.</w:t>
      </w:r>
    </w:p>
    <w:p>
      <w:pPr>
        <w:spacing w:after="120" w:line="276" w:lineRule="auto"/>
      </w:pPr>
      <w:r>
        <w:rPr>
          <w:rFonts w:ascii="Arial" w:hAnsi="Arial"/>
          <w:b w:val="0"/>
          <w:i w:val="0"/>
          <w:sz w:val="21"/>
        </w:rPr>
        <w:t>Furthermore, crop diseases represent a major risk for local farmers. Without access to immediate plant pathology experts, early symptoms are misdiagnosed or ignored, leading to massive yield losses. Typical rural farmers cannot afford to hire professional consultants, and the state agricultural advice centers are understaffed and difficult to reach from remote locations.</w:t>
      </w:r>
    </w:p>
    <w:p>
      <w:pPr>
        <w:pStyle w:val="Heading2"/>
        <w:keepNext/>
        <w:spacing w:before="240" w:after="120"/>
      </w:pPr>
      <w:r>
        <w:rPr>
          <w:rFonts w:ascii="Arial" w:hAnsi="Arial"/>
          <w:b/>
          <w:color w:val="166534"/>
          <w:sz w:val="30"/>
        </w:rPr>
        <w:t>1.2 The AgriConnect Solution</w:t>
      </w:r>
    </w:p>
    <w:p>
      <w:pPr>
        <w:spacing w:after="120" w:line="276" w:lineRule="auto"/>
      </w:pPr>
      <w:r>
        <w:rPr>
          <w:rFonts w:ascii="Arial" w:hAnsi="Arial"/>
          <w:b w:val="0"/>
          <w:i w:val="0"/>
          <w:sz w:val="21"/>
        </w:rPr>
        <w:t>AgriConnect is a localized digital marketplace designed specifically to bridge this gap. By offering a direct farm-to-buyer framework, it enables direct commercial transactions between farmers and buyers. It eliminates commission agents, increases transparency, and offers an interactive AI-based Crop Disease Scanner that operates directly in the browser to identify plant conditions and provide dual-language (English &amp; Urdu) treatment guides.</w:t>
      </w:r>
    </w:p>
    <w:p>
      <w:pPr>
        <w:pStyle w:val="Heading2"/>
        <w:keepNext/>
        <w:spacing w:before="240" w:after="120"/>
      </w:pPr>
      <w:r>
        <w:rPr>
          <w:rFonts w:ascii="Arial" w:hAnsi="Arial"/>
          <w:b/>
          <w:color w:val="166534"/>
          <w:sz w:val="30"/>
        </w:rPr>
        <w:t>1.3 Technology Stack Selection &amp; Rationale</w:t>
      </w:r>
    </w:p>
    <w:p>
      <w:pPr>
        <w:spacing w:after="120" w:line="276" w:lineRule="auto"/>
      </w:pPr>
      <w:r>
        <w:rPr>
          <w:rFonts w:ascii="Arial" w:hAnsi="Arial"/>
          <w:b w:val="0"/>
          <w:i w:val="0"/>
          <w:sz w:val="21"/>
        </w:rPr>
        <w:t>The project uses a lightweight, highly responsive, and robust technology stack designed to run efficiently on standard local servers (like XAMPP on Windows) and load quickly on mobile devices in low-connectivity areas:</w:t>
      </w:r>
    </w:p>
    <w:p>
      <w:pPr>
        <w:pStyle w:val="ListBullet"/>
        <w:spacing w:after="80" w:line="276" w:lineRule="auto"/>
      </w:pPr>
      <w:r>
        <w:rPr>
          <w:rFonts w:ascii="Arial" w:hAnsi="Arial"/>
          <w:b/>
          <w:sz w:val="21"/>
        </w:rPr>
        <w:t xml:space="preserve">Frontend Interface: </w:t>
      </w:r>
      <w:r>
        <w:rPr>
          <w:rFonts w:ascii="Arial" w:hAnsi="Arial"/>
          <w:sz w:val="21"/>
        </w:rPr>
        <w:t>Built as a single-page application (SPA) using HTML5, vanilla CSS3, and ES6 JavaScript. The UI features a premium dark-themed aesthetic with modern styling and transitions, fully responsive across mobile, tablet, and desktop screens.</w:t>
      </w:r>
    </w:p>
    <w:p>
      <w:pPr>
        <w:pStyle w:val="ListBullet"/>
        <w:spacing w:after="80" w:line="276" w:lineRule="auto"/>
      </w:pPr>
      <w:r>
        <w:rPr>
          <w:rFonts w:ascii="Arial" w:hAnsi="Arial"/>
          <w:b/>
          <w:sz w:val="21"/>
        </w:rPr>
        <w:t xml:space="preserve">State Machine &amp; Charts: </w:t>
      </w:r>
      <w:r>
        <w:rPr>
          <w:rFonts w:ascii="Arial" w:hAnsi="Arial"/>
          <w:sz w:val="21"/>
        </w:rPr>
        <w:t>Vanilla JavaScript maintains the clientside session and data state. Dynamic charting (such as asset valuations and offer timeline analysis) is powered by Chart.js.</w:t>
      </w:r>
    </w:p>
    <w:p>
      <w:pPr>
        <w:pStyle w:val="ListBullet"/>
        <w:spacing w:after="80" w:line="276" w:lineRule="auto"/>
      </w:pPr>
      <w:r>
        <w:rPr>
          <w:rFonts w:ascii="Arial" w:hAnsi="Arial"/>
          <w:b/>
          <w:sz w:val="21"/>
        </w:rPr>
        <w:t xml:space="preserve">Backend Controller: </w:t>
      </w:r>
      <w:r>
        <w:rPr>
          <w:rFonts w:ascii="Arial" w:hAnsi="Arial"/>
          <w:sz w:val="21"/>
        </w:rPr>
        <w:t>A single controller (`php/api.php`) coordinates API calls using standard PHP Object-Oriented patterns, utilizing PDO for secure database interaction.</w:t>
      </w:r>
    </w:p>
    <w:p>
      <w:pPr>
        <w:pStyle w:val="ListBullet"/>
        <w:spacing w:after="80" w:line="276" w:lineRule="auto"/>
      </w:pPr>
      <w:r>
        <w:rPr>
          <w:rFonts w:ascii="Arial" w:hAnsi="Arial"/>
          <w:b/>
          <w:sz w:val="21"/>
        </w:rPr>
        <w:t xml:space="preserve">Database Engine: </w:t>
      </w:r>
      <w:r>
        <w:rPr>
          <w:rFonts w:ascii="Arial" w:hAnsi="Arial"/>
          <w:sz w:val="21"/>
        </w:rPr>
        <w:t>MySQL stores relational data for user verification, listings, negotiations, regional stats, government schemes, and plant scans.</w:t>
      </w:r>
    </w:p>
    <w:p>
      <w:pPr>
        <w:pStyle w:val="ListBullet"/>
        <w:spacing w:after="80" w:line="276" w:lineRule="auto"/>
      </w:pPr>
      <w:r>
        <w:rPr>
          <w:rFonts w:ascii="Arial" w:hAnsi="Arial"/>
          <w:b/>
          <w:sz w:val="21"/>
        </w:rPr>
        <w:t xml:space="preserve">AI Diagnostics: </w:t>
      </w:r>
      <w:r>
        <w:rPr>
          <w:rFonts w:ascii="Arial" w:hAnsi="Arial"/>
          <w:sz w:val="21"/>
        </w:rPr>
        <w:t>A pure client-side perceptual image processing engine (`js/ai-disease.js`) analyzes leaf pixels using HTML5 Canvas. This eliminates the need for expensive GPU servers or Python Flask APIs, ensuring 100% availability offline and instantaneous scans.</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200" w:type="dxa"/>
              <w:right w:w="200" w:type="dxa"/>
            </w:tcMar>
            <w:tcBorders>
              <w:left w:val="single" w:sz="36" w:space="0" w:color="166534"/>
              <w:top w:val="none"/>
              <w:bottom w:val="none"/>
              <w:right w:val="none"/>
            </w:tcBorders>
          </w:tcPr>
          <w:p>
            <w:pPr>
              <w:spacing w:after="80"/>
            </w:pPr>
            <w:r>
              <w:rPr>
                <w:rFonts w:ascii="Arial" w:hAnsi="Arial"/>
                <w:b/>
                <w:color w:val="166534"/>
                <w:sz w:val="22"/>
              </w:rPr>
              <w:t>★ Architectural Rationale</w:t>
              <w:br/>
            </w:r>
            <w:r>
              <w:rPr>
                <w:rFonts w:ascii="Arial" w:hAnsi="Arial"/>
                <w:color w:val="374151"/>
                <w:sz w:val="20"/>
              </w:rPr>
              <w:t>By packaging the application as an SPA with a clientside AI processing engine, the system avoids complex dependencies and can be deployed with zero server-side setup other than a standard PHP/MySQL environment. The heuristic color-metric canvas analyzer acts as a robust substitute for deep-learning models when local environments cannot run PyTorch or TensorFlow.</w:t>
            </w:r>
          </w:p>
        </w:tc>
      </w:tr>
    </w:tbl>
    <w:p>
      <w:pPr>
        <w:spacing w:before="120" w:after="120"/>
      </w:pPr>
    </w:p>
    <w:p>
      <w:r>
        <w:br w:type="page"/>
      </w:r>
    </w:p>
    <w:p>
      <w:pPr>
        <w:pStyle w:val="Heading1"/>
        <w:keepNext/>
        <w:spacing w:before="240" w:after="120"/>
      </w:pPr>
      <w:r>
        <w:rPr>
          <w:rFonts w:ascii="Arial" w:hAnsi="Arial"/>
          <w:b/>
          <w:color w:val="166534"/>
          <w:sz w:val="40"/>
        </w:rPr>
        <w:t>Chapter 2: User Roles &amp; Security Permissions</w:t>
      </w:r>
    </w:p>
    <w:p>
      <w:pPr>
        <w:pStyle w:val="Heading2"/>
        <w:keepNext/>
        <w:spacing w:before="240" w:after="120"/>
      </w:pPr>
      <w:r>
        <w:rPr>
          <w:rFonts w:ascii="Arial" w:hAnsi="Arial"/>
          <w:b/>
          <w:color w:val="166534"/>
          <w:sz w:val="30"/>
        </w:rPr>
        <w:t>2.1 Non-Technical Explanation of Roles</w:t>
      </w:r>
    </w:p>
    <w:p>
      <w:pPr>
        <w:spacing w:after="120" w:line="276" w:lineRule="auto"/>
      </w:pPr>
      <w:r>
        <w:rPr>
          <w:rFonts w:ascii="Arial" w:hAnsi="Arial"/>
          <w:b w:val="0"/>
          <w:i w:val="0"/>
          <w:sz w:val="21"/>
        </w:rPr>
        <w:t>To manage trust and functionality, AgriConnect defines three clear user access roles. When registering, a user selects their primary operational focus:</w:t>
      </w:r>
    </w:p>
    <w:p>
      <w:pPr>
        <w:pStyle w:val="ListBullet"/>
        <w:spacing w:after="80" w:line="276" w:lineRule="auto"/>
      </w:pPr>
      <w:r>
        <w:rPr>
          <w:rFonts w:ascii="Arial" w:hAnsi="Arial"/>
          <w:b/>
          <w:sz w:val="21"/>
        </w:rPr>
        <w:t xml:space="preserve">1. The Farmer (Vendor): </w:t>
      </w:r>
      <w:r>
        <w:rPr>
          <w:rFonts w:ascii="Arial" w:hAnsi="Arial"/>
          <w:sz w:val="21"/>
        </w:rPr>
        <w:t>Focuses on listing harvests, managing active crop inventory, tracking buyers' offers, reviewing revenue statistics, checking local market pricing trends, and reading government support criteria.</w:t>
      </w:r>
    </w:p>
    <w:p>
      <w:pPr>
        <w:pStyle w:val="ListBullet"/>
        <w:spacing w:after="80" w:line="276" w:lineRule="auto"/>
      </w:pPr>
      <w:r>
        <w:rPr>
          <w:rFonts w:ascii="Arial" w:hAnsi="Arial"/>
          <w:b/>
          <w:sz w:val="21"/>
        </w:rPr>
        <w:t xml:space="preserve">2. The Buyer (Purchaser): </w:t>
      </w:r>
      <w:r>
        <w:rPr>
          <w:rFonts w:ascii="Arial" w:hAnsi="Arial"/>
          <w:sz w:val="21"/>
        </w:rPr>
        <w:t>Focuses on searching the crop catalog, saving items of interest to a personal watchlist, submitting bids/negotiation offers, and analyzing pricing statistics.</w:t>
      </w:r>
    </w:p>
    <w:p>
      <w:pPr>
        <w:pStyle w:val="ListBullet"/>
        <w:spacing w:after="80" w:line="276" w:lineRule="auto"/>
      </w:pPr>
      <w:r>
        <w:rPr>
          <w:rFonts w:ascii="Arial" w:hAnsi="Arial"/>
          <w:b/>
          <w:sz w:val="21"/>
        </w:rPr>
        <w:t xml:space="preserve">3. The Administrator (Manager): </w:t>
      </w:r>
      <w:r>
        <w:rPr>
          <w:rFonts w:ascii="Arial" w:hAnsi="Arial"/>
          <w:sz w:val="21"/>
        </w:rPr>
        <w:t>Holds system-wide management rights. Oversees user identity verification, audits active listings, reviews the transaction ledger, and maintains the crop disease database (adding new diseases, updating treatments, or deleting obsolete entries).</w:t>
      </w:r>
    </w:p>
    <w:p>
      <w:pPr>
        <w:pStyle w:val="Heading2"/>
        <w:keepNext/>
        <w:spacing w:before="240" w:after="120"/>
      </w:pPr>
      <w:r>
        <w:rPr>
          <w:rFonts w:ascii="Arial" w:hAnsi="Arial"/>
          <w:b/>
          <w:color w:val="166534"/>
          <w:sz w:val="30"/>
        </w:rPr>
        <w:t>2.2 Technical Implementation of Role-Based Security</w:t>
      </w:r>
    </w:p>
    <w:p>
      <w:pPr>
        <w:spacing w:after="120" w:line="276" w:lineRule="auto"/>
      </w:pPr>
      <w:r>
        <w:rPr>
          <w:rFonts w:ascii="Arial" w:hAnsi="Arial"/>
          <w:b w:val="0"/>
          <w:i w:val="0"/>
          <w:sz w:val="21"/>
        </w:rPr>
        <w:t>Every page view, button action, and backend database query is protected by a strict role-based access control (RBAC) mechanism. Security is implemented across both the client-side SPA routing and server-side PHP endpoint verification:</w:t>
      </w:r>
    </w:p>
    <w:p>
      <w:pPr>
        <w:pStyle w:val="ListBullet"/>
        <w:spacing w:after="80" w:line="276" w:lineRule="auto"/>
      </w:pPr>
      <w:r>
        <w:rPr>
          <w:rFonts w:ascii="Arial" w:hAnsi="Arial"/>
          <w:b/>
          <w:sz w:val="21"/>
        </w:rPr>
        <w:t xml:space="preserve">Client-Side SPA Routing: </w:t>
      </w:r>
      <w:r>
        <w:rPr>
          <w:rFonts w:ascii="Arial" w:hAnsi="Arial"/>
          <w:sz w:val="21"/>
        </w:rPr>
        <w:t>In `js/dashboard.js`, the main dashboard entry point evaluates the user's role: `if (role === 'farmer') return renderFarmerDashboard();`. If a user is not authenticated, the routing mechanism automatically redirects them to the login screen.</w:t>
      </w:r>
    </w:p>
    <w:p>
      <w:pPr>
        <w:pStyle w:val="ListBullet"/>
        <w:spacing w:after="80" w:line="276" w:lineRule="auto"/>
      </w:pPr>
      <w:r>
        <w:rPr>
          <w:rFonts w:ascii="Arial" w:hAnsi="Arial"/>
          <w:b/>
          <w:sz w:val="21"/>
        </w:rPr>
        <w:t xml:space="preserve">Session Token Generation: </w:t>
      </w:r>
      <w:r>
        <w:rPr>
          <w:rFonts w:ascii="Arial" w:hAnsi="Arial"/>
          <w:sz w:val="21"/>
        </w:rPr>
        <w:t>Upon login, the PHP backend generates a customized base64-encoded session token: `payloadEnc.signature`. The payload contains the user's ID, role, and an expiration timestamp (30 days). The signature is created using `hash_hmac('sha256', payloadEnc, SECRET_KEY)`. This token is stored in the browser's `localStorage` and sent with every API request in the `Authorization: Bearer &lt;token&gt;` header.</w:t>
      </w:r>
    </w:p>
    <w:p>
      <w:pPr>
        <w:pStyle w:val="ListBullet"/>
        <w:spacing w:after="80" w:line="276" w:lineRule="auto"/>
      </w:pPr>
      <w:r>
        <w:rPr>
          <w:rFonts w:ascii="Arial" w:hAnsi="Arial"/>
          <w:b/>
          <w:sz w:val="21"/>
        </w:rPr>
        <w:t xml:space="preserve">Server-Side Verification: </w:t>
      </w:r>
      <w:r>
        <w:rPr>
          <w:rFonts w:ascii="Arial" w:hAnsi="Arial"/>
          <w:sz w:val="21"/>
        </w:rPr>
        <w:t>In `php/api.php`, the controller validates the signature before executing any database operation. For example, `requireAdmin()` extracts the token, verifies the signature, and checks the role: `if ($user['role'] !== 'admin') ApiResponse::error('Unauthorized', 403);`.</w:t>
      </w:r>
    </w:p>
    <w:p>
      <w:pPr>
        <w:pStyle w:val="ListBullet"/>
        <w:spacing w:after="80" w:line="276" w:lineRule="auto"/>
      </w:pPr>
      <w:r>
        <w:rPr>
          <w:rFonts w:ascii="Arial" w:hAnsi="Arial"/>
          <w:b/>
          <w:sz w:val="21"/>
        </w:rPr>
        <w:t xml:space="preserve">User Approval System: </w:t>
      </w:r>
      <w:r>
        <w:rPr>
          <w:rFonts w:ascii="Arial" w:hAnsi="Arial"/>
          <w:sz w:val="21"/>
        </w:rPr>
        <w:t>To prevent fraudulent accounts, new registrations are flagged as pending. Administrators must manually approve farmers before they can list crops. The database column `is_approved` controls this. If an unapproved user attempts to log in, the API returns a `403 Forbidden` response.</w:t>
      </w:r>
    </w:p>
    <w:p>
      <w:pPr>
        <w:pStyle w:val="ListBullet"/>
        <w:spacing w:after="80" w:line="276" w:lineRule="auto"/>
      </w:pPr>
      <w:r>
        <w:rPr>
          <w:rFonts w:ascii="Arial" w:hAnsi="Arial"/>
          <w:b/>
          <w:sz w:val="21"/>
        </w:rPr>
        <w:t xml:space="preserve">Cryptographic Password Migration: </w:t>
      </w:r>
      <w:r>
        <w:rPr>
          <w:rFonts w:ascii="Arial" w:hAnsi="Arial"/>
          <w:sz w:val="21"/>
        </w:rPr>
        <w:t>AgriConnect secures user passwords using PHP's `password_hash()` (Bcrypt). The backend features a transparent migration block. If a legacy plaintext password matches during login, the system automatically regenerates a secure Bcrypt hash and updates the database, ensuring seamless security upgrades.</w:t>
      </w:r>
    </w:p>
    <w:p>
      <w:r>
        <w:br w:type="page"/>
      </w:r>
    </w:p>
    <w:p>
      <w:pPr>
        <w:pStyle w:val="Heading1"/>
        <w:keepNext/>
        <w:spacing w:before="240" w:after="120"/>
      </w:pPr>
      <w:r>
        <w:rPr>
          <w:rFonts w:ascii="Arial" w:hAnsi="Arial"/>
          <w:b/>
          <w:color w:val="166534"/>
          <w:sz w:val="40"/>
        </w:rPr>
        <w:t>Chapter 3: Interactive Features &amp; System Components</w:t>
      </w:r>
    </w:p>
    <w:p>
      <w:pPr>
        <w:pStyle w:val="Heading2"/>
        <w:keepNext/>
        <w:spacing w:before="240" w:after="120"/>
      </w:pPr>
      <w:r>
        <w:rPr>
          <w:rFonts w:ascii="Arial" w:hAnsi="Arial"/>
          <w:b/>
          <w:color w:val="166534"/>
          <w:sz w:val="30"/>
        </w:rPr>
        <w:t>3.1 Crop Marketplace &amp; Catalog Search</w:t>
      </w:r>
    </w:p>
    <w:p>
      <w:pPr>
        <w:spacing w:after="120" w:line="276" w:lineRule="auto"/>
      </w:pPr>
      <w:r>
        <w:rPr>
          <w:rFonts w:ascii="Arial" w:hAnsi="Arial"/>
          <w:b w:val="0"/>
          <w:i w:val="0"/>
          <w:sz w:val="21"/>
        </w:rPr>
        <w:t>The public marketplace (`renderMarketplace()` in `js/app.js`) is the primary trading hub. It provides an intuitive search bar and category filter chips (All, Grain, Cash Crop, Fruit, Vegetable). Key technical features include:</w:t>
      </w:r>
    </w:p>
    <w:p>
      <w:pPr>
        <w:pStyle w:val="ListBullet"/>
        <w:spacing w:after="80" w:line="276" w:lineRule="auto"/>
      </w:pPr>
      <w:r>
        <w:rPr>
          <w:rFonts w:ascii="Arial" w:hAnsi="Arial"/>
          <w:b/>
          <w:sz w:val="21"/>
        </w:rPr>
        <w:t xml:space="preserve">Smart Image Lookup Engine: </w:t>
      </w:r>
      <w:r>
        <w:rPr>
          <w:rFonts w:ascii="Arial" w:hAnsi="Arial"/>
          <w:sz w:val="21"/>
        </w:rPr>
        <w:t>Farmers do not need to provide image URLs. The function `getCropImageUrl(name)` uses a structured list of reference images. It performs a case-insensitive exact match, then a keyword search (e.g., 'Chaunsa Mango' resolves to Mango). If no match is found, it queries Unsplash dynamically using the crop's name. It also automatically fixes improperly formatted Unsplash URLs.</w:t>
      </w:r>
    </w:p>
    <w:p>
      <w:pPr>
        <w:pStyle w:val="ListBullet"/>
        <w:spacing w:after="80" w:line="276" w:lineRule="auto"/>
      </w:pPr>
      <w:r>
        <w:rPr>
          <w:rFonts w:ascii="Arial" w:hAnsi="Arial"/>
          <w:b/>
          <w:sz w:val="21"/>
        </w:rPr>
        <w:t xml:space="preserve">Fallback Crop Emojis: </w:t>
      </w:r>
      <w:r>
        <w:rPr>
          <w:rFonts w:ascii="Arial" w:hAnsi="Arial"/>
          <w:sz w:val="21"/>
        </w:rPr>
        <w:t>If an image fails to load, `handleCropImageError` replaces the broken image with a styled container showing a crop-specific emoji (e.g., 🌾 for Wheat, 🍅 for Tomato) based on the `CROP_ICONS` mapping.</w:t>
      </w:r>
    </w:p>
    <w:p>
      <w:pPr>
        <w:pStyle w:val="ListBullet"/>
        <w:spacing w:after="80" w:line="276" w:lineRule="auto"/>
      </w:pPr>
      <w:r>
        <w:rPr>
          <w:rFonts w:ascii="Arial" w:hAnsi="Arial"/>
          <w:b/>
          <w:sz w:val="21"/>
        </w:rPr>
        <w:t xml:space="preserve">Location Filtering: </w:t>
      </w:r>
      <w:r>
        <w:rPr>
          <w:rFonts w:ascii="Arial" w:hAnsi="Arial"/>
          <w:sz w:val="21"/>
        </w:rPr>
        <w:t>Buyers can search for crops based on specific villages or cities, allowing them to optimize logistics and transport costs.</w:t>
      </w:r>
    </w:p>
    <w:p>
      <w:pPr>
        <w:pStyle w:val="Heading2"/>
        <w:keepNext/>
        <w:spacing w:before="240" w:after="120"/>
      </w:pPr>
      <w:r>
        <w:rPr>
          <w:rFonts w:ascii="Arial" w:hAnsi="Arial"/>
          <w:b/>
          <w:color w:val="166534"/>
          <w:sz w:val="30"/>
        </w:rPr>
        <w:t>3.2 Direct Negotiation &amp; Contact Disclosure Pipeline</w:t>
      </w:r>
    </w:p>
    <w:p>
      <w:pPr>
        <w:spacing w:after="120" w:line="276" w:lineRule="auto"/>
      </w:pPr>
      <w:r>
        <w:rPr>
          <w:rFonts w:ascii="Arial" w:hAnsi="Arial"/>
          <w:b w:val="0"/>
          <w:i w:val="0"/>
          <w:sz w:val="21"/>
        </w:rPr>
        <w:t>The negotiation pipeline allows buyers to submit custom bids. The workflow is designed for transparency:</w:t>
      </w:r>
    </w:p>
    <w:p>
      <w:pPr>
        <w:pStyle w:val="ListBullet"/>
        <w:spacing w:after="80" w:line="276" w:lineRule="auto"/>
      </w:pPr>
      <w:r>
        <w:rPr>
          <w:rFonts w:ascii="Arial" w:hAnsi="Arial"/>
          <w:b/>
          <w:sz w:val="21"/>
        </w:rPr>
        <w:t xml:space="preserve">Outbound Bids: </w:t>
      </w:r>
      <w:r>
        <w:rPr>
          <w:rFonts w:ascii="Arial" w:hAnsi="Arial"/>
          <w:sz w:val="21"/>
        </w:rPr>
        <w:t>A buyer can click 'Negotiate Now' on a crop listing, which opens a detail modal. They enter their proposed unit price and a message. This is recorded in the `offers` table with a status of `pending`.</w:t>
      </w:r>
    </w:p>
    <w:p>
      <w:pPr>
        <w:pStyle w:val="ListBullet"/>
        <w:spacing w:after="80" w:line="276" w:lineRule="auto"/>
      </w:pPr>
      <w:r>
        <w:rPr>
          <w:rFonts w:ascii="Arial" w:hAnsi="Arial"/>
          <w:b/>
          <w:sz w:val="21"/>
        </w:rPr>
        <w:t xml:space="preserve">Inbound Pipeline: </w:t>
      </w:r>
      <w:r>
        <w:rPr>
          <w:rFonts w:ascii="Arial" w:hAnsi="Arial"/>
          <w:sz w:val="21"/>
        </w:rPr>
        <w:t>Farmers see these offers on their dashboard. They can click 'Accept' (changes status to `accepted`) or 'Reject' (changes status to `rejected`).</w:t>
      </w:r>
    </w:p>
    <w:p>
      <w:pPr>
        <w:pStyle w:val="ListBullet"/>
        <w:spacing w:after="80" w:line="276" w:lineRule="auto"/>
      </w:pPr>
      <w:r>
        <w:rPr>
          <w:rFonts w:ascii="Arial" w:hAnsi="Arial"/>
          <w:b/>
          <w:sz w:val="21"/>
        </w:rPr>
        <w:t xml:space="preserve">Contact Details Modal: </w:t>
      </w:r>
      <w:r>
        <w:rPr>
          <w:rFonts w:ascii="Arial" w:hAnsi="Arial"/>
          <w:sz w:val="21"/>
        </w:rPr>
        <w:t>To protect privacy and encourage platform engagement, a farmer's phone number and location are only shown via a secure modal when a buyer clicks on the farmer's name. The system fetches this information dynamically from the database (`farmer_name`, `farmer_city`, `farmer_phone`).</w:t>
      </w:r>
    </w:p>
    <w:p>
      <w:pPr>
        <w:pStyle w:val="Heading2"/>
        <w:keepNext/>
        <w:spacing w:before="240" w:after="120"/>
      </w:pPr>
      <w:r>
        <w:rPr>
          <w:rFonts w:ascii="Arial" w:hAnsi="Arial"/>
          <w:b/>
          <w:color w:val="166534"/>
          <w:sz w:val="30"/>
        </w:rPr>
        <w:t>3.3 Purchase Bill Estimator</w:t>
      </w:r>
    </w:p>
    <w:p>
      <w:pPr>
        <w:spacing w:after="120" w:line="276" w:lineRule="auto"/>
      </w:pPr>
      <w:r>
        <w:rPr>
          <w:rFonts w:ascii="Arial" w:hAnsi="Arial"/>
          <w:b w:val="0"/>
          <w:i w:val="0"/>
          <w:sz w:val="21"/>
        </w:rPr>
        <w:t>The Purchase Bill Estimator is a utility built directly into the crop details modal. It addresses a common challenge: calculating the total cost of bulk orders, including unit conversion, without needing to contact the farmer or perform manual calculations.</w:t>
      </w:r>
    </w:p>
    <w:p>
      <w:pPr>
        <w:spacing w:after="120" w:line="276" w:lineRule="auto"/>
      </w:pPr>
      <w:r>
        <w:rPr>
          <w:rFonts w:ascii="Arial" w:hAnsi="Arial"/>
          <w:b w:val="0"/>
          <w:i w:val="0"/>
          <w:sz w:val="21"/>
        </w:rPr>
        <w:t>Technically, the estimator uses a JavaScript event listener (`oninput`) attached to the quantity field. As the user types, the function `updateEstimatedBill(price)` instantly calculates the total cost (`quantity * price`) and formats it as a currency string (`toLocaleString()`). This calculation occurs locally in the browser, eliminating unnecessary server requests.</w:t>
      </w:r>
    </w:p>
    <w:p>
      <w:pPr>
        <w:pStyle w:val="Heading2"/>
        <w:keepNext/>
        <w:spacing w:before="240" w:after="120"/>
      </w:pPr>
      <w:r>
        <w:rPr>
          <w:rFonts w:ascii="Arial" w:hAnsi="Arial"/>
          <w:b/>
          <w:color w:val="166534"/>
          <w:sz w:val="30"/>
        </w:rPr>
        <w:t>3.4 Bilingual Support (English &amp; Urdu Localization)</w:t>
      </w:r>
    </w:p>
    <w:p>
      <w:pPr>
        <w:spacing w:after="120" w:line="276" w:lineRule="auto"/>
      </w:pPr>
      <w:r>
        <w:rPr>
          <w:rFonts w:ascii="Arial" w:hAnsi="Arial"/>
          <w:b w:val="0"/>
          <w:i w:val="0"/>
          <w:sz w:val="21"/>
        </w:rPr>
        <w:t>To ensure accessibility for rural farmers in Mianwali, AgriConnect is fully bilingual. Users can toggle between English and Urdu with a single click in the navigation bar.</w:t>
      </w:r>
    </w:p>
    <w:p>
      <w:pPr>
        <w:spacing w:after="120" w:line="276" w:lineRule="auto"/>
      </w:pPr>
      <w:r>
        <w:rPr>
          <w:rFonts w:ascii="Arial" w:hAnsi="Arial"/>
          <w:b w:val="0"/>
          <w:i w:val="0"/>
          <w:sz w:val="21"/>
        </w:rPr>
        <w:t>The implementation uses a static key-value map (`TRANSLATIONS` in `js/app.js`) for UI labels, titles, and descriptions. The global helper function `window.t(key)` checks the active language state (`state.lang`) and returns the translated string. When the user toggles the language, the state is updated, saved in `localStorage`, and the application re-renders to apply the translations instantly.</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200" w:type="dxa"/>
              <w:right w:w="200" w:type="dxa"/>
            </w:tcMar>
            <w:tcBorders>
              <w:left w:val="single" w:sz="36" w:space="0" w:color="166534"/>
              <w:top w:val="none"/>
              <w:bottom w:val="none"/>
              <w:right w:val="none"/>
            </w:tcBorders>
          </w:tcPr>
          <w:p>
            <w:pPr>
              <w:spacing w:after="80"/>
            </w:pPr>
            <w:r>
              <w:rPr>
                <w:rFonts w:ascii="Arial" w:hAnsi="Arial"/>
                <w:b/>
                <w:color w:val="166534"/>
                <w:sz w:val="22"/>
              </w:rPr>
              <w:t>★ Localization Example</w:t>
              <w:br/>
            </w:r>
            <w:r>
              <w:rPr>
                <w:rFonts w:ascii="Arial" w:hAnsi="Arial"/>
                <w:color w:val="374151"/>
                <w:sz w:val="20"/>
              </w:rPr>
              <w:t>English: t('hero_title') =&gt; 'Buy &amp; Sell Crops Directly'</w:t>
              <w:br/>
              <w:t>Urdu: t('hero_title') =&gt; 'براہ راست فصلیں خریدیں اور بیچیں'</w:t>
              <w:br/>
              <w:t>Additionally, crop disease symptoms and treatment protocols are stored in both languages in the database (e.g., `symptoms` and `ur_symptoms`), allowing the AI report card to render in the selected language.</w:t>
            </w:r>
          </w:p>
        </w:tc>
      </w:tr>
    </w:tbl>
    <w:p>
      <w:pPr>
        <w:spacing w:before="120" w:after="120"/>
      </w:pPr>
    </w:p>
    <w:p>
      <w:r>
        <w:br w:type="page"/>
      </w:r>
    </w:p>
    <w:p>
      <w:pPr>
        <w:pStyle w:val="Heading1"/>
        <w:keepNext/>
        <w:spacing w:before="240" w:after="120"/>
      </w:pPr>
      <w:r>
        <w:rPr>
          <w:rFonts w:ascii="Arial" w:hAnsi="Arial"/>
          <w:b/>
          <w:color w:val="166534"/>
          <w:sz w:val="40"/>
        </w:rPr>
        <w:t>Chapter 4: Advanced System Modules</w:t>
      </w:r>
    </w:p>
    <w:p>
      <w:pPr>
        <w:pStyle w:val="Heading2"/>
        <w:keepNext/>
        <w:spacing w:before="240" w:after="120"/>
      </w:pPr>
      <w:r>
        <w:rPr>
          <w:rFonts w:ascii="Arial" w:hAnsi="Arial"/>
          <w:b/>
          <w:color w:val="166534"/>
          <w:sz w:val="30"/>
        </w:rPr>
        <w:t>4.1 Regional Market Analytics</w:t>
      </w:r>
    </w:p>
    <w:p>
      <w:pPr>
        <w:spacing w:after="120" w:line="276" w:lineRule="auto"/>
      </w:pPr>
      <w:r>
        <w:rPr>
          <w:rFonts w:ascii="Arial" w:hAnsi="Arial"/>
          <w:b w:val="0"/>
          <w:i w:val="0"/>
          <w:sz w:val="21"/>
        </w:rPr>
        <w:t>The Regional Insights module (`renderRegionalAnalysisPage()`) provides real-time market data across the Mianwali region, including Isa Khel, Piplan, Kundian, Daudkhel, Kalabagh, and Wan Bhachran. It displays top-performing crops, average prices, demand levels (%), and average yields per acre.</w:t>
      </w:r>
    </w:p>
    <w:p>
      <w:pPr>
        <w:spacing w:after="120" w:line="276" w:lineRule="auto"/>
      </w:pPr>
      <w:r>
        <w:rPr>
          <w:rFonts w:ascii="Arial" w:hAnsi="Arial"/>
          <w:b w:val="0"/>
          <w:i w:val="0"/>
          <w:sz w:val="21"/>
        </w:rPr>
        <w:t>Technically, the backend fetches this data from the `regional_stats` table. The frontend uses Chart.js to display a bar chart of crop price distributions. For simple layouts, the system also uses vanilla CSS bar columns. Here, column heights are calculated dynamically: `height = (avg_price / maxPrice) * 100`. This provides a clean, lightweight visual representation without relying on external libraries.</w:t>
      </w:r>
    </w:p>
    <w:p>
      <w:pPr>
        <w:pStyle w:val="Heading2"/>
        <w:keepNext/>
        <w:spacing w:before="240" w:after="120"/>
      </w:pPr>
      <w:r>
        <w:rPr>
          <w:rFonts w:ascii="Arial" w:hAnsi="Arial"/>
          <w:b/>
          <w:color w:val="166534"/>
          <w:sz w:val="30"/>
        </w:rPr>
        <w:t>4.2 Government Subsidy &amp; Schemes Registry</w:t>
      </w:r>
    </w:p>
    <w:p>
      <w:pPr>
        <w:spacing w:after="120" w:line="276" w:lineRule="auto"/>
      </w:pPr>
      <w:r>
        <w:rPr>
          <w:rFonts w:ascii="Arial" w:hAnsi="Arial"/>
          <w:b w:val="0"/>
          <w:i w:val="0"/>
          <w:sz w:val="21"/>
        </w:rPr>
        <w:t>The Government Schemes module connects farmers with official support programs, such as the Punjab Kissan Card, CM Punjab Green Tractor Scheme, and solar tube well subsidies. It displays categories, launch dates, key benefits, eligibility criteria, and links to official portals.</w:t>
      </w:r>
    </w:p>
    <w:p>
      <w:pPr>
        <w:spacing w:after="120" w:line="276" w:lineRule="auto"/>
      </w:pPr>
      <w:r>
        <w:rPr>
          <w:rFonts w:ascii="Arial" w:hAnsi="Arial"/>
          <w:b w:val="0"/>
          <w:i w:val="0"/>
          <w:sz w:val="21"/>
        </w:rPr>
        <w:t>To optimize database performance, the schemes database uses a normalized structure consisting of four tables: `schemes`, `benefits`, `eligibility`, and `scheme_highlights`. In `php/api.php`, the query uses `GROUP_CONCAT(DISTINCT benefit_description SEPARATOR '; ')` and `GROUP_CONCAT(DISTINCT criteria SEPARATOR '; ')` to retrieve all related benefits and eligibility criteria in a single query. This reduces database overhead and speeds up page loads.</w:t>
      </w:r>
    </w:p>
    <w:p>
      <w:pPr>
        <w:pStyle w:val="Heading2"/>
        <w:keepNext/>
        <w:spacing w:before="240" w:after="120"/>
      </w:pPr>
      <w:r>
        <w:rPr>
          <w:rFonts w:ascii="Arial" w:hAnsi="Arial"/>
          <w:b/>
          <w:color w:val="166534"/>
          <w:sz w:val="30"/>
        </w:rPr>
        <w:t>4.3 AI Plant Diagnostics Engine (Photo Scanner)</w:t>
      </w:r>
    </w:p>
    <w:p>
      <w:pPr>
        <w:spacing w:after="120" w:line="276" w:lineRule="auto"/>
      </w:pPr>
      <w:r>
        <w:rPr>
          <w:rFonts w:ascii="Arial" w:hAnsi="Arial"/>
          <w:b w:val="0"/>
          <w:i w:val="0"/>
          <w:sz w:val="21"/>
        </w:rPr>
        <w:t>The AI Photo Scanner allows farmers to upload a picture of a diseased leaf to receive an immediate diagnosis, complete with a confidence rating, threat level, symptoms list, and treatment recommendations.</w:t>
      </w:r>
    </w:p>
    <w:p>
      <w:pPr>
        <w:spacing w:after="120" w:line="276" w:lineRule="auto"/>
      </w:pPr>
      <w:r>
        <w:rPr>
          <w:rFonts w:ascii="Arial" w:hAnsi="Arial"/>
          <w:b w:val="0"/>
          <w:i w:val="0"/>
          <w:sz w:val="21"/>
        </w:rPr>
        <w:t>The diagnostic engine is implemented entirely on the client side in `js/ai-disease.js` using HTML5 Canvas. This approach avoids the need for heavy python servers or cloud-based machine learning APIs. The analysis follows a structured pipeline:</w:t>
      </w:r>
    </w:p>
    <w:p>
      <w:pPr>
        <w:pStyle w:val="ListBullet"/>
        <w:spacing w:after="80" w:line="276" w:lineRule="auto"/>
      </w:pPr>
      <w:r>
        <w:rPr>
          <w:rFonts w:ascii="Arial" w:hAnsi="Arial"/>
          <w:b/>
          <w:sz w:val="21"/>
        </w:rPr>
        <w:t xml:space="preserve">1. Canvas Downsampling: </w:t>
      </w:r>
      <w:r>
        <w:rPr>
          <w:rFonts w:ascii="Arial" w:hAnsi="Arial"/>
          <w:sz w:val="21"/>
        </w:rPr>
        <w:t>When a farmer uploads an image, the system draws it onto an off-screen HTML5 canvas downsampled to 30x30 pixels. This process filters out noise and speeds up analysis.</w:t>
      </w:r>
    </w:p>
    <w:p>
      <w:pPr>
        <w:pStyle w:val="ListBullet"/>
        <w:spacing w:after="80" w:line="276" w:lineRule="auto"/>
      </w:pPr>
      <w:r>
        <w:rPr>
          <w:rFonts w:ascii="Arial" w:hAnsi="Arial"/>
          <w:b/>
          <w:sz w:val="21"/>
        </w:rPr>
        <w:t xml:space="preserve">2. Perceptual Color Extraction: </w:t>
      </w:r>
      <w:r>
        <w:rPr>
          <w:rFonts w:ascii="Arial" w:hAnsi="Arial"/>
          <w:sz w:val="21"/>
        </w:rPr>
        <w:t>The engine loops through the canvas pixel data (`ctx.getImageData()`) to calculate the average Red, Green, and Blue values, as well as specific color indicators:</w:t>
        <w:br/>
        <w:t>- Greenness: `g &gt; r &amp;&amp; g &gt; b` (healthy chlorophyll indicator).</w:t>
        <w:br/>
        <w:t>- Yellowness: `r &gt; 120 &amp;&amp; g &gt; 120 &amp;&amp; b &lt; 100` (indicator for chlorosis, mosaic viruses, or downy mildew).</w:t>
        <w:br/>
        <w:t>- Brownness: `r &gt; g &amp;&amp; r &gt; 60 &amp;&amp; g &gt; 30 &amp;&amp; b &lt; 60` (indicator for necrotic leaf spots, rusts, or blights).</w:t>
      </w:r>
    </w:p>
    <w:p>
      <w:pPr>
        <w:pStyle w:val="ListBullet"/>
        <w:spacing w:after="80" w:line="276" w:lineRule="auto"/>
      </w:pPr>
      <w:r>
        <w:rPr>
          <w:rFonts w:ascii="Arial" w:hAnsi="Arial"/>
          <w:b/>
          <w:sz w:val="21"/>
        </w:rPr>
        <w:t xml:space="preserve">3. Reference Image Comparison: </w:t>
      </w:r>
      <w:r>
        <w:rPr>
          <w:rFonts w:ascii="Arial" w:hAnsi="Arial"/>
          <w:sz w:val="21"/>
        </w:rPr>
        <w:t>The engine attempts to load reference images for each disease in the database and calculate their color profiles. It determines similarity by measuring the distance between the uploaded image's profile and the reference profile: `similarity = 100 - (colorDiff * 0.15 + yellowDiff * 80 + greenDiff * 80 + brownDiff * 80)`.</w:t>
      </w:r>
    </w:p>
    <w:p>
      <w:pPr>
        <w:pStyle w:val="ListBullet"/>
        <w:spacing w:after="80" w:line="276" w:lineRule="auto"/>
      </w:pPr>
      <w:r>
        <w:rPr>
          <w:rFonts w:ascii="Arial" w:hAnsi="Arial"/>
          <w:b/>
          <w:sz w:val="21"/>
        </w:rPr>
        <w:t xml:space="preserve">4. Heuristic Profile Fallback: </w:t>
      </w:r>
      <w:r>
        <w:rPr>
          <w:rFonts w:ascii="Arial" w:hAnsi="Arial"/>
          <w:sz w:val="21"/>
        </w:rPr>
        <w:t>If reference images cannot be loaded (e.g., due to network issues or CORS restrictions), the engine falls back to predefined disease profiles (e.g., Wilt and Rot diseases have a high brownness profile, while Blights and Mildews have a high yellowness profile).</w:t>
      </w:r>
    </w:p>
    <w:p>
      <w:pPr>
        <w:pStyle w:val="ListBullet"/>
        <w:spacing w:after="80" w:line="276" w:lineRule="auto"/>
      </w:pPr>
      <w:r>
        <w:rPr>
          <w:rFonts w:ascii="Arial" w:hAnsi="Arial"/>
          <w:b/>
          <w:sz w:val="21"/>
        </w:rPr>
        <w:t xml:space="preserve">5. Telemetry &amp; History: </w:t>
      </w:r>
      <w:r>
        <w:rPr>
          <w:rFonts w:ascii="Arial" w:hAnsi="Arial"/>
          <w:sz w:val="21"/>
        </w:rPr>
        <w:t>The scan results are saved in the database under `ai_diagnostics_history`. This allows farmers to track their crop health history and helps administrators monitor disease outbreaks across different regions.</w:t>
      </w:r>
    </w:p>
    <w:tbl>
      <w:tblPr>
        <w:tblW w:type="auto" w:w="0"/>
        <w:jc w:val="center"/>
        <w:tblLook w:firstColumn="1" w:firstRow="1" w:lastColumn="0" w:lastRow="0" w:noHBand="0" w:noVBand="1" w:val="04A0"/>
      </w:tblPr>
      <w:tblGrid>
        <w:gridCol w:w="9360"/>
      </w:tblGrid>
      <w:tr>
        <w:tc>
          <w:tcPr>
            <w:tcW w:type="dxa" w:w="9360"/>
            <w:shd w:fill="FFFBEB"/>
            <w:tcMar>
              <w:top w:w="140" w:type="dxa"/>
              <w:bottom w:w="140" w:type="dxa"/>
              <w:left w:w="200" w:type="dxa"/>
              <w:right w:w="200" w:type="dxa"/>
            </w:tcMar>
            <w:tcBorders>
              <w:left w:val="single" w:sz="36" w:space="0" w:color="D97706"/>
              <w:top w:val="none"/>
              <w:bottom w:val="none"/>
              <w:right w:val="none"/>
            </w:tcBorders>
          </w:tcPr>
          <w:p>
            <w:pPr>
              <w:spacing w:after="80"/>
            </w:pPr>
            <w:r>
              <w:rPr>
                <w:rFonts w:ascii="Arial" w:hAnsi="Arial"/>
                <w:b/>
                <w:color w:val="92400E"/>
                <w:sz w:val="22"/>
              </w:rPr>
              <w:t>★ AI Diagnostic Telemetry</w:t>
              <w:br/>
            </w:r>
            <w:r>
              <w:rPr>
                <w:rFonts w:ascii="Arial" w:hAnsi="Arial"/>
                <w:color w:val="374151"/>
                <w:sz w:val="20"/>
              </w:rPr>
              <w:t>This client-side implementation performs basic color-metric analysis, running in less than 50 milliseconds directly in the user's browser. It provides an accessible, offline-capable diagnostic tool for farmers, bypassing the need for complex server infrastructure.</w:t>
            </w:r>
          </w:p>
        </w:tc>
      </w:tr>
    </w:tbl>
    <w:p>
      <w:pPr>
        <w:spacing w:before="120" w:after="120"/>
      </w:pPr>
    </w:p>
    <w:p>
      <w:r>
        <w:br w:type="page"/>
      </w:r>
    </w:p>
    <w:p>
      <w:pPr>
        <w:pStyle w:val="Heading1"/>
        <w:keepNext/>
        <w:spacing w:before="240" w:after="120"/>
      </w:pPr>
      <w:r>
        <w:rPr>
          <w:rFonts w:ascii="Arial" w:hAnsi="Arial"/>
          <w:b/>
          <w:color w:val="166534"/>
          <w:sz w:val="40"/>
        </w:rPr>
        <w:t>Chapter 5: Database Schema &amp; Data Model</w:t>
      </w:r>
    </w:p>
    <w:p>
      <w:pPr>
        <w:pStyle w:val="Heading2"/>
        <w:keepNext/>
        <w:spacing w:before="240" w:after="120"/>
      </w:pPr>
      <w:r>
        <w:rPr>
          <w:rFonts w:ascii="Arial" w:hAnsi="Arial"/>
          <w:b/>
          <w:color w:val="166534"/>
          <w:sz w:val="30"/>
        </w:rPr>
        <w:t>5.1 Database Structure &amp; Tables</w:t>
      </w:r>
    </w:p>
    <w:p>
      <w:pPr>
        <w:spacing w:after="120" w:line="276" w:lineRule="auto"/>
      </w:pPr>
      <w:r>
        <w:rPr>
          <w:rFonts w:ascii="Arial" w:hAnsi="Arial"/>
          <w:b w:val="0"/>
          <w:i w:val="0"/>
          <w:sz w:val="21"/>
        </w:rPr>
        <w:t>The relational database schema is designed to ensure data integrity and support complex marketplace transactions. Below are the details for each table in the database:</w:t>
      </w:r>
    </w:p>
    <w:tbl>
      <w:tblPr>
        <w:tblW w:type="auto" w:w="0"/>
        <w:jc w:val="center"/>
        <w:tblLook w:firstColumn="1" w:firstRow="1" w:lastColumn="0" w:lastRow="0" w:noHBand="0" w:noVBand="1" w:val="04A0"/>
      </w:tblPr>
      <w:tblGrid>
        <w:gridCol w:w="2340"/>
        <w:gridCol w:w="2340"/>
        <w:gridCol w:w="2340"/>
        <w:gridCol w:w="2340"/>
      </w:tblGrid>
      <w:tr>
        <w:tc>
          <w:tcPr>
            <w:tcW w:type="dxa" w:w="2340"/>
            <w:shd w:fill="166534"/>
            <w:tcMar>
              <w:top w:w="100" w:type="dxa"/>
              <w:bottom w:w="100" w:type="dxa"/>
              <w:left w:w="120" w:type="dxa"/>
              <w:right w:w="120" w:type="dxa"/>
            </w:tcMar>
          </w:tcPr>
          <w:p>
            <w:r>
              <w:rPr>
                <w:rFonts w:ascii="Arial" w:hAnsi="Arial"/>
                <w:b/>
                <w:color w:val="FFFFFF"/>
                <w:sz w:val="19"/>
              </w:rPr>
              <w:t>Table Name</w:t>
            </w:r>
          </w:p>
        </w:tc>
        <w:tc>
          <w:tcPr>
            <w:tcW w:type="dxa" w:w="2340"/>
            <w:shd w:fill="166534"/>
            <w:tcMar>
              <w:top w:w="100" w:type="dxa"/>
              <w:bottom w:w="100" w:type="dxa"/>
              <w:left w:w="120" w:type="dxa"/>
              <w:right w:w="120" w:type="dxa"/>
            </w:tcMar>
          </w:tcPr>
          <w:p>
            <w:r>
              <w:rPr>
                <w:rFonts w:ascii="Arial" w:hAnsi="Arial"/>
                <w:b/>
                <w:color w:val="FFFFFF"/>
                <w:sz w:val="19"/>
              </w:rPr>
              <w:t>Primary Key</w:t>
            </w:r>
          </w:p>
        </w:tc>
        <w:tc>
          <w:tcPr>
            <w:tcW w:type="dxa" w:w="2340"/>
            <w:shd w:fill="166534"/>
            <w:tcMar>
              <w:top w:w="100" w:type="dxa"/>
              <w:bottom w:w="100" w:type="dxa"/>
              <w:left w:w="120" w:type="dxa"/>
              <w:right w:w="120" w:type="dxa"/>
            </w:tcMar>
          </w:tcPr>
          <w:p>
            <w:r>
              <w:rPr>
                <w:rFonts w:ascii="Arial" w:hAnsi="Arial"/>
                <w:b/>
                <w:color w:val="FFFFFF"/>
                <w:sz w:val="19"/>
              </w:rPr>
              <w:t>Foreign Keys / Relationships</w:t>
            </w:r>
          </w:p>
        </w:tc>
        <w:tc>
          <w:tcPr>
            <w:tcW w:type="dxa" w:w="2340"/>
            <w:shd w:fill="166534"/>
            <w:tcMar>
              <w:top w:w="100" w:type="dxa"/>
              <w:bottom w:w="100" w:type="dxa"/>
              <w:left w:w="120" w:type="dxa"/>
              <w:right w:w="120" w:type="dxa"/>
            </w:tcMar>
          </w:tcPr>
          <w:p>
            <w:r>
              <w:rPr>
                <w:rFonts w:ascii="Arial" w:hAnsi="Arial"/>
                <w:b/>
                <w:color w:val="FFFFFF"/>
                <w:sz w:val="19"/>
              </w:rPr>
              <w:t>Functional Purpose</w:t>
            </w:r>
          </w:p>
        </w:tc>
      </w:tr>
      <w:tr>
        <w:tc>
          <w:tcPr>
            <w:tcW w:type="dxa" w:w="2340"/>
            <w:shd w:fill="F0FDF4"/>
            <w:tcMar>
              <w:top w:w="80" w:type="dxa"/>
              <w:bottom w:w="80" w:type="dxa"/>
              <w:left w:w="100" w:type="dxa"/>
              <w:right w:w="100" w:type="dxa"/>
            </w:tcMar>
          </w:tcPr>
          <w:p>
            <w:pPr>
              <w:spacing w:after="40" w:line="264" w:lineRule="auto"/>
            </w:pPr>
            <w:r>
              <w:rPr>
                <w:rFonts w:ascii="Arial" w:hAnsi="Arial"/>
                <w:color w:val="374151"/>
                <w:sz w:val="17"/>
              </w:rPr>
              <w:t>users</w:t>
            </w:r>
          </w:p>
        </w:tc>
        <w:tc>
          <w:tcPr>
            <w:tcW w:type="dxa" w:w="2340"/>
            <w:shd w:fill="F0FDF4"/>
            <w:tcMar>
              <w:top w:w="80" w:type="dxa"/>
              <w:bottom w:w="80" w:type="dxa"/>
              <w:left w:w="100" w:type="dxa"/>
              <w:right w:w="100" w:type="dxa"/>
            </w:tcMar>
          </w:tcPr>
          <w:p>
            <w:pPr>
              <w:spacing w:after="40" w:line="264" w:lineRule="auto"/>
            </w:pPr>
            <w:r>
              <w:rPr>
                <w:rFonts w:ascii="Arial" w:hAnsi="Arial"/>
                <w:color w:val="374151"/>
                <w:sz w:val="17"/>
              </w:rPr>
              <w:t>id</w:t>
            </w:r>
          </w:p>
        </w:tc>
        <w:tc>
          <w:tcPr>
            <w:tcW w:type="dxa" w:w="2340"/>
            <w:shd w:fill="F0FDF4"/>
            <w:tcMar>
              <w:top w:w="80" w:type="dxa"/>
              <w:bottom w:w="80" w:type="dxa"/>
              <w:left w:w="100" w:type="dxa"/>
              <w:right w:w="100" w:type="dxa"/>
            </w:tcMar>
          </w:tcPr>
          <w:p>
            <w:pPr>
              <w:spacing w:after="40" w:line="264" w:lineRule="auto"/>
            </w:pPr>
            <w:r>
              <w:rPr>
                <w:rFonts w:ascii="Arial" w:hAnsi="Arial"/>
                <w:color w:val="374151"/>
                <w:sz w:val="17"/>
              </w:rPr>
              <w:t>None</w:t>
            </w:r>
          </w:p>
        </w:tc>
        <w:tc>
          <w:tcPr>
            <w:tcW w:type="dxa" w:w="2340"/>
            <w:shd w:fill="F0FDF4"/>
            <w:tcMar>
              <w:top w:w="80" w:type="dxa"/>
              <w:bottom w:w="80" w:type="dxa"/>
              <w:left w:w="100" w:type="dxa"/>
              <w:right w:w="100" w:type="dxa"/>
            </w:tcMar>
          </w:tcPr>
          <w:p>
            <w:pPr>
              <w:spacing w:after="40" w:line="264" w:lineRule="auto"/>
            </w:pPr>
            <w:r>
              <w:rPr>
                <w:rFonts w:ascii="Arial" w:hAnsi="Arial"/>
                <w:color w:val="374151"/>
                <w:sz w:val="17"/>
              </w:rPr>
              <w:t>Stores user details for farmers, buyers, and administrators, including Bcrypt-hashed passwords and approval flags.</w:t>
            </w:r>
          </w:p>
        </w:tc>
      </w:tr>
      <w:tr>
        <w:tc>
          <w:tcPr>
            <w:tcW w:type="dxa" w:w="2340"/>
            <w:shd w:fill="F0FDF4"/>
            <w:tcMar>
              <w:top w:w="80" w:type="dxa"/>
              <w:bottom w:w="80" w:type="dxa"/>
              <w:left w:w="100" w:type="dxa"/>
              <w:right w:w="100" w:type="dxa"/>
            </w:tcMar>
          </w:tcPr>
          <w:p>
            <w:pPr>
              <w:spacing w:after="40" w:line="264" w:lineRule="auto"/>
            </w:pPr>
            <w:r>
              <w:rPr>
                <w:rFonts w:ascii="Arial" w:hAnsi="Arial"/>
                <w:color w:val="374151"/>
                <w:sz w:val="17"/>
              </w:rPr>
              <w:t>crop_details</w:t>
            </w:r>
          </w:p>
        </w:tc>
        <w:tc>
          <w:tcPr>
            <w:tcW w:type="dxa" w:w="2340"/>
            <w:shd w:fill="F0FDF4"/>
            <w:tcMar>
              <w:top w:w="80" w:type="dxa"/>
              <w:bottom w:w="80" w:type="dxa"/>
              <w:left w:w="100" w:type="dxa"/>
              <w:right w:w="100" w:type="dxa"/>
            </w:tcMar>
          </w:tcPr>
          <w:p>
            <w:pPr>
              <w:spacing w:after="40" w:line="264" w:lineRule="auto"/>
            </w:pPr>
            <w:r>
              <w:rPr>
                <w:rFonts w:ascii="Arial" w:hAnsi="Arial"/>
                <w:color w:val="374151"/>
                <w:sz w:val="17"/>
              </w:rPr>
              <w:t>id</w:t>
            </w:r>
          </w:p>
        </w:tc>
        <w:tc>
          <w:tcPr>
            <w:tcW w:type="dxa" w:w="2340"/>
            <w:shd w:fill="F0FDF4"/>
            <w:tcMar>
              <w:top w:w="80" w:type="dxa"/>
              <w:bottom w:w="80" w:type="dxa"/>
              <w:left w:w="100" w:type="dxa"/>
              <w:right w:w="100" w:type="dxa"/>
            </w:tcMar>
          </w:tcPr>
          <w:p>
            <w:pPr>
              <w:spacing w:after="40" w:line="264" w:lineRule="auto"/>
            </w:pPr>
            <w:r>
              <w:rPr>
                <w:rFonts w:ascii="Arial" w:hAnsi="Arial"/>
                <w:color w:val="374151"/>
                <w:sz w:val="17"/>
              </w:rPr>
              <w:t>None</w:t>
            </w:r>
          </w:p>
        </w:tc>
        <w:tc>
          <w:tcPr>
            <w:tcW w:type="dxa" w:w="2340"/>
            <w:shd w:fill="F0FDF4"/>
            <w:tcMar>
              <w:top w:w="80" w:type="dxa"/>
              <w:bottom w:w="80" w:type="dxa"/>
              <w:left w:w="100" w:type="dxa"/>
              <w:right w:w="100" w:type="dxa"/>
            </w:tcMar>
          </w:tcPr>
          <w:p>
            <w:pPr>
              <w:spacing w:after="40" w:line="264" w:lineRule="auto"/>
            </w:pPr>
            <w:r>
              <w:rPr>
                <w:rFonts w:ascii="Arial" w:hAnsi="Arial"/>
                <w:color w:val="374151"/>
                <w:sz w:val="17"/>
              </w:rPr>
              <w:t>Maintains static descriptions and categories for crops.</w:t>
            </w:r>
          </w:p>
        </w:tc>
      </w:tr>
      <w:tr>
        <w:tc>
          <w:tcPr>
            <w:tcW w:type="dxa" w:w="2340"/>
            <w:shd w:fill="F0FDF4"/>
            <w:tcMar>
              <w:top w:w="80" w:type="dxa"/>
              <w:bottom w:w="80" w:type="dxa"/>
              <w:left w:w="100" w:type="dxa"/>
              <w:right w:w="100" w:type="dxa"/>
            </w:tcMar>
          </w:tcPr>
          <w:p>
            <w:pPr>
              <w:spacing w:after="40" w:line="264" w:lineRule="auto"/>
            </w:pPr>
            <w:r>
              <w:rPr>
                <w:rFonts w:ascii="Arial" w:hAnsi="Arial"/>
                <w:color w:val="374151"/>
                <w:sz w:val="17"/>
              </w:rPr>
              <w:t>added_crops</w:t>
            </w:r>
          </w:p>
        </w:tc>
        <w:tc>
          <w:tcPr>
            <w:tcW w:type="dxa" w:w="2340"/>
            <w:shd w:fill="F0FDF4"/>
            <w:tcMar>
              <w:top w:w="80" w:type="dxa"/>
              <w:bottom w:w="80" w:type="dxa"/>
              <w:left w:w="100" w:type="dxa"/>
              <w:right w:w="100" w:type="dxa"/>
            </w:tcMar>
          </w:tcPr>
          <w:p>
            <w:pPr>
              <w:spacing w:after="40" w:line="264" w:lineRule="auto"/>
            </w:pPr>
            <w:r>
              <w:rPr>
                <w:rFonts w:ascii="Arial" w:hAnsi="Arial"/>
                <w:color w:val="374151"/>
                <w:sz w:val="17"/>
              </w:rPr>
              <w:t>id</w:t>
            </w:r>
          </w:p>
        </w:tc>
        <w:tc>
          <w:tcPr>
            <w:tcW w:type="dxa" w:w="2340"/>
            <w:shd w:fill="F0FDF4"/>
            <w:tcMar>
              <w:top w:w="80" w:type="dxa"/>
              <w:bottom w:w="80" w:type="dxa"/>
              <w:left w:w="100" w:type="dxa"/>
              <w:right w:w="100" w:type="dxa"/>
            </w:tcMar>
          </w:tcPr>
          <w:p>
            <w:pPr>
              <w:spacing w:after="40" w:line="264" w:lineRule="auto"/>
            </w:pPr>
            <w:r>
              <w:rPr>
                <w:rFonts w:ascii="Arial" w:hAnsi="Arial"/>
                <w:color w:val="374151"/>
                <w:sz w:val="17"/>
              </w:rPr>
              <w:t>farmerId -&gt; users.id</w:t>
              <w:br/>
              <w:t>cropDetailId -&gt; crop_details.id</w:t>
            </w:r>
          </w:p>
        </w:tc>
        <w:tc>
          <w:tcPr>
            <w:tcW w:type="dxa" w:w="2340"/>
            <w:shd w:fill="F0FDF4"/>
            <w:tcMar>
              <w:top w:w="80" w:type="dxa"/>
              <w:bottom w:w="80" w:type="dxa"/>
              <w:left w:w="100" w:type="dxa"/>
              <w:right w:w="100" w:type="dxa"/>
            </w:tcMar>
          </w:tcPr>
          <w:p>
            <w:pPr>
              <w:spacing w:after="40" w:line="264" w:lineRule="auto"/>
            </w:pPr>
            <w:r>
              <w:rPr>
                <w:rFonts w:ascii="Arial" w:hAnsi="Arial"/>
                <w:color w:val="374151"/>
                <w:sz w:val="17"/>
              </w:rPr>
              <w:t>Tracks farmer inventory, linking specific farmers with crop types, quantities, and harvest dates.</w:t>
            </w:r>
          </w:p>
        </w:tc>
      </w:tr>
      <w:tr>
        <w:tc>
          <w:tcPr>
            <w:tcW w:type="dxa" w:w="2340"/>
            <w:shd w:fill="F0FDF4"/>
            <w:tcMar>
              <w:top w:w="80" w:type="dxa"/>
              <w:bottom w:w="80" w:type="dxa"/>
              <w:left w:w="100" w:type="dxa"/>
              <w:right w:w="100" w:type="dxa"/>
            </w:tcMar>
          </w:tcPr>
          <w:p>
            <w:pPr>
              <w:spacing w:after="40" w:line="264" w:lineRule="auto"/>
            </w:pPr>
            <w:r>
              <w:rPr>
                <w:rFonts w:ascii="Arial" w:hAnsi="Arial"/>
                <w:color w:val="374151"/>
                <w:sz w:val="17"/>
              </w:rPr>
              <w:t>marketplace</w:t>
            </w:r>
          </w:p>
        </w:tc>
        <w:tc>
          <w:tcPr>
            <w:tcW w:type="dxa" w:w="2340"/>
            <w:shd w:fill="F0FDF4"/>
            <w:tcMar>
              <w:top w:w="80" w:type="dxa"/>
              <w:bottom w:w="80" w:type="dxa"/>
              <w:left w:w="100" w:type="dxa"/>
              <w:right w:w="100" w:type="dxa"/>
            </w:tcMar>
          </w:tcPr>
          <w:p>
            <w:pPr>
              <w:spacing w:after="40" w:line="264" w:lineRule="auto"/>
            </w:pPr>
            <w:r>
              <w:rPr>
                <w:rFonts w:ascii="Arial" w:hAnsi="Arial"/>
                <w:color w:val="374151"/>
                <w:sz w:val="17"/>
              </w:rPr>
              <w:t>id</w:t>
            </w:r>
          </w:p>
        </w:tc>
        <w:tc>
          <w:tcPr>
            <w:tcW w:type="dxa" w:w="2340"/>
            <w:shd w:fill="F0FDF4"/>
            <w:tcMar>
              <w:top w:w="80" w:type="dxa"/>
              <w:bottom w:w="80" w:type="dxa"/>
              <w:left w:w="100" w:type="dxa"/>
              <w:right w:w="100" w:type="dxa"/>
            </w:tcMar>
          </w:tcPr>
          <w:p>
            <w:pPr>
              <w:spacing w:after="40" w:line="264" w:lineRule="auto"/>
            </w:pPr>
            <w:r>
              <w:rPr>
                <w:rFonts w:ascii="Arial" w:hAnsi="Arial"/>
                <w:color w:val="374151"/>
                <w:sz w:val="17"/>
              </w:rPr>
              <w:t>addedCropId -&gt; added_crops.id</w:t>
            </w:r>
          </w:p>
        </w:tc>
        <w:tc>
          <w:tcPr>
            <w:tcW w:type="dxa" w:w="2340"/>
            <w:shd w:fill="F0FDF4"/>
            <w:tcMar>
              <w:top w:w="80" w:type="dxa"/>
              <w:bottom w:w="80" w:type="dxa"/>
              <w:left w:w="100" w:type="dxa"/>
              <w:right w:w="100" w:type="dxa"/>
            </w:tcMar>
          </w:tcPr>
          <w:p>
            <w:pPr>
              <w:spacing w:after="40" w:line="264" w:lineRule="auto"/>
            </w:pPr>
            <w:r>
              <w:rPr>
                <w:rFonts w:ascii="Arial" w:hAnsi="Arial"/>
                <w:color w:val="374151"/>
                <w:sz w:val="17"/>
              </w:rPr>
              <w:t>Lists active crop offers available for negotiation, including price, location, clicks, and farmer contact details.</w:t>
            </w:r>
          </w:p>
        </w:tc>
      </w:tr>
      <w:tr>
        <w:tc>
          <w:tcPr>
            <w:tcW w:type="dxa" w:w="2340"/>
            <w:shd w:fill="F0FDF4"/>
            <w:tcMar>
              <w:top w:w="80" w:type="dxa"/>
              <w:bottom w:w="80" w:type="dxa"/>
              <w:left w:w="100" w:type="dxa"/>
              <w:right w:w="100" w:type="dxa"/>
            </w:tcMar>
          </w:tcPr>
          <w:p>
            <w:pPr>
              <w:spacing w:after="40" w:line="264" w:lineRule="auto"/>
            </w:pPr>
            <w:r>
              <w:rPr>
                <w:rFonts w:ascii="Arial" w:hAnsi="Arial"/>
                <w:color w:val="374151"/>
                <w:sz w:val="17"/>
              </w:rPr>
              <w:t>offers</w:t>
            </w:r>
          </w:p>
        </w:tc>
        <w:tc>
          <w:tcPr>
            <w:tcW w:type="dxa" w:w="2340"/>
            <w:shd w:fill="F0FDF4"/>
            <w:tcMar>
              <w:top w:w="80" w:type="dxa"/>
              <w:bottom w:w="80" w:type="dxa"/>
              <w:left w:w="100" w:type="dxa"/>
              <w:right w:w="100" w:type="dxa"/>
            </w:tcMar>
          </w:tcPr>
          <w:p>
            <w:pPr>
              <w:spacing w:after="40" w:line="264" w:lineRule="auto"/>
            </w:pPr>
            <w:r>
              <w:rPr>
                <w:rFonts w:ascii="Arial" w:hAnsi="Arial"/>
                <w:color w:val="374151"/>
                <w:sz w:val="17"/>
              </w:rPr>
              <w:t>id</w:t>
            </w:r>
          </w:p>
        </w:tc>
        <w:tc>
          <w:tcPr>
            <w:tcW w:type="dxa" w:w="2340"/>
            <w:shd w:fill="F0FDF4"/>
            <w:tcMar>
              <w:top w:w="80" w:type="dxa"/>
              <w:bottom w:w="80" w:type="dxa"/>
              <w:left w:w="100" w:type="dxa"/>
              <w:right w:w="100" w:type="dxa"/>
            </w:tcMar>
          </w:tcPr>
          <w:p>
            <w:pPr>
              <w:spacing w:after="40" w:line="264" w:lineRule="auto"/>
            </w:pPr>
            <w:r>
              <w:rPr>
                <w:rFonts w:ascii="Arial" w:hAnsi="Arial"/>
                <w:color w:val="374151"/>
                <w:sz w:val="17"/>
              </w:rPr>
              <w:t>marketplaceId -&gt; marketplace.id</w:t>
              <w:br/>
              <w:t>buyerId -&gt; users.id</w:t>
            </w:r>
          </w:p>
        </w:tc>
        <w:tc>
          <w:tcPr>
            <w:tcW w:type="dxa" w:w="2340"/>
            <w:shd w:fill="F0FDF4"/>
            <w:tcMar>
              <w:top w:w="80" w:type="dxa"/>
              <w:bottom w:w="80" w:type="dxa"/>
              <w:left w:w="100" w:type="dxa"/>
              <w:right w:w="100" w:type="dxa"/>
            </w:tcMar>
          </w:tcPr>
          <w:p>
            <w:pPr>
              <w:spacing w:after="40" w:line="264" w:lineRule="auto"/>
            </w:pPr>
            <w:r>
              <w:rPr>
                <w:rFonts w:ascii="Arial" w:hAnsi="Arial"/>
                <w:color w:val="374151"/>
                <w:sz w:val="17"/>
              </w:rPr>
              <w:t>Stores buyer bids and negotiation offers linked to active marketplace listings.</w:t>
            </w:r>
          </w:p>
        </w:tc>
      </w:tr>
      <w:tr>
        <w:tc>
          <w:tcPr>
            <w:tcW w:type="dxa" w:w="2340"/>
            <w:shd w:fill="F0FDF4"/>
            <w:tcMar>
              <w:top w:w="80" w:type="dxa"/>
              <w:bottom w:w="80" w:type="dxa"/>
              <w:left w:w="100" w:type="dxa"/>
              <w:right w:w="100" w:type="dxa"/>
            </w:tcMar>
          </w:tcPr>
          <w:p>
            <w:pPr>
              <w:spacing w:after="40" w:line="264" w:lineRule="auto"/>
            </w:pPr>
            <w:r>
              <w:rPr>
                <w:rFonts w:ascii="Arial" w:hAnsi="Arial"/>
                <w:color w:val="374151"/>
                <w:sz w:val="17"/>
              </w:rPr>
              <w:t>regional_stats</w:t>
            </w:r>
          </w:p>
        </w:tc>
        <w:tc>
          <w:tcPr>
            <w:tcW w:type="dxa" w:w="2340"/>
            <w:shd w:fill="F0FDF4"/>
            <w:tcMar>
              <w:top w:w="80" w:type="dxa"/>
              <w:bottom w:w="80" w:type="dxa"/>
              <w:left w:w="100" w:type="dxa"/>
              <w:right w:w="100" w:type="dxa"/>
            </w:tcMar>
          </w:tcPr>
          <w:p>
            <w:pPr>
              <w:spacing w:after="40" w:line="264" w:lineRule="auto"/>
            </w:pPr>
            <w:r>
              <w:rPr>
                <w:rFonts w:ascii="Arial" w:hAnsi="Arial"/>
                <w:color w:val="374151"/>
                <w:sz w:val="17"/>
              </w:rPr>
              <w:t>id</w:t>
            </w:r>
          </w:p>
        </w:tc>
        <w:tc>
          <w:tcPr>
            <w:tcW w:type="dxa" w:w="2340"/>
            <w:shd w:fill="F0FDF4"/>
            <w:tcMar>
              <w:top w:w="80" w:type="dxa"/>
              <w:bottom w:w="80" w:type="dxa"/>
              <w:left w:w="100" w:type="dxa"/>
              <w:right w:w="100" w:type="dxa"/>
            </w:tcMar>
          </w:tcPr>
          <w:p>
            <w:pPr>
              <w:spacing w:after="40" w:line="264" w:lineRule="auto"/>
            </w:pPr>
            <w:r>
              <w:rPr>
                <w:rFonts w:ascii="Arial" w:hAnsi="Arial"/>
                <w:color w:val="374151"/>
                <w:sz w:val="17"/>
              </w:rPr>
              <w:t>None</w:t>
            </w:r>
          </w:p>
        </w:tc>
        <w:tc>
          <w:tcPr>
            <w:tcW w:type="dxa" w:w="2340"/>
            <w:shd w:fill="F0FDF4"/>
            <w:tcMar>
              <w:top w:w="80" w:type="dxa"/>
              <w:bottom w:w="80" w:type="dxa"/>
              <w:left w:w="100" w:type="dxa"/>
              <w:right w:w="100" w:type="dxa"/>
            </w:tcMar>
          </w:tcPr>
          <w:p>
            <w:pPr>
              <w:spacing w:after="40" w:line="264" w:lineRule="auto"/>
            </w:pPr>
            <w:r>
              <w:rPr>
                <w:rFonts w:ascii="Arial" w:hAnsi="Arial"/>
                <w:color w:val="374151"/>
                <w:sz w:val="17"/>
              </w:rPr>
              <w:t>Maintains regional agricultural statistics, including average crop prices, demand levels, and yields.</w:t>
            </w:r>
          </w:p>
        </w:tc>
      </w:tr>
      <w:tr>
        <w:tc>
          <w:tcPr>
            <w:tcW w:type="dxa" w:w="2340"/>
            <w:shd w:fill="F0FDF4"/>
            <w:tcMar>
              <w:top w:w="80" w:type="dxa"/>
              <w:bottom w:w="80" w:type="dxa"/>
              <w:left w:w="100" w:type="dxa"/>
              <w:right w:w="100" w:type="dxa"/>
            </w:tcMar>
          </w:tcPr>
          <w:p>
            <w:pPr>
              <w:spacing w:after="40" w:line="264" w:lineRule="auto"/>
            </w:pPr>
            <w:r>
              <w:rPr>
                <w:rFonts w:ascii="Arial" w:hAnsi="Arial"/>
                <w:color w:val="374151"/>
                <w:sz w:val="17"/>
              </w:rPr>
              <w:t>schemes</w:t>
            </w:r>
          </w:p>
        </w:tc>
        <w:tc>
          <w:tcPr>
            <w:tcW w:type="dxa" w:w="2340"/>
            <w:shd w:fill="F0FDF4"/>
            <w:tcMar>
              <w:top w:w="80" w:type="dxa"/>
              <w:bottom w:w="80" w:type="dxa"/>
              <w:left w:w="100" w:type="dxa"/>
              <w:right w:w="100" w:type="dxa"/>
            </w:tcMar>
          </w:tcPr>
          <w:p>
            <w:pPr>
              <w:spacing w:after="40" w:line="264" w:lineRule="auto"/>
            </w:pPr>
            <w:r>
              <w:rPr>
                <w:rFonts w:ascii="Arial" w:hAnsi="Arial"/>
                <w:color w:val="374151"/>
                <w:sz w:val="17"/>
              </w:rPr>
              <w:t>scheme_id</w:t>
            </w:r>
          </w:p>
        </w:tc>
        <w:tc>
          <w:tcPr>
            <w:tcW w:type="dxa" w:w="2340"/>
            <w:shd w:fill="F0FDF4"/>
            <w:tcMar>
              <w:top w:w="80" w:type="dxa"/>
              <w:bottom w:w="80" w:type="dxa"/>
              <w:left w:w="100" w:type="dxa"/>
              <w:right w:w="100" w:type="dxa"/>
            </w:tcMar>
          </w:tcPr>
          <w:p>
            <w:pPr>
              <w:spacing w:after="40" w:line="264" w:lineRule="auto"/>
            </w:pPr>
            <w:r>
              <w:rPr>
                <w:rFonts w:ascii="Arial" w:hAnsi="Arial"/>
                <w:color w:val="374151"/>
                <w:sz w:val="17"/>
              </w:rPr>
              <w:t>None</w:t>
            </w:r>
          </w:p>
        </w:tc>
        <w:tc>
          <w:tcPr>
            <w:tcW w:type="dxa" w:w="2340"/>
            <w:shd w:fill="F0FDF4"/>
            <w:tcMar>
              <w:top w:w="80" w:type="dxa"/>
              <w:bottom w:w="80" w:type="dxa"/>
              <w:left w:w="100" w:type="dxa"/>
              <w:right w:w="100" w:type="dxa"/>
            </w:tcMar>
          </w:tcPr>
          <w:p>
            <w:pPr>
              <w:spacing w:after="40" w:line="264" w:lineRule="auto"/>
            </w:pPr>
            <w:r>
              <w:rPr>
                <w:rFonts w:ascii="Arial" w:hAnsi="Arial"/>
                <w:color w:val="374151"/>
                <w:sz w:val="17"/>
              </w:rPr>
              <w:t>Stores details of active government subsidy programs.</w:t>
            </w:r>
          </w:p>
        </w:tc>
      </w:tr>
      <w:tr>
        <w:tc>
          <w:tcPr>
            <w:tcW w:type="dxa" w:w="2340"/>
            <w:shd w:fill="F0FDF4"/>
            <w:tcMar>
              <w:top w:w="80" w:type="dxa"/>
              <w:bottom w:w="80" w:type="dxa"/>
              <w:left w:w="100" w:type="dxa"/>
              <w:right w:w="100" w:type="dxa"/>
            </w:tcMar>
          </w:tcPr>
          <w:p>
            <w:pPr>
              <w:spacing w:after="40" w:line="264" w:lineRule="auto"/>
            </w:pPr>
            <w:r>
              <w:rPr>
                <w:rFonts w:ascii="Arial" w:hAnsi="Arial"/>
                <w:color w:val="374151"/>
                <w:sz w:val="17"/>
              </w:rPr>
              <w:t>benefits</w:t>
            </w:r>
          </w:p>
        </w:tc>
        <w:tc>
          <w:tcPr>
            <w:tcW w:type="dxa" w:w="2340"/>
            <w:shd w:fill="F0FDF4"/>
            <w:tcMar>
              <w:top w:w="80" w:type="dxa"/>
              <w:bottom w:w="80" w:type="dxa"/>
              <w:left w:w="100" w:type="dxa"/>
              <w:right w:w="100" w:type="dxa"/>
            </w:tcMar>
          </w:tcPr>
          <w:p>
            <w:pPr>
              <w:spacing w:after="40" w:line="264" w:lineRule="auto"/>
            </w:pPr>
            <w:r>
              <w:rPr>
                <w:rFonts w:ascii="Arial" w:hAnsi="Arial"/>
                <w:color w:val="374151"/>
                <w:sz w:val="17"/>
              </w:rPr>
              <w:t>benefit_id</w:t>
            </w:r>
          </w:p>
        </w:tc>
        <w:tc>
          <w:tcPr>
            <w:tcW w:type="dxa" w:w="2340"/>
            <w:shd w:fill="F0FDF4"/>
            <w:tcMar>
              <w:top w:w="80" w:type="dxa"/>
              <w:bottom w:w="80" w:type="dxa"/>
              <w:left w:w="100" w:type="dxa"/>
              <w:right w:w="100" w:type="dxa"/>
            </w:tcMar>
          </w:tcPr>
          <w:p>
            <w:pPr>
              <w:spacing w:after="40" w:line="264" w:lineRule="auto"/>
            </w:pPr>
            <w:r>
              <w:rPr>
                <w:rFonts w:ascii="Arial" w:hAnsi="Arial"/>
                <w:color w:val="374151"/>
                <w:sz w:val="17"/>
              </w:rPr>
              <w:t>scheme_id -&gt; schemes.scheme_id</w:t>
            </w:r>
          </w:p>
        </w:tc>
        <w:tc>
          <w:tcPr>
            <w:tcW w:type="dxa" w:w="2340"/>
            <w:shd w:fill="F0FDF4"/>
            <w:tcMar>
              <w:top w:w="80" w:type="dxa"/>
              <w:bottom w:w="80" w:type="dxa"/>
              <w:left w:w="100" w:type="dxa"/>
              <w:right w:w="100" w:type="dxa"/>
            </w:tcMar>
          </w:tcPr>
          <w:p>
            <w:pPr>
              <w:spacing w:after="40" w:line="264" w:lineRule="auto"/>
            </w:pPr>
            <w:r>
              <w:rPr>
                <w:rFonts w:ascii="Arial" w:hAnsi="Arial"/>
                <w:color w:val="374151"/>
                <w:sz w:val="17"/>
              </w:rPr>
              <w:t>Stores key benefits associated with each government subsidy program.</w:t>
            </w:r>
          </w:p>
        </w:tc>
      </w:tr>
      <w:tr>
        <w:tc>
          <w:tcPr>
            <w:tcW w:type="dxa" w:w="2340"/>
            <w:shd w:fill="F0FDF4"/>
            <w:tcMar>
              <w:top w:w="80" w:type="dxa"/>
              <w:bottom w:w="80" w:type="dxa"/>
              <w:left w:w="100" w:type="dxa"/>
              <w:right w:w="100" w:type="dxa"/>
            </w:tcMar>
          </w:tcPr>
          <w:p>
            <w:pPr>
              <w:spacing w:after="40" w:line="264" w:lineRule="auto"/>
            </w:pPr>
            <w:r>
              <w:rPr>
                <w:rFonts w:ascii="Arial" w:hAnsi="Arial"/>
                <w:color w:val="374151"/>
                <w:sz w:val="17"/>
              </w:rPr>
              <w:t>eligibility</w:t>
            </w:r>
          </w:p>
        </w:tc>
        <w:tc>
          <w:tcPr>
            <w:tcW w:type="dxa" w:w="2340"/>
            <w:shd w:fill="F0FDF4"/>
            <w:tcMar>
              <w:top w:w="80" w:type="dxa"/>
              <w:bottom w:w="80" w:type="dxa"/>
              <w:left w:w="100" w:type="dxa"/>
              <w:right w:w="100" w:type="dxa"/>
            </w:tcMar>
          </w:tcPr>
          <w:p>
            <w:pPr>
              <w:spacing w:after="40" w:line="264" w:lineRule="auto"/>
            </w:pPr>
            <w:r>
              <w:rPr>
                <w:rFonts w:ascii="Arial" w:hAnsi="Arial"/>
                <w:color w:val="374151"/>
                <w:sz w:val="17"/>
              </w:rPr>
              <w:t>eligibility_id</w:t>
            </w:r>
          </w:p>
        </w:tc>
        <w:tc>
          <w:tcPr>
            <w:tcW w:type="dxa" w:w="2340"/>
            <w:shd w:fill="F0FDF4"/>
            <w:tcMar>
              <w:top w:w="80" w:type="dxa"/>
              <w:bottom w:w="80" w:type="dxa"/>
              <w:left w:w="100" w:type="dxa"/>
              <w:right w:w="100" w:type="dxa"/>
            </w:tcMar>
          </w:tcPr>
          <w:p>
            <w:pPr>
              <w:spacing w:after="40" w:line="264" w:lineRule="auto"/>
            </w:pPr>
            <w:r>
              <w:rPr>
                <w:rFonts w:ascii="Arial" w:hAnsi="Arial"/>
                <w:color w:val="374151"/>
                <w:sz w:val="17"/>
              </w:rPr>
              <w:t>scheme_id -&gt; schemes.scheme_id</w:t>
            </w:r>
          </w:p>
        </w:tc>
        <w:tc>
          <w:tcPr>
            <w:tcW w:type="dxa" w:w="2340"/>
            <w:shd w:fill="F0FDF4"/>
            <w:tcMar>
              <w:top w:w="80" w:type="dxa"/>
              <w:bottom w:w="80" w:type="dxa"/>
              <w:left w:w="100" w:type="dxa"/>
              <w:right w:w="100" w:type="dxa"/>
            </w:tcMar>
          </w:tcPr>
          <w:p>
            <w:pPr>
              <w:spacing w:after="40" w:line="264" w:lineRule="auto"/>
            </w:pPr>
            <w:r>
              <w:rPr>
                <w:rFonts w:ascii="Arial" w:hAnsi="Arial"/>
                <w:color w:val="374151"/>
                <w:sz w:val="17"/>
              </w:rPr>
              <w:t>Stores eligibility criteria for government subsidy programs.</w:t>
            </w:r>
          </w:p>
        </w:tc>
      </w:tr>
      <w:tr>
        <w:tc>
          <w:tcPr>
            <w:tcW w:type="dxa" w:w="2340"/>
            <w:shd w:fill="F0FDF4"/>
            <w:tcMar>
              <w:top w:w="80" w:type="dxa"/>
              <w:bottom w:w="80" w:type="dxa"/>
              <w:left w:w="100" w:type="dxa"/>
              <w:right w:w="100" w:type="dxa"/>
            </w:tcMar>
          </w:tcPr>
          <w:p>
            <w:pPr>
              <w:spacing w:after="40" w:line="264" w:lineRule="auto"/>
            </w:pPr>
            <w:r>
              <w:rPr>
                <w:rFonts w:ascii="Arial" w:hAnsi="Arial"/>
                <w:color w:val="374151"/>
                <w:sz w:val="17"/>
              </w:rPr>
              <w:t>diseases</w:t>
            </w:r>
          </w:p>
        </w:tc>
        <w:tc>
          <w:tcPr>
            <w:tcW w:type="dxa" w:w="2340"/>
            <w:shd w:fill="F0FDF4"/>
            <w:tcMar>
              <w:top w:w="80" w:type="dxa"/>
              <w:bottom w:w="80" w:type="dxa"/>
              <w:left w:w="100" w:type="dxa"/>
              <w:right w:w="100" w:type="dxa"/>
            </w:tcMar>
          </w:tcPr>
          <w:p>
            <w:pPr>
              <w:spacing w:after="40" w:line="264" w:lineRule="auto"/>
            </w:pPr>
            <w:r>
              <w:rPr>
                <w:rFonts w:ascii="Arial" w:hAnsi="Arial"/>
                <w:color w:val="374151"/>
                <w:sz w:val="17"/>
              </w:rPr>
              <w:t>id</w:t>
            </w:r>
          </w:p>
        </w:tc>
        <w:tc>
          <w:tcPr>
            <w:tcW w:type="dxa" w:w="2340"/>
            <w:shd w:fill="F0FDF4"/>
            <w:tcMar>
              <w:top w:w="80" w:type="dxa"/>
              <w:bottom w:w="80" w:type="dxa"/>
              <w:left w:w="100" w:type="dxa"/>
              <w:right w:w="100" w:type="dxa"/>
            </w:tcMar>
          </w:tcPr>
          <w:p>
            <w:pPr>
              <w:spacing w:after="40" w:line="264" w:lineRule="auto"/>
            </w:pPr>
            <w:r>
              <w:rPr>
                <w:rFonts w:ascii="Arial" w:hAnsi="Arial"/>
                <w:color w:val="374151"/>
                <w:sz w:val="17"/>
              </w:rPr>
              <w:t>None</w:t>
            </w:r>
          </w:p>
        </w:tc>
        <w:tc>
          <w:tcPr>
            <w:tcW w:type="dxa" w:w="2340"/>
            <w:shd w:fill="F0FDF4"/>
            <w:tcMar>
              <w:top w:w="80" w:type="dxa"/>
              <w:bottom w:w="80" w:type="dxa"/>
              <w:left w:w="100" w:type="dxa"/>
              <w:right w:w="100" w:type="dxa"/>
            </w:tcMar>
          </w:tcPr>
          <w:p>
            <w:pPr>
              <w:spacing w:after="40" w:line="264" w:lineRule="auto"/>
            </w:pPr>
            <w:r>
              <w:rPr>
                <w:rFonts w:ascii="Arial" w:hAnsi="Arial"/>
                <w:color w:val="374151"/>
                <w:sz w:val="17"/>
              </w:rPr>
              <w:t>Maintains the crop disease dictionary, including Urdu translations and reference images.</w:t>
            </w:r>
          </w:p>
        </w:tc>
      </w:tr>
      <w:tr>
        <w:tc>
          <w:tcPr>
            <w:tcW w:type="dxa" w:w="2340"/>
            <w:shd w:fill="F0FDF4"/>
            <w:tcMar>
              <w:top w:w="80" w:type="dxa"/>
              <w:bottom w:w="80" w:type="dxa"/>
              <w:left w:w="100" w:type="dxa"/>
              <w:right w:w="100" w:type="dxa"/>
            </w:tcMar>
          </w:tcPr>
          <w:p>
            <w:pPr>
              <w:spacing w:after="40" w:line="264" w:lineRule="auto"/>
            </w:pPr>
            <w:r>
              <w:rPr>
                <w:rFonts w:ascii="Arial" w:hAnsi="Arial"/>
                <w:color w:val="374151"/>
                <w:sz w:val="17"/>
              </w:rPr>
              <w:t>ai_diagnostics_history</w:t>
            </w:r>
          </w:p>
        </w:tc>
        <w:tc>
          <w:tcPr>
            <w:tcW w:type="dxa" w:w="2340"/>
            <w:shd w:fill="F0FDF4"/>
            <w:tcMar>
              <w:top w:w="80" w:type="dxa"/>
              <w:bottom w:w="80" w:type="dxa"/>
              <w:left w:w="100" w:type="dxa"/>
              <w:right w:w="100" w:type="dxa"/>
            </w:tcMar>
          </w:tcPr>
          <w:p>
            <w:pPr>
              <w:spacing w:after="40" w:line="264" w:lineRule="auto"/>
            </w:pPr>
            <w:r>
              <w:rPr>
                <w:rFonts w:ascii="Arial" w:hAnsi="Arial"/>
                <w:color w:val="374151"/>
                <w:sz w:val="17"/>
              </w:rPr>
              <w:t>id</w:t>
            </w:r>
          </w:p>
        </w:tc>
        <w:tc>
          <w:tcPr>
            <w:tcW w:type="dxa" w:w="2340"/>
            <w:shd w:fill="F0FDF4"/>
            <w:tcMar>
              <w:top w:w="80" w:type="dxa"/>
              <w:bottom w:w="80" w:type="dxa"/>
              <w:left w:w="100" w:type="dxa"/>
              <w:right w:w="100" w:type="dxa"/>
            </w:tcMar>
          </w:tcPr>
          <w:p>
            <w:pPr>
              <w:spacing w:after="40" w:line="264" w:lineRule="auto"/>
            </w:pPr>
            <w:r>
              <w:rPr>
                <w:rFonts w:ascii="Arial" w:hAnsi="Arial"/>
                <w:color w:val="374151"/>
                <w:sz w:val="17"/>
              </w:rPr>
              <w:t>farmerId -&gt; users.id</w:t>
            </w:r>
          </w:p>
        </w:tc>
        <w:tc>
          <w:tcPr>
            <w:tcW w:type="dxa" w:w="2340"/>
            <w:shd w:fill="F0FDF4"/>
            <w:tcMar>
              <w:top w:w="80" w:type="dxa"/>
              <w:bottom w:w="80" w:type="dxa"/>
              <w:left w:w="100" w:type="dxa"/>
              <w:right w:w="100" w:type="dxa"/>
            </w:tcMar>
          </w:tcPr>
          <w:p>
            <w:pPr>
              <w:spacing w:after="40" w:line="264" w:lineRule="auto"/>
            </w:pPr>
            <w:r>
              <w:rPr>
                <w:rFonts w:ascii="Arial" w:hAnsi="Arial"/>
                <w:color w:val="374151"/>
                <w:sz w:val="17"/>
              </w:rPr>
              <w:t>Logs plant diagnostics history, tracking scanned crops, detected diseases, and confidence scores.</w:t>
            </w:r>
          </w:p>
        </w:tc>
      </w:tr>
    </w:tbl>
    <w:p>
      <w:pPr>
        <w:spacing w:before="240" w:after="240"/>
      </w:pPr>
    </w:p>
    <w:p>
      <w:pPr>
        <w:pStyle w:val="Heading2"/>
        <w:keepNext/>
        <w:spacing w:before="240" w:after="120"/>
      </w:pPr>
      <w:r>
        <w:rPr>
          <w:rFonts w:ascii="Arial" w:hAnsi="Arial"/>
          <w:b/>
          <w:color w:val="166534"/>
          <w:sz w:val="30"/>
        </w:rPr>
        <w:t>5.2 Data Consistency &amp; Referential Integrity Constraints</w:t>
      </w:r>
    </w:p>
    <w:p>
      <w:pPr>
        <w:spacing w:after="120" w:line="276" w:lineRule="auto"/>
      </w:pPr>
      <w:r>
        <w:rPr>
          <w:rFonts w:ascii="Arial" w:hAnsi="Arial"/>
          <w:b w:val="0"/>
          <w:i w:val="0"/>
          <w:sz w:val="21"/>
        </w:rPr>
        <w:t>The database enforces referential integrity constraints to maintain consistency across tables. Key rules include:</w:t>
      </w:r>
    </w:p>
    <w:p>
      <w:pPr>
        <w:pStyle w:val="ListBullet"/>
        <w:spacing w:after="80" w:line="276" w:lineRule="auto"/>
      </w:pPr>
      <w:r>
        <w:rPr>
          <w:rFonts w:ascii="Arial" w:hAnsi="Arial"/>
          <w:b/>
          <w:sz w:val="21"/>
        </w:rPr>
        <w:t xml:space="preserve">ON DELETE CASCADE: </w:t>
      </w:r>
      <w:r>
        <w:rPr>
          <w:rFonts w:ascii="Arial" w:hAnsi="Arial"/>
          <w:sz w:val="21"/>
        </w:rPr>
        <w:t>If a user is deleted from the `users` table, all associated listings in `added_crops`, `marketplace` listings, and `offers` are automatically deleted. This prevents orphaned records and maintains database consistency.</w:t>
      </w:r>
    </w:p>
    <w:p>
      <w:pPr>
        <w:pStyle w:val="ListBullet"/>
        <w:spacing w:after="80" w:line="276" w:lineRule="auto"/>
      </w:pPr>
      <w:r>
        <w:rPr>
          <w:rFonts w:ascii="Arial" w:hAnsi="Arial"/>
          <w:b/>
          <w:sz w:val="21"/>
        </w:rPr>
        <w:t xml:space="preserve">ON DELETE SET NULL: </w:t>
      </w:r>
      <w:r>
        <w:rPr>
          <w:rFonts w:ascii="Arial" w:hAnsi="Arial"/>
          <w:sz w:val="21"/>
        </w:rPr>
        <w:t>If a farmer account is deleted, their diagnostic records in the `ai_diagnostics_history` table are preserved for regional telemetry, but the `farmerId` field is set to `NULL` to protect user privacy.</w:t>
      </w:r>
    </w:p>
    <w:p>
      <w:r>
        <w:br w:type="page"/>
      </w:r>
    </w:p>
    <w:p>
      <w:pPr>
        <w:pStyle w:val="Heading1"/>
        <w:keepNext/>
        <w:spacing w:before="240" w:after="120"/>
      </w:pPr>
      <w:r>
        <w:rPr>
          <w:rFonts w:ascii="Arial" w:hAnsi="Arial"/>
          <w:b/>
          <w:color w:val="166534"/>
          <w:sz w:val="40"/>
        </w:rPr>
        <w:t>Chapter 6: Source Code &amp; Directory Map</w:t>
      </w:r>
    </w:p>
    <w:p>
      <w:pPr>
        <w:spacing w:after="120" w:line="276" w:lineRule="auto"/>
      </w:pPr>
      <w:r>
        <w:rPr>
          <w:rFonts w:ascii="Arial" w:hAnsi="Arial"/>
          <w:b w:val="0"/>
          <w:i w:val="0"/>
          <w:sz w:val="21"/>
        </w:rPr>
        <w:t>AgriConnect is organized into frontend templates, stylesheets, clientside engines, and backend controllers. Below is a map of the key files in the codebase:</w:t>
      </w:r>
    </w:p>
    <w:p>
      <w:pPr>
        <w:pStyle w:val="ListBullet"/>
        <w:spacing w:after="80" w:line="276" w:lineRule="auto"/>
      </w:pPr>
      <w:r>
        <w:rPr>
          <w:rFonts w:ascii="Arial" w:hAnsi="Arial"/>
          <w:b/>
          <w:sz w:val="21"/>
        </w:rPr>
        <w:t xml:space="preserve">index.html: </w:t>
      </w:r>
      <w:r>
        <w:rPr>
          <w:rFonts w:ascii="Arial" w:hAnsi="Arial"/>
          <w:sz w:val="21"/>
        </w:rPr>
        <w:t>The entry point for the Single Page Application (SPA). It loads Google Fonts (Inter and Outfit), Chart.js, the main stylesheet, and initializes the SPA container (`&lt;div id='app'&gt;`). It imports `js/ai-disease.js`, `js/app.js`, and `js/dashboard.js` before executing `initApp`.</w:t>
      </w:r>
    </w:p>
    <w:p>
      <w:pPr>
        <w:pStyle w:val="ListBullet"/>
        <w:spacing w:after="80" w:line="276" w:lineRule="auto"/>
      </w:pPr>
      <w:r>
        <w:rPr>
          <w:rFonts w:ascii="Arial" w:hAnsi="Arial"/>
          <w:b/>
          <w:sz w:val="21"/>
        </w:rPr>
        <w:t xml:space="preserve">css/styles.css: </w:t>
      </w:r>
      <w:r>
        <w:rPr>
          <w:rFonts w:ascii="Arial" w:hAnsi="Arial"/>
          <w:sz w:val="21"/>
        </w:rPr>
        <w:t>Contains the project's styling. Features a dark-themed color system, custom scrollbars, card layouts, loading spinners, and responsive typography.</w:t>
      </w:r>
    </w:p>
    <w:p>
      <w:pPr>
        <w:pStyle w:val="ListBullet"/>
        <w:spacing w:after="80" w:line="276" w:lineRule="auto"/>
      </w:pPr>
      <w:r>
        <w:rPr>
          <w:rFonts w:ascii="Arial" w:hAnsi="Arial"/>
          <w:b/>
          <w:sz w:val="21"/>
        </w:rPr>
        <w:t xml:space="preserve">js/app.js: </w:t>
      </w:r>
      <w:r>
        <w:rPr>
          <w:rFonts w:ascii="Arial" w:hAnsi="Arial"/>
          <w:sz w:val="21"/>
        </w:rPr>
        <w:t>Coordinates the SPA's core logic. Houses configuration data, category definitions, standard translations, navigation routing (`navigate()`), session management (`logout()`), and public page rendering modules (Home, Marketplace, login/registration forms).</w:t>
      </w:r>
    </w:p>
    <w:p>
      <w:pPr>
        <w:pStyle w:val="ListBullet"/>
        <w:spacing w:after="80" w:line="276" w:lineRule="auto"/>
      </w:pPr>
      <w:r>
        <w:rPr>
          <w:rFonts w:ascii="Arial" w:hAnsi="Arial"/>
          <w:b/>
          <w:sz w:val="21"/>
        </w:rPr>
        <w:t xml:space="preserve">js/dashboard.js: </w:t>
      </w:r>
      <w:r>
        <w:rPr>
          <w:rFonts w:ascii="Arial" w:hAnsi="Arial"/>
          <w:sz w:val="21"/>
        </w:rPr>
        <w:t>Renders dashboards based on user roles (Farmer, Buyer, Admin) and handles related operations. It also manages the interactive Regional Analytics view, the Government Schemes page, resource pages, and the user approval modal.</w:t>
      </w:r>
    </w:p>
    <w:p>
      <w:pPr>
        <w:pStyle w:val="ListBullet"/>
        <w:spacing w:after="80" w:line="276" w:lineRule="auto"/>
      </w:pPr>
      <w:r>
        <w:rPr>
          <w:rFonts w:ascii="Arial" w:hAnsi="Arial"/>
          <w:b/>
          <w:sz w:val="21"/>
        </w:rPr>
        <w:t xml:space="preserve">js/ai-disease.js: </w:t>
      </w:r>
      <w:r>
        <w:rPr>
          <w:rFonts w:ascii="Arial" w:hAnsi="Arial"/>
          <w:sz w:val="21"/>
        </w:rPr>
        <w:t>Implements the clientside AI disease engine. Handles Canvas drawing, pixel scanning, and image similarity matching.</w:t>
      </w:r>
    </w:p>
    <w:p>
      <w:pPr>
        <w:pStyle w:val="ListBullet"/>
        <w:spacing w:after="80" w:line="276" w:lineRule="auto"/>
      </w:pPr>
      <w:r>
        <w:rPr>
          <w:rFonts w:ascii="Arial" w:hAnsi="Arial"/>
          <w:b/>
          <w:sz w:val="21"/>
        </w:rPr>
        <w:t xml:space="preserve">php/api.php: </w:t>
      </w:r>
      <w:r>
        <w:rPr>
          <w:rFonts w:ascii="Arial" w:hAnsi="Arial"/>
          <w:sz w:val="21"/>
        </w:rPr>
        <w:t>The primary REST API controller. Manages database connectivity, JWT-like session token generation, user creation, listing and offer updates, and admin settings.</w:t>
      </w:r>
    </w:p>
    <w:p>
      <w:pPr>
        <w:pStyle w:val="ListBullet"/>
        <w:spacing w:after="80" w:line="276" w:lineRule="auto"/>
      </w:pPr>
      <w:r>
        <w:rPr>
          <w:rFonts w:ascii="Arial" w:hAnsi="Arial"/>
          <w:b/>
          <w:sz w:val="21"/>
        </w:rPr>
        <w:t xml:space="preserve">php/setup.php: </w:t>
      </w:r>
      <w:r>
        <w:rPr>
          <w:rFonts w:ascii="Arial" w:hAnsi="Arial"/>
          <w:sz w:val="21"/>
        </w:rPr>
        <w:t>A one-click setup script. Runs tables migrations, seeds mock data, and sets up default user accounts.</w:t>
      </w:r>
    </w:p>
    <w:p>
      <w:r>
        <w:br w:type="page"/>
      </w:r>
    </w:p>
    <w:p>
      <w:pPr>
        <w:pStyle w:val="Heading1"/>
        <w:keepNext/>
        <w:spacing w:before="240" w:after="120"/>
      </w:pPr>
      <w:r>
        <w:rPr>
          <w:rFonts w:ascii="Arial" w:hAnsi="Arial"/>
          <w:b/>
          <w:color w:val="166534"/>
          <w:sz w:val="40"/>
        </w:rPr>
        <w:t>Chapter 7: Deployment &amp; Verification Guide</w:t>
      </w:r>
    </w:p>
    <w:p>
      <w:pPr>
        <w:pStyle w:val="Heading2"/>
        <w:keepNext/>
        <w:spacing w:before="240" w:after="120"/>
      </w:pPr>
      <w:r>
        <w:rPr>
          <w:rFonts w:ascii="Arial" w:hAnsi="Arial"/>
          <w:b/>
          <w:color w:val="166534"/>
          <w:sz w:val="30"/>
        </w:rPr>
        <w:t>7.1 Local Deployment Steps</w:t>
      </w:r>
    </w:p>
    <w:p>
      <w:pPr>
        <w:pStyle w:val="ListBullet"/>
        <w:spacing w:after="80" w:line="276" w:lineRule="auto"/>
      </w:pPr>
      <w:r>
        <w:rPr>
          <w:rFonts w:ascii="Arial" w:hAnsi="Arial"/>
          <w:b/>
          <w:sz w:val="21"/>
        </w:rPr>
        <w:t xml:space="preserve">1. Install XAMPP: </w:t>
      </w:r>
      <w:r>
        <w:rPr>
          <w:rFonts w:ascii="Arial" w:hAnsi="Arial"/>
          <w:sz w:val="21"/>
        </w:rPr>
        <w:t>Download and install XAMPP for Windows. Make sure Apache and MySQL modules are started.</w:t>
      </w:r>
    </w:p>
    <w:p>
      <w:pPr>
        <w:pStyle w:val="ListBullet"/>
        <w:spacing w:after="80" w:line="276" w:lineRule="auto"/>
      </w:pPr>
      <w:r>
        <w:rPr>
          <w:rFonts w:ascii="Arial" w:hAnsi="Arial"/>
          <w:b/>
          <w:sz w:val="21"/>
        </w:rPr>
        <w:t xml:space="preserve">2. Clone Project Files: </w:t>
      </w:r>
      <w:r>
        <w:rPr>
          <w:rFonts w:ascii="Arial" w:hAnsi="Arial"/>
          <w:sz w:val="21"/>
        </w:rPr>
        <w:t>Copy the project files into the Apache document root folder: `C:\xampp\htdocs\AgriConnect\`.</w:t>
      </w:r>
    </w:p>
    <w:p>
      <w:pPr>
        <w:pStyle w:val="ListBullet"/>
        <w:spacing w:after="80" w:line="276" w:lineRule="auto"/>
      </w:pPr>
      <w:r>
        <w:rPr>
          <w:rFonts w:ascii="Arial" w:hAnsi="Arial"/>
          <w:b/>
          <w:sz w:val="21"/>
        </w:rPr>
        <w:t xml:space="preserve">3. Setup the Database: </w:t>
      </w:r>
      <w:r>
        <w:rPr>
          <w:rFonts w:ascii="Arial" w:hAnsi="Arial"/>
          <w:sz w:val="21"/>
        </w:rPr>
        <w:t>Open your web browser and navigate to the database setup script: `http://localhost/AgriConnect/php/setup.php`. This drops any existing database, builds the required tables, and seeds mock data.</w:t>
      </w:r>
    </w:p>
    <w:p>
      <w:pPr>
        <w:pStyle w:val="ListBullet"/>
        <w:spacing w:after="80" w:line="276" w:lineRule="auto"/>
      </w:pPr>
      <w:r>
        <w:rPr>
          <w:rFonts w:ascii="Arial" w:hAnsi="Arial"/>
          <w:b/>
          <w:sz w:val="21"/>
        </w:rPr>
        <w:t xml:space="preserve">4. Launch the App: </w:t>
      </w:r>
      <w:r>
        <w:rPr>
          <w:rFonts w:ascii="Arial" w:hAnsi="Arial"/>
          <w:sz w:val="21"/>
        </w:rPr>
        <w:t>Click the launch link or navigate to `http://localhost/AgriConnect/index.html` to open the application.</w:t>
      </w:r>
    </w:p>
    <w:p>
      <w:pPr>
        <w:pStyle w:val="Heading2"/>
        <w:keepNext/>
        <w:spacing w:before="240" w:after="120"/>
      </w:pPr>
      <w:r>
        <w:rPr>
          <w:rFonts w:ascii="Arial" w:hAnsi="Arial"/>
          <w:b/>
          <w:color w:val="166534"/>
          <w:sz w:val="30"/>
        </w:rPr>
        <w:t>7.2 Default Login Credentials for Testing</w:t>
      </w:r>
    </w:p>
    <w:p>
      <w:pPr>
        <w:spacing w:after="120" w:line="276" w:lineRule="auto"/>
      </w:pPr>
      <w:r>
        <w:rPr>
          <w:rFonts w:ascii="Arial" w:hAnsi="Arial"/>
          <w:b w:val="0"/>
          <w:i w:val="0"/>
          <w:sz w:val="21"/>
        </w:rPr>
        <w:t>The database setup script pre-loads the following mock accounts for testing:</w:t>
      </w:r>
    </w:p>
    <w:tbl>
      <w:tblPr>
        <w:tblW w:type="auto" w:w="0"/>
        <w:jc w:val="center"/>
        <w:tblLook w:firstColumn="1" w:firstRow="1" w:lastColumn="0" w:lastRow="0" w:noHBand="0" w:noVBand="1" w:val="04A0"/>
      </w:tblPr>
      <w:tblGrid>
        <w:gridCol w:w="2340"/>
        <w:gridCol w:w="2340"/>
        <w:gridCol w:w="2340"/>
        <w:gridCol w:w="2340"/>
      </w:tblGrid>
      <w:tr>
        <w:tc>
          <w:tcPr>
            <w:tcW w:type="dxa" w:w="2340"/>
            <w:shd w:fill="166534"/>
            <w:tcMar>
              <w:top w:w="80" w:type="dxa"/>
              <w:bottom w:w="80" w:type="dxa"/>
              <w:left w:w="100" w:type="dxa"/>
              <w:right w:w="100" w:type="dxa"/>
            </w:tcMar>
          </w:tcPr>
          <w:p>
            <w:r>
              <w:rPr>
                <w:rFonts w:ascii="Arial" w:hAnsi="Arial"/>
                <w:b/>
                <w:color w:val="FFFFFF"/>
              </w:rPr>
              <w:t>Role</w:t>
            </w:r>
          </w:p>
        </w:tc>
        <w:tc>
          <w:tcPr>
            <w:tcW w:type="dxa" w:w="2340"/>
            <w:shd w:fill="166534"/>
            <w:tcMar>
              <w:top w:w="80" w:type="dxa"/>
              <w:bottom w:w="80" w:type="dxa"/>
              <w:left w:w="100" w:type="dxa"/>
              <w:right w:w="100" w:type="dxa"/>
            </w:tcMar>
          </w:tcPr>
          <w:p>
            <w:r>
              <w:rPr>
                <w:rFonts w:ascii="Arial" w:hAnsi="Arial"/>
                <w:b/>
                <w:color w:val="FFFFFF"/>
              </w:rPr>
              <w:t>Email</w:t>
            </w:r>
          </w:p>
        </w:tc>
        <w:tc>
          <w:tcPr>
            <w:tcW w:type="dxa" w:w="2340"/>
            <w:shd w:fill="166534"/>
            <w:tcMar>
              <w:top w:w="80" w:type="dxa"/>
              <w:bottom w:w="80" w:type="dxa"/>
              <w:left w:w="100" w:type="dxa"/>
              <w:right w:w="100" w:type="dxa"/>
            </w:tcMar>
          </w:tcPr>
          <w:p>
            <w:r>
              <w:rPr>
                <w:rFonts w:ascii="Arial" w:hAnsi="Arial"/>
                <w:b/>
                <w:color w:val="FFFFFF"/>
              </w:rPr>
              <w:t>Password</w:t>
            </w:r>
          </w:p>
        </w:tc>
        <w:tc>
          <w:tcPr>
            <w:tcW w:type="dxa" w:w="2340"/>
            <w:shd w:fill="166534"/>
            <w:tcMar>
              <w:top w:w="80" w:type="dxa"/>
              <w:bottom w:w="80" w:type="dxa"/>
              <w:left w:w="100" w:type="dxa"/>
              <w:right w:w="100" w:type="dxa"/>
            </w:tcMar>
          </w:tcPr>
          <w:p>
            <w:r>
              <w:rPr>
                <w:rFonts w:ascii="Arial" w:hAnsi="Arial"/>
                <w:b/>
                <w:color w:val="FFFFFF"/>
              </w:rPr>
              <w:t>Assigned Location</w:t>
            </w:r>
          </w:p>
        </w:tc>
      </w:tr>
      <w:tr>
        <w:tc>
          <w:tcPr>
            <w:tcW w:type="dxa" w:w="2340"/>
            <w:shd w:fill="FFFBEB"/>
            <w:tcMar>
              <w:top w:w="60" w:type="dxa"/>
              <w:bottom w:w="60" w:type="dxa"/>
              <w:left w:w="80" w:type="dxa"/>
              <w:right w:w="80" w:type="dxa"/>
            </w:tcMar>
          </w:tcPr>
          <w:p>
            <w:r>
              <w:rPr>
                <w:rFonts w:ascii="Arial" w:hAnsi="Arial"/>
                <w:sz w:val="19"/>
              </w:rPr>
              <w:t>Farmer</w:t>
            </w:r>
          </w:p>
        </w:tc>
        <w:tc>
          <w:tcPr>
            <w:tcW w:type="dxa" w:w="2340"/>
            <w:shd w:fill="FFFBEB"/>
            <w:tcMar>
              <w:top w:w="60" w:type="dxa"/>
              <w:bottom w:w="60" w:type="dxa"/>
              <w:left w:w="80" w:type="dxa"/>
              <w:right w:w="80" w:type="dxa"/>
            </w:tcMar>
          </w:tcPr>
          <w:p>
            <w:r>
              <w:rPr>
                <w:rFonts w:ascii="Arial" w:hAnsi="Arial"/>
                <w:sz w:val="19"/>
              </w:rPr>
              <w:t>azan@farmer.pk</w:t>
            </w:r>
          </w:p>
        </w:tc>
        <w:tc>
          <w:tcPr>
            <w:tcW w:type="dxa" w:w="2340"/>
            <w:shd w:fill="FFFBEB"/>
            <w:tcMar>
              <w:top w:w="60" w:type="dxa"/>
              <w:bottom w:w="60" w:type="dxa"/>
              <w:left w:w="80" w:type="dxa"/>
              <w:right w:w="80" w:type="dxa"/>
            </w:tcMar>
          </w:tcPr>
          <w:p>
            <w:r>
              <w:rPr>
                <w:rFonts w:ascii="Arial" w:hAnsi="Arial"/>
                <w:sz w:val="19"/>
              </w:rPr>
              <w:t>123456</w:t>
            </w:r>
          </w:p>
        </w:tc>
        <w:tc>
          <w:tcPr>
            <w:tcW w:type="dxa" w:w="2340"/>
            <w:shd w:fill="FFFBEB"/>
            <w:tcMar>
              <w:top w:w="60" w:type="dxa"/>
              <w:bottom w:w="60" w:type="dxa"/>
              <w:left w:w="80" w:type="dxa"/>
              <w:right w:w="80" w:type="dxa"/>
            </w:tcMar>
          </w:tcPr>
          <w:p>
            <w:r>
              <w:rPr>
                <w:rFonts w:ascii="Arial" w:hAnsi="Arial"/>
                <w:sz w:val="19"/>
              </w:rPr>
              <w:t>Mianwali</w:t>
            </w:r>
          </w:p>
        </w:tc>
      </w:tr>
      <w:tr>
        <w:tc>
          <w:tcPr>
            <w:tcW w:type="dxa" w:w="2340"/>
            <w:shd w:fill="FFFBEB"/>
            <w:tcMar>
              <w:top w:w="60" w:type="dxa"/>
              <w:bottom w:w="60" w:type="dxa"/>
              <w:left w:w="80" w:type="dxa"/>
              <w:right w:w="80" w:type="dxa"/>
            </w:tcMar>
          </w:tcPr>
          <w:p>
            <w:r>
              <w:rPr>
                <w:rFonts w:ascii="Arial" w:hAnsi="Arial"/>
                <w:sz w:val="19"/>
              </w:rPr>
              <w:t>Buyer</w:t>
            </w:r>
          </w:p>
        </w:tc>
        <w:tc>
          <w:tcPr>
            <w:tcW w:type="dxa" w:w="2340"/>
            <w:shd w:fill="FFFBEB"/>
            <w:tcMar>
              <w:top w:w="60" w:type="dxa"/>
              <w:bottom w:w="60" w:type="dxa"/>
              <w:left w:w="80" w:type="dxa"/>
              <w:right w:w="80" w:type="dxa"/>
            </w:tcMar>
          </w:tcPr>
          <w:p>
            <w:r>
              <w:rPr>
                <w:rFonts w:ascii="Arial" w:hAnsi="Arial"/>
                <w:sz w:val="19"/>
              </w:rPr>
              <w:t>usman@buyer.pk</w:t>
            </w:r>
          </w:p>
        </w:tc>
        <w:tc>
          <w:tcPr>
            <w:tcW w:type="dxa" w:w="2340"/>
            <w:shd w:fill="FFFBEB"/>
            <w:tcMar>
              <w:top w:w="60" w:type="dxa"/>
              <w:bottom w:w="60" w:type="dxa"/>
              <w:left w:w="80" w:type="dxa"/>
              <w:right w:w="80" w:type="dxa"/>
            </w:tcMar>
          </w:tcPr>
          <w:p>
            <w:r>
              <w:rPr>
                <w:rFonts w:ascii="Arial" w:hAnsi="Arial"/>
                <w:sz w:val="19"/>
              </w:rPr>
              <w:t>123456</w:t>
            </w:r>
          </w:p>
        </w:tc>
        <w:tc>
          <w:tcPr>
            <w:tcW w:type="dxa" w:w="2340"/>
            <w:shd w:fill="FFFBEB"/>
            <w:tcMar>
              <w:top w:w="60" w:type="dxa"/>
              <w:bottom w:w="60" w:type="dxa"/>
              <w:left w:w="80" w:type="dxa"/>
              <w:right w:w="80" w:type="dxa"/>
            </w:tcMar>
          </w:tcPr>
          <w:p>
            <w:r>
              <w:rPr>
                <w:rFonts w:ascii="Arial" w:hAnsi="Arial"/>
                <w:sz w:val="19"/>
              </w:rPr>
              <w:t>Islamabad</w:t>
            </w:r>
          </w:p>
        </w:tc>
      </w:tr>
      <w:tr>
        <w:tc>
          <w:tcPr>
            <w:tcW w:type="dxa" w:w="2340"/>
            <w:shd w:fill="FFFBEB"/>
            <w:tcMar>
              <w:top w:w="60" w:type="dxa"/>
              <w:bottom w:w="60" w:type="dxa"/>
              <w:left w:w="80" w:type="dxa"/>
              <w:right w:w="80" w:type="dxa"/>
            </w:tcMar>
          </w:tcPr>
          <w:p>
            <w:r>
              <w:rPr>
                <w:rFonts w:ascii="Arial" w:hAnsi="Arial"/>
                <w:sz w:val="19"/>
              </w:rPr>
              <w:t>Administrator</w:t>
            </w:r>
          </w:p>
        </w:tc>
        <w:tc>
          <w:tcPr>
            <w:tcW w:type="dxa" w:w="2340"/>
            <w:shd w:fill="FFFBEB"/>
            <w:tcMar>
              <w:top w:w="60" w:type="dxa"/>
              <w:bottom w:w="60" w:type="dxa"/>
              <w:left w:w="80" w:type="dxa"/>
              <w:right w:w="80" w:type="dxa"/>
            </w:tcMar>
          </w:tcPr>
          <w:p>
            <w:r>
              <w:rPr>
                <w:rFonts w:ascii="Arial" w:hAnsi="Arial"/>
                <w:sz w:val="19"/>
              </w:rPr>
              <w:t>admin@agri.pk</w:t>
            </w:r>
          </w:p>
        </w:tc>
        <w:tc>
          <w:tcPr>
            <w:tcW w:type="dxa" w:w="2340"/>
            <w:shd w:fill="FFFBEB"/>
            <w:tcMar>
              <w:top w:w="60" w:type="dxa"/>
              <w:bottom w:w="60" w:type="dxa"/>
              <w:left w:w="80" w:type="dxa"/>
              <w:right w:w="80" w:type="dxa"/>
            </w:tcMar>
          </w:tcPr>
          <w:p>
            <w:r>
              <w:rPr>
                <w:rFonts w:ascii="Arial" w:hAnsi="Arial"/>
                <w:sz w:val="19"/>
              </w:rPr>
              <w:t>admin123</w:t>
            </w:r>
          </w:p>
        </w:tc>
        <w:tc>
          <w:tcPr>
            <w:tcW w:type="dxa" w:w="2340"/>
            <w:shd w:fill="FFFBEB"/>
            <w:tcMar>
              <w:top w:w="60" w:type="dxa"/>
              <w:bottom w:w="60" w:type="dxa"/>
              <w:left w:w="80" w:type="dxa"/>
              <w:right w:w="80" w:type="dxa"/>
            </w:tcMar>
          </w:tcPr>
          <w:p>
            <w:r>
              <w:rPr>
                <w:rFonts w:ascii="Arial" w:hAnsi="Arial"/>
                <w:sz w:val="19"/>
              </w:rPr>
              <w:t>Mianwali</w:t>
            </w:r>
          </w:p>
        </w:tc>
      </w:tr>
      <w:tr>
        <w:tc>
          <w:tcPr>
            <w:tcW w:type="dxa" w:w="2340"/>
            <w:shd w:fill="FFFBEB"/>
            <w:tcMar>
              <w:top w:w="60" w:type="dxa"/>
              <w:bottom w:w="60" w:type="dxa"/>
              <w:left w:w="80" w:type="dxa"/>
              <w:right w:w="80" w:type="dxa"/>
            </w:tcMar>
          </w:tcPr>
          <w:p>
            <w:r>
              <w:rPr>
                <w:rFonts w:ascii="Arial" w:hAnsi="Arial"/>
                <w:sz w:val="19"/>
              </w:rPr>
              <w:t>Farmer 2</w:t>
            </w:r>
          </w:p>
        </w:tc>
        <w:tc>
          <w:tcPr>
            <w:tcW w:type="dxa" w:w="2340"/>
            <w:shd w:fill="FFFBEB"/>
            <w:tcMar>
              <w:top w:w="60" w:type="dxa"/>
              <w:bottom w:w="60" w:type="dxa"/>
              <w:left w:w="80" w:type="dxa"/>
              <w:right w:w="80" w:type="dxa"/>
            </w:tcMar>
          </w:tcPr>
          <w:p>
            <w:r>
              <w:rPr>
                <w:rFonts w:ascii="Arial" w:hAnsi="Arial"/>
                <w:sz w:val="19"/>
              </w:rPr>
              <w:t>kashmala@farmer.pk</w:t>
            </w:r>
          </w:p>
        </w:tc>
        <w:tc>
          <w:tcPr>
            <w:tcW w:type="dxa" w:w="2340"/>
            <w:shd w:fill="FFFBEB"/>
            <w:tcMar>
              <w:top w:w="60" w:type="dxa"/>
              <w:bottom w:w="60" w:type="dxa"/>
              <w:left w:w="80" w:type="dxa"/>
              <w:right w:w="80" w:type="dxa"/>
            </w:tcMar>
          </w:tcPr>
          <w:p>
            <w:r>
              <w:rPr>
                <w:rFonts w:ascii="Arial" w:hAnsi="Arial"/>
                <w:sz w:val="19"/>
              </w:rPr>
              <w:t>123456</w:t>
            </w:r>
          </w:p>
        </w:tc>
        <w:tc>
          <w:tcPr>
            <w:tcW w:type="dxa" w:w="2340"/>
            <w:shd w:fill="FFFBEB"/>
            <w:tcMar>
              <w:top w:w="60" w:type="dxa"/>
              <w:bottom w:w="60" w:type="dxa"/>
              <w:left w:w="80" w:type="dxa"/>
              <w:right w:w="80" w:type="dxa"/>
            </w:tcMar>
          </w:tcPr>
          <w:p>
            <w:r>
              <w:rPr>
                <w:rFonts w:ascii="Arial" w:hAnsi="Arial"/>
                <w:sz w:val="19"/>
              </w:rPr>
              <w:t>Isa Khel</w:t>
            </w:r>
          </w:p>
        </w:tc>
      </w:tr>
    </w:tbl>
    <w:p>
      <w:pPr>
        <w:spacing w:before="240"/>
      </w:pPr>
    </w:p>
    <w:p>
      <w:pPr>
        <w:pStyle w:val="Heading2"/>
        <w:keepNext/>
        <w:spacing w:before="240" w:after="120"/>
      </w:pPr>
      <w:r>
        <w:rPr>
          <w:rFonts w:ascii="Arial" w:hAnsi="Arial"/>
          <w:b/>
          <w:color w:val="166534"/>
          <w:sz w:val="30"/>
        </w:rPr>
        <w:t>7.3 Automated Integration API Verification Checkpoints</w:t>
      </w:r>
    </w:p>
    <w:p>
      <w:pPr>
        <w:spacing w:after="120" w:line="276" w:lineRule="auto"/>
      </w:pPr>
      <w:r>
        <w:rPr>
          <w:rFonts w:ascii="Arial" w:hAnsi="Arial"/>
          <w:b w:val="0"/>
          <w:i w:val="0"/>
          <w:sz w:val="21"/>
        </w:rPr>
        <w:t>You can run the following curl commands to verify that the backend API is working correctly:</w:t>
      </w:r>
    </w:p>
    <w:p>
      <w:pPr>
        <w:spacing w:after="240"/>
        <w:ind w:left="360"/>
      </w:pPr>
    </w:p>
    <w:tbl>
      <w:tblPr>
        <w:tblW w:type="auto" w:w="0"/>
        <w:tblLook w:firstColumn="1" w:firstRow="1" w:lastColumn="0" w:lastRow="0" w:noHBand="0" w:noVBand="1" w:val="04A0"/>
      </w:tblPr>
      <w:tblGrid>
        <w:gridCol w:w="9360"/>
      </w:tblGrid>
      <w:tr>
        <w:tc>
          <w:tcPr>
            <w:tcW w:type="dxa" w:w="9360"/>
            <w:shd w:fill="F3F4F6"/>
            <w:tcMar>
              <w:top w:w="100" w:type="dxa"/>
              <w:bottom w:w="100" w:type="dxa"/>
              <w:left w:w="150" w:type="dxa"/>
              <w:right w:w="150" w:type="dxa"/>
            </w:tcMar>
            <w:tcBorders>
              <w:top w:val="single" w:sz="4" w:color="E5E7EB"/>
              <w:bottom w:val="single" w:sz="4" w:color="E5E7EB"/>
              <w:left w:val="single" w:sz="4" w:color="E5E7EB"/>
              <w:right w:val="single" w:sz="4" w:color="E5E7EB"/>
            </w:tcBorders>
          </w:tcPr>
          <w:p>
            <w:pPr>
              <w:spacing w:line="276" w:lineRule="auto"/>
            </w:pPr>
            <w:r>
              <w:rPr>
                <w:rFonts w:ascii="Consolas" w:hAnsi="Consolas"/>
                <w:color w:val="1F2937"/>
                <w:sz w:val="19"/>
              </w:rPr>
              <w:t># Check backend status and retrieve initial datasets</w:t>
              <w:br/>
              <w:t>curl -X GET "http://localhost/AgriConnect/php/api.php?action=getData"</w:t>
              <w:br/>
              <w:br/>
              <w:t># Verify customer authorization and login endpoint</w:t>
              <w:br/>
              <w:t>curl -X POST "http://localhost/AgriConnect/php/api.php?action=login" \</w:t>
              <w:br/>
              <w:t xml:space="preserve">  -H "Content-Type: application/json" \</w:t>
              <w:br/>
              <w:t xml:space="preserve">  -d "{\"email\": \"azan@farmer.pk\", \"password\": \"123456\"}"</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