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Hiring rubric — full stack</w:t>
      </w:r>
    </w:p>
    <w:p>
      <w:r>
        <w:rPr>
          <w:i/>
        </w:rPr>
        <w:t xml:space="preserve">How we evaluate candidates for the AI-native full stack role.</w:t>
      </w:r>
    </w:p>
    <w:p>
      <w:pPr>
        <w:pStyle w:val="Heading2"/>
      </w:pPr>
      <w:r>
        <w:t xml:space="preserve">What we look for</w:t>
      </w:r>
    </w:p>
    <w:p>
      <w:r>
        <w:t xml:space="preserve">We value </w:t>
      </w:r>
      <w:r>
        <w:rPr>
          <w:b/>
        </w:rPr>
        <w:t xml:space="preserve">product judgment</w:t>
      </w:r>
      <w:r>
        <w:t xml:space="preserve">, </w:t>
      </w:r>
      <w:r>
        <w:rPr>
          <w:i/>
        </w:rPr>
        <w:t xml:space="preserve">clear writing</w:t>
      </w:r>
      <w:r>
        <w:t xml:space="preserve"> and </w:t>
      </w:r>
      <w:r>
        <w:rPr>
          <w:u w:val="single"/>
        </w:rPr>
        <w:t xml:space="preserve">delivery discipline</w:t>
      </w:r>
      <w:r>
        <w:t xml:space="preserve"> over feature count.</w:t>
      </w:r>
    </w:p>
    <w:p>
      <w:pPr>
        <w:pStyle w:val="ListParagraph"/>
        <w:numPr>
          <w:ilvl w:val="0"/>
          <w:numId w:val="1"/>
        </w:numPr>
      </w:pPr>
      <w:r>
        <w:t xml:space="preserve">Turns an ambiguous brief into a coherent slice</w:t>
      </w:r>
    </w:p>
    <w:p>
      <w:pPr>
        <w:pStyle w:val="ListParagraph"/>
        <w:numPr>
          <w:ilvl w:val="0"/>
          <w:numId w:val="1"/>
        </w:numPr>
      </w:pPr>
      <w:r>
        <w:t xml:space="preserve">Ships a working, testable build</w:t>
      </w:r>
    </w:p>
    <w:p>
      <w:pPr>
        <w:pStyle w:val="ListParagraph"/>
        <w:numPr>
          <w:ilvl w:val="0"/>
          <w:numId w:val="1"/>
        </w:numPr>
      </w:pPr>
      <w:r>
        <w:t xml:space="preserve">Explains tradeoffs and scope cuts</w:t>
      </w:r>
    </w:p>
    <w:p>
      <w:pPr>
        <w:pStyle w:val="Heading2"/>
      </w:pPr>
      <w:r>
        <w:t xml:space="preserve">Interview loop</w:t>
      </w:r>
    </w:p>
    <w:p>
      <w:pPr>
        <w:pStyle w:val="ListParagraph"/>
        <w:numPr>
          <w:ilvl w:val="0"/>
          <w:numId w:val="2"/>
        </w:numPr>
      </w:pPr>
      <w:r>
        <w:t xml:space="preserve">Take-home assignment (4–6 hours)</w:t>
      </w:r>
    </w:p>
    <w:p>
      <w:pPr>
        <w:pStyle w:val="ListParagraph"/>
        <w:numPr>
          <w:ilvl w:val="0"/>
          <w:numId w:val="2"/>
        </w:numPr>
      </w:pPr>
      <w:r>
        <w:t xml:space="preserve">Walkthrough and code review</w:t>
      </w:r>
    </w:p>
    <w:p>
      <w:pPr>
        <w:pStyle w:val="ListParagraph"/>
        <w:numPr>
          <w:ilvl w:val="0"/>
          <w:numId w:val="2"/>
        </w:numPr>
      </w:pPr>
      <w:r>
        <w:t xml:space="preserve">Team conversation</w:t>
      </w:r>
    </w:p>
    <w:p>
      <w:pPr>
        <w:pStyle w:val="Heading3"/>
      </w:pPr>
      <w:r>
        <w:t xml:space="preserve">Scoring</w:t>
      </w:r>
    </w:p>
    <w:p>
      <w:r>
        <w:t xml:space="preserve">Each signal is scored </w:t>
      </w:r>
      <w:r>
        <w:rPr>
          <w:b/>
        </w:rPr>
        <w:t xml:space="preserve">1–4</w:t>
      </w:r>
      <w:r>
        <w:t xml:space="preserve">; a 3 means </w:t>
      </w:r>
      <w:r>
        <w:rPr>
          <w:u w:val="single"/>
        </w:rPr>
        <w:t xml:space="preserve">meets the bar</w:t>
      </w:r>
      <w:r>
        <w:t xml:space="preserve">.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