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Hiring rubric v3</w:t>
      </w:r>
    </w:p>
    <w:p>
      <w:pPr>
        <w:pStyle w:val="Heading2"/>
      </w:pPr>
      <w:r>
        <w:t xml:space="preserve">Signals</w:t>
      </w:r>
    </w:p>
    <w:p>
      <w:r>
        <w:t xml:space="preserve">We value </w:t>
      </w:r>
      <w:r>
        <w:rPr>
          <w:b/>
        </w:rPr>
        <w:t xml:space="preserve">product judgment</w:t>
      </w:r>
      <w:r>
        <w:t xml:space="preserve">, </w:t>
      </w:r>
      <w:r>
        <w:rPr>
          <w:i/>
        </w:rPr>
        <w:t xml:space="preserve">clear writing</w:t>
      </w:r>
      <w:r>
        <w:t xml:space="preserve"> and </w:t>
      </w:r>
      <w:r>
        <w:rPr>
          <w:u w:val="single"/>
        </w:rPr>
        <w:t xml:space="preserve">follow-through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Bullet one</w:t>
      </w:r>
    </w:p>
    <w:p>
      <w:pPr>
        <w:pStyle w:val="ListParagraph"/>
        <w:numPr>
          <w:ilvl w:val="0"/>
          <w:numId w:val="1"/>
        </w:numPr>
      </w:pPr>
      <w:r>
        <w:t xml:space="preserve">Bullet two</w:t>
      </w:r>
    </w:p>
    <w:p>
      <w:pPr>
        <w:pStyle w:val="ListParagraph"/>
        <w:numPr>
          <w:ilvl w:val="0"/>
          <w:numId w:val="2"/>
        </w:numPr>
      </w:pPr>
      <w:r>
        <w:t xml:space="preserve">Step one</w:t>
      </w:r>
    </w:p>
    <w:p>
      <w:pPr>
        <w:pStyle w:val="ListParagraph"/>
        <w:numPr>
          <w:ilvl w:val="0"/>
          <w:numId w:val="2"/>
        </w:numPr>
      </w:pPr>
      <w:r>
        <w:t xml:space="preserve">Step two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</w:lvl>
  </w:abstractNum>
  <w:abstractNum w:abstractNumId="1">
    <w:lvl w:ilvl="0">
      <w:start w:val="1"/>
      <w:numFmt w:val="decimal"/>
      <w:lvlText w:val="%1.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