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0"/>
        </w:rPr>
        <w:t>PRIVACY-AWARE DRIFT DETECTION</w:t>
        <w:br/>
        <w:t>AND AGENTIC RECOVERY</w:t>
      </w:r>
    </w:p>
    <w:p>
      <w:pPr>
        <w:jc w:val="center"/>
      </w:pPr>
      <w:r>
        <w:rPr>
          <w:color w:val="52677F"/>
          <w:sz w:val="26"/>
        </w:rPr>
        <w:t>Research questions, literature gaps, methodology, evaluation plan, and references</w:t>
      </w:r>
    </w:p>
    <w:p/>
    <w:p>
      <w:pPr>
        <w:jc w:val="center"/>
      </w:pPr>
      <w:r>
        <w:rPr>
          <w:b/>
        </w:rPr>
        <w:t>Working project title</w:t>
      </w:r>
    </w:p>
    <w:p>
      <w:pPr>
        <w:jc w:val="center"/>
      </w:pPr>
      <w:r>
        <w:t>Privacy-Aware Drift Detection and Recovery in Federated Clinical Learning: A Controlled Comparison of Rule-Based and Strands-Agent Policies</w:t>
      </w:r>
    </w:p>
    <w:p/>
    <w:p>
      <w:pPr>
        <w:jc w:val="center"/>
      </w:pPr>
      <w:r>
        <w:t>Prepared: 12 October 2026</w:t>
        <w:br/>
        <w:t>Status: Research plan — novelty remains provisional</w:t>
      </w:r>
    </w:p>
    <w:p>
      <w:r>
        <w:br w:type="page"/>
      </w:r>
    </w:p>
    <w:p>
      <w:pPr>
        <w:pStyle w:val="Heading1"/>
        <w:keepNext/>
      </w:pPr>
      <w:r>
        <w:t>Executive summary</w:t>
      </w:r>
    </w:p>
    <w:p>
      <w:r>
        <w:t>This document consolidates the current research direction, research questions, candidate gaps, closest-paper comparisons, proposed experimental protocol, privacy requirements, and implementation roadmap. The project studies federated clinical prediction under controlled distribution drift, examines how differential privacy (DP) changes detection and predictive performance, and tests whether a policy-constrained Strands agent makes better recovery decisions than a deterministic rule-based controller when both receive the same evidence and face the same action and privacy constraints.</w:t>
      </w:r>
    </w:p>
    <w:p>
      <w:r>
        <w:t>The recommended starting point is a structured-data experiment using MIMIC-IV and simulated clients orchestrated with Flower. Begin with a non-private baseline, controlled drift, and simple recovery policies; then add a formally specified DP mechanism and privacy accountant. Only after the first experiment is reproducible should the project expand to MIMIC-CXR or clinical text.</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17365D"/>
          </w:tcPr>
          <w:p>
            <w:pPr>
              <w:spacing w:after="20" w:before="20"/>
            </w:pPr>
            <w:r/>
            <w:r>
              <w:rPr>
                <w:rFonts w:ascii="Aptos" w:hAnsi="Aptos"/>
                <w:b/>
                <w:color w:val="FFFFFF"/>
                <w:sz w:val="16"/>
              </w:rPr>
              <w:t>Decision item</w:t>
            </w:r>
          </w:p>
        </w:tc>
        <w:tc>
          <w:tcPr>
            <w:tcW w:type="dxa" w:w="8208"/>
            <w:vAlign w:val="center"/>
            <w:shd w:fill="17365D"/>
          </w:tcPr>
          <w:p>
            <w:pPr>
              <w:spacing w:after="20" w:before="20"/>
            </w:pPr>
            <w:r/>
            <w:r>
              <w:rPr>
                <w:rFonts w:ascii="Aptos" w:hAnsi="Aptos"/>
                <w:b/>
                <w:color w:val="FFFFFF"/>
                <w:sz w:val="16"/>
              </w:rPr>
              <w:t>Current position</w:t>
            </w:r>
          </w:p>
        </w:tc>
      </w:tr>
      <w:tr>
        <w:tc>
          <w:tcPr>
            <w:tcW w:type="dxa" w:w="2088"/>
            <w:vAlign w:val="center"/>
          </w:tcPr>
          <w:p>
            <w:pPr>
              <w:spacing w:after="20" w:before="20"/>
            </w:pPr>
            <w:r/>
            <w:r>
              <w:rPr>
                <w:rFonts w:ascii="Aptos" w:hAnsi="Aptos"/>
                <w:b w:val="0"/>
                <w:sz w:val="16"/>
              </w:rPr>
              <w:t>Primary RQ</w:t>
            </w:r>
          </w:p>
        </w:tc>
        <w:tc>
          <w:tcPr>
            <w:tcW w:type="dxa" w:w="8208"/>
            <w:vAlign w:val="center"/>
          </w:tcPr>
          <w:p>
            <w:pPr>
              <w:spacing w:after="20" w:before="20"/>
            </w:pPr>
            <w:r/>
            <w:r>
              <w:rPr>
                <w:rFonts w:ascii="Aptos" w:hAnsi="Aptos"/>
                <w:b w:val="0"/>
                <w:sz w:val="16"/>
              </w:rPr>
              <w:t>Measure how formal DP affects drift-detection reliability and clinical predictive performance across controlled drift scenarios.</w:t>
            </w:r>
          </w:p>
        </w:tc>
      </w:tr>
      <w:tr>
        <w:tc>
          <w:tcPr>
            <w:tcW w:type="dxa" w:w="2088"/>
            <w:vAlign w:val="center"/>
            <w:shd w:fill="F2F6FA"/>
          </w:tcPr>
          <w:p>
            <w:pPr>
              <w:spacing w:after="20" w:before="20"/>
            </w:pPr>
            <w:r/>
            <w:r>
              <w:rPr>
                <w:rFonts w:ascii="Aptos" w:hAnsi="Aptos"/>
                <w:b w:val="0"/>
                <w:sz w:val="16"/>
              </w:rPr>
              <w:t>Second RQ</w:t>
            </w:r>
          </w:p>
        </w:tc>
        <w:tc>
          <w:tcPr>
            <w:tcW w:type="dxa" w:w="8208"/>
            <w:vAlign w:val="center"/>
            <w:shd w:fill="F2F6FA"/>
          </w:tcPr>
          <w:p>
            <w:pPr>
              <w:spacing w:after="20" w:before="20"/>
            </w:pPr>
            <w:r/>
            <w:r>
              <w:rPr>
                <w:rFonts w:ascii="Aptos" w:hAnsi="Aptos"/>
                <w:b w:val="0"/>
                <w:sz w:val="16"/>
              </w:rPr>
              <w:t>Test whether a constrained Strands agent improves recovery decisions over deterministic rules under identical evidence, actions, and privacy gates.</w:t>
            </w:r>
          </w:p>
        </w:tc>
      </w:tr>
      <w:tr>
        <w:tc>
          <w:tcPr>
            <w:tcW w:type="dxa" w:w="2088"/>
            <w:vAlign w:val="center"/>
          </w:tcPr>
          <w:p>
            <w:pPr>
              <w:spacing w:after="20" w:before="20"/>
            </w:pPr>
            <w:r/>
            <w:r>
              <w:rPr>
                <w:rFonts w:ascii="Aptos" w:hAnsi="Aptos"/>
                <w:b w:val="0"/>
                <w:sz w:val="16"/>
              </w:rPr>
              <w:t>Primary candidate gap</w:t>
            </w:r>
          </w:p>
        </w:tc>
        <w:tc>
          <w:tcPr>
            <w:tcW w:type="dxa" w:w="8208"/>
            <w:vAlign w:val="center"/>
          </w:tcPr>
          <w:p>
            <w:pPr>
              <w:spacing w:after="20" w:before="20"/>
            </w:pPr>
            <w:r/>
            <w:r>
              <w:rPr>
                <w:rFonts w:ascii="Aptos" w:hAnsi="Aptos"/>
                <w:b w:val="0"/>
                <w:sz w:val="16"/>
              </w:rPr>
              <w:t>The inspected papers do not establish a single reproducible evaluation that jointly measures DP-accounted drift detection, detection/localization quality, clinical utility, and recovery-policy outcomes.</w:t>
            </w:r>
          </w:p>
        </w:tc>
      </w:tr>
      <w:tr>
        <w:tc>
          <w:tcPr>
            <w:tcW w:type="dxa" w:w="2088"/>
            <w:vAlign w:val="center"/>
            <w:shd w:fill="F2F6FA"/>
          </w:tcPr>
          <w:p>
            <w:pPr>
              <w:spacing w:after="20" w:before="20"/>
            </w:pPr>
            <w:r/>
            <w:r>
              <w:rPr>
                <w:rFonts w:ascii="Aptos" w:hAnsi="Aptos"/>
                <w:b w:val="0"/>
                <w:sz w:val="16"/>
              </w:rPr>
              <w:t>Secondary candidate gap</w:t>
            </w:r>
          </w:p>
        </w:tc>
        <w:tc>
          <w:tcPr>
            <w:tcW w:type="dxa" w:w="8208"/>
            <w:vAlign w:val="center"/>
            <w:shd w:fill="F2F6FA"/>
          </w:tcPr>
          <w:p>
            <w:pPr>
              <w:spacing w:after="20" w:before="20"/>
            </w:pPr>
            <w:r/>
            <w:r>
              <w:rPr>
                <w:rFonts w:ascii="Aptos" w:hAnsi="Aptos"/>
                <w:b w:val="0"/>
                <w:sz w:val="16"/>
              </w:rPr>
              <w:t>Whether agentic recovery decisions provide measurable value over deterministic rules after accounting for latency, token/API cost, consistency, and policy violations.</w:t>
            </w:r>
          </w:p>
        </w:tc>
      </w:tr>
      <w:tr>
        <w:tc>
          <w:tcPr>
            <w:tcW w:type="dxa" w:w="2088"/>
            <w:vAlign w:val="center"/>
          </w:tcPr>
          <w:p>
            <w:pPr>
              <w:spacing w:after="20" w:before="20"/>
            </w:pPr>
            <w:r/>
            <w:r>
              <w:rPr>
                <w:rFonts w:ascii="Aptos" w:hAnsi="Aptos"/>
                <w:b w:val="0"/>
                <w:sz w:val="16"/>
              </w:rPr>
              <w:t>Initial scope</w:t>
            </w:r>
          </w:p>
        </w:tc>
        <w:tc>
          <w:tcPr>
            <w:tcW w:type="dxa" w:w="8208"/>
            <w:vAlign w:val="center"/>
          </w:tcPr>
          <w:p>
            <w:pPr>
              <w:spacing w:after="20" w:before="20"/>
            </w:pPr>
            <w:r/>
            <w:r>
              <w:rPr>
                <w:rFonts w:ascii="Aptos" w:hAnsi="Aptos"/>
                <w:b w:val="0"/>
                <w:sz w:val="16"/>
              </w:rPr>
              <w:t>MIMIC-IV structured EHR, one prespecified prediction task, 3–5 simulated clients, controlled drift, Flower/FedAvg.</w:t>
            </w:r>
          </w:p>
        </w:tc>
      </w:tr>
      <w:tr>
        <w:tc>
          <w:tcPr>
            <w:tcW w:type="dxa" w:w="2088"/>
            <w:vAlign w:val="center"/>
            <w:shd w:fill="F2F6FA"/>
          </w:tcPr>
          <w:p>
            <w:pPr>
              <w:spacing w:after="20" w:before="20"/>
            </w:pPr>
            <w:r/>
            <w:r>
              <w:rPr>
                <w:rFonts w:ascii="Aptos" w:hAnsi="Aptos"/>
                <w:b w:val="0"/>
                <w:sz w:val="16"/>
              </w:rPr>
              <w:t>Novelty status</w:t>
            </w:r>
          </w:p>
        </w:tc>
        <w:tc>
          <w:tcPr>
            <w:tcW w:type="dxa" w:w="8208"/>
            <w:vAlign w:val="center"/>
            <w:shd w:fill="F2F6FA"/>
          </w:tcPr>
          <w:p>
            <w:pPr>
              <w:spacing w:after="20" w:before="20"/>
            </w:pPr>
            <w:r/>
            <w:r>
              <w:rPr>
                <w:rFonts w:ascii="Aptos" w:hAnsi="Aptos"/>
                <w:b w:val="0"/>
                <w:sz w:val="16"/>
              </w:rPr>
              <w:t>Provisional. The closest-paper evidence is useful but the complete citation-chain audit and full-text checks are not exhaustive.</w:t>
            </w:r>
          </w:p>
        </w:tc>
      </w:tr>
    </w:tbl>
    <w:p>
      <w:pPr>
        <w:spacing w:after="20"/>
      </w:pPr>
    </w:p>
    <w:p>
      <w:pPr>
        <w:pStyle w:val="Heading2"/>
        <w:keepNext/>
      </w:pPr>
      <w:r>
        <w:t>How to interpret this document</w:t>
      </w:r>
    </w:p>
    <w:p>
      <w:pPr>
        <w:pStyle w:val="ListBullet"/>
        <w:spacing w:after="40"/>
      </w:pPr>
      <w:r>
        <w:t>Established background: supported by cited prior work or official dataset/framework documentation.</w:t>
      </w:r>
    </w:p>
    <w:p>
      <w:pPr>
        <w:pStyle w:val="ListBullet"/>
        <w:spacing w:after="40"/>
      </w:pPr>
      <w:r>
        <w:t>Candidate gap: a question not verified as jointly evaluated in the inspected sources; not proof that no such work exists.</w:t>
      </w:r>
    </w:p>
    <w:p>
      <w:pPr>
        <w:pStyle w:val="ListBullet"/>
        <w:spacing w:after="40"/>
      </w:pPr>
      <w:r>
        <w:t>Proposed method: a plan to test, not a result or an established novelty claim.</w:t>
      </w:r>
    </w:p>
    <w:p>
      <w:pPr>
        <w:pStyle w:val="ListBullet"/>
        <w:spacing w:after="40"/>
      </w:pPr>
      <w:r>
        <w:t>MIMIC client partitions are simulated partitions of one dataset, not independent hospitals.</w:t>
      </w:r>
    </w:p>
    <w:p>
      <w:pPr>
        <w:pStyle w:val="Heading1"/>
        <w:keepNext/>
      </w:pPr>
      <w:r>
        <w:t>1. Background and motivation</w:t>
      </w:r>
    </w:p>
    <w:p>
      <w:r>
        <w:t>Federated learning (FL) trains a shared model by aggregating updates computed locally, without centralizing raw training records. FedAvg is the foundational baseline for this study (McMahan et al., 2017). FL alone does not guarantee privacy: model updates and other client messages can reveal information. Differential privacy can bound the influence of a protected unit, but its guarantees depend on the exact privacy unit, adjacency relation, clipping/noise mechanism, sampling assumptions, and composition accountant (Flower documentation; Dwork et al., 2014).</w:t>
      </w:r>
    </w:p>
    <w:p>
      <w:r>
        <w:t>Distribution drift may occur at different times and in different clients. Existing work has shown that a single global model can be poorly suited to staggered client drift and that clustering/personalized adaptation can help (Jothimurugesan et al., 2023). In healthcare, FedMedICL already evaluates several distribution shifts in federated medical imaging, and Med-MMFL broadens benchmark coverage across medical modalities and tasks. Therefore, neither 'FL + healthcare' nor 'multimodal FL + shift' should be claimed as new by itself.</w:t>
      </w:r>
    </w:p>
    <w:p>
      <w:r>
        <w:t>The project’s key experimental idea is to separate three outputs: (1) drift detection, (2) localization/attribution where ground truth exists, and (3) the quality and cost of the recovery decision. A second comparison asks whether an LLM-based agent adds value beyond a transparent deterministic policy.</w:t>
      </w:r>
    </w:p>
    <w:p>
      <w:pPr>
        <w:pStyle w:val="Heading1"/>
        <w:keepNext/>
      </w:pPr>
      <w:r>
        <w:t>2. Research questions and hypotheses</w:t>
      </w:r>
    </w:p>
    <w:p>
      <w:pPr>
        <w:pStyle w:val="Heading2"/>
        <w:keepNext/>
      </w:pPr>
      <w:r>
        <w:t>RQ1 — Differential privacy and drift detection</w:t>
      </w:r>
    </w:p>
    <w:p>
      <w:r>
        <w:t>How does the strength of a formally specified differential privacy mechanism affect drift-detection reliability and clinical predictive performance across stable, localized, global, abrupt, and gradual drift scenarios in simulated-client federated clinical learning?</w:t>
      </w:r>
    </w:p>
    <w:p>
      <w:r>
        <w:t>Working hypotheses (to test, not assume):</w:t>
      </w:r>
    </w:p>
    <w:p>
      <w:pPr>
        <w:pStyle w:val="ListBullet"/>
        <w:spacing w:after="40"/>
      </w:pPr>
      <w:r>
        <w:t>H1a: Increasing privacy noise may reduce detection reliability or increase detection delay, but the magnitude and direction should be measured rather than presumed.</w:t>
      </w:r>
    </w:p>
    <w:p>
      <w:pPr>
        <w:pStyle w:val="ListBullet"/>
        <w:spacing w:after="40"/>
      </w:pPr>
      <w:r>
        <w:t>H1b: The effect of DP will depend on drift type, severity, detector signal, and client heterogeneity.</w:t>
      </w:r>
    </w:p>
    <w:p>
      <w:pPr>
        <w:pStyle w:val="ListBullet"/>
        <w:spacing w:after="40"/>
      </w:pPr>
      <w:r>
        <w:t>H1c: Detection quality and clinical utility may not move together; report them as distinct outcomes.</w:t>
      </w:r>
    </w:p>
    <w:p>
      <w:pPr>
        <w:pStyle w:val="Heading2"/>
        <w:keepNext/>
      </w:pPr>
      <w:r>
        <w:t>RQ2 — Strands agent versus rule-based recovery</w:t>
      </w:r>
    </w:p>
    <w:p>
      <w:r>
        <w:t>Under identical drift evidence, permitted recovery actions, privacy constraints, and evaluation scenarios, does a policy-constrained Strands agent improve recovery decisions over a deterministic rule-based controller?</w:t>
      </w:r>
    </w:p>
    <w:p>
      <w:r>
        <w:t>Working hypotheses (to test, not assume):</w:t>
      </w:r>
    </w:p>
    <w:p>
      <w:pPr>
        <w:pStyle w:val="ListBullet"/>
        <w:spacing w:after="40"/>
      </w:pPr>
      <w:r>
        <w:t>H2a: The agent may handle compound or ambiguous evidence more effectively than fixed thresholds.</w:t>
      </w:r>
    </w:p>
    <w:p>
      <w:pPr>
        <w:pStyle w:val="ListBullet"/>
        <w:spacing w:after="40"/>
      </w:pPr>
      <w:r>
        <w:t>H2b: Any improvement may be offset by decision latency, model/token cost, variability, or invalid recommendations.</w:t>
      </w:r>
    </w:p>
    <w:p>
      <w:pPr>
        <w:pStyle w:val="ListBullet"/>
        <w:spacing w:after="40"/>
      </w:pPr>
      <w:r>
        <w:t>H2c: A simple rule-based policy may equal or outperform the agent in stable or clearly localized scenarios.</w:t>
      </w:r>
    </w:p>
    <w:p>
      <w:r>
        <w:t>The Strands Agents SDK is an agent-orchestration framework with model-provider support, tools, structured output, and runtime controls. It is not itself a drift detector or recovery algorithm. The experimental unit is the recovery policy built using Strands versus the deterministic baseline, not a comparison of software packages in isolation.</w:t>
      </w:r>
    </w:p>
    <w:p>
      <w:pPr>
        <w:pStyle w:val="Heading2"/>
        <w:keepNext/>
      </w:pPr>
      <w:r>
        <w:t>Optional future RQ — Multimodal attribution</w:t>
      </w:r>
    </w:p>
    <w:p>
      <w:r>
        <w:t>After the structured-data study works, test whether DP-accounted signals can identify both the affected client and the affected modality when controlled temporal shifts are injected into at least two modalities. This is an extension, not a claim the first EHR-only experiment can support.</w:t>
      </w:r>
    </w:p>
    <w:p>
      <w:pPr>
        <w:pStyle w:val="Heading1"/>
        <w:keepNext/>
      </w:pPr>
      <w:r>
        <w:t>3. Candidate research gaps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7365D"/>
          </w:tcPr>
          <w:p>
            <w:pPr>
              <w:spacing w:after="20" w:before="20"/>
            </w:pPr>
            <w:r/>
            <w:r>
              <w:rPr>
                <w:rFonts w:ascii="Aptos" w:hAnsi="Aptos"/>
                <w:b/>
                <w:color w:val="FFFFFF"/>
                <w:sz w:val="14"/>
              </w:rPr>
              <w:t>Gap</w:t>
            </w:r>
          </w:p>
        </w:tc>
        <w:tc>
          <w:tcPr>
            <w:tcW w:type="dxa" w:w="2952"/>
            <w:vAlign w:val="center"/>
            <w:shd w:fill="17365D"/>
          </w:tcPr>
          <w:p>
            <w:pPr>
              <w:spacing w:after="20" w:before="20"/>
            </w:pPr>
            <w:r/>
            <w:r>
              <w:rPr>
                <w:rFonts w:ascii="Aptos" w:hAnsi="Aptos"/>
                <w:b/>
                <w:color w:val="FFFFFF"/>
                <w:sz w:val="14"/>
              </w:rPr>
              <w:t>What prior work already covers</w:t>
            </w:r>
          </w:p>
        </w:tc>
        <w:tc>
          <w:tcPr>
            <w:tcW w:type="dxa" w:w="3024"/>
            <w:vAlign w:val="center"/>
            <w:shd w:fill="17365D"/>
          </w:tcPr>
          <w:p>
            <w:pPr>
              <w:spacing w:after="20" w:before="20"/>
            </w:pPr>
            <w:r/>
            <w:r>
              <w:rPr>
                <w:rFonts w:ascii="Aptos" w:hAnsi="Aptos"/>
                <w:b/>
                <w:color w:val="FFFFFF"/>
                <w:sz w:val="14"/>
              </w:rPr>
              <w:t>Candidate unresolved question</w:t>
            </w:r>
          </w:p>
        </w:tc>
        <w:tc>
          <w:tcPr>
            <w:tcW w:type="dxa" w:w="3096"/>
            <w:vAlign w:val="center"/>
            <w:shd w:fill="17365D"/>
          </w:tcPr>
          <w:p>
            <w:pPr>
              <w:spacing w:after="20" w:before="20"/>
            </w:pPr>
            <w:r/>
            <w:r>
              <w:rPr>
                <w:rFonts w:ascii="Aptos" w:hAnsi="Aptos"/>
                <w:b/>
                <w:color w:val="FFFFFF"/>
                <w:sz w:val="14"/>
              </w:rPr>
              <w:t>Evidence needed</w:t>
            </w:r>
          </w:p>
        </w:tc>
      </w:tr>
      <w:tr>
        <w:tc>
          <w:tcPr>
            <w:tcW w:type="dxa" w:w="1728"/>
            <w:vAlign w:val="center"/>
          </w:tcPr>
          <w:p>
            <w:pPr>
              <w:spacing w:after="20" w:before="20"/>
            </w:pPr>
            <w:r/>
            <w:r>
              <w:rPr>
                <w:rFonts w:ascii="Aptos" w:hAnsi="Aptos"/>
                <w:b w:val="0"/>
                <w:sz w:val="14"/>
              </w:rPr>
              <w:t>G1. DP × drift-detection reliability</w:t>
            </w:r>
          </w:p>
        </w:tc>
        <w:tc>
          <w:tcPr>
            <w:tcW w:type="dxa" w:w="2952"/>
            <w:vAlign w:val="center"/>
          </w:tcPr>
          <w:p>
            <w:pPr>
              <w:spacing w:after="20" w:before="20"/>
            </w:pPr>
            <w:r/>
            <w:r>
              <w:rPr>
                <w:rFonts w:ascii="Aptos" w:hAnsi="Aptos"/>
                <w:b w:val="0"/>
                <w:sz w:val="14"/>
              </w:rPr>
              <w:t>FedDriftGuard claims drift-aware FL, adaptive DP and communication efficiency; FedDrift studies distributed client drift.</w:t>
            </w:r>
          </w:p>
        </w:tc>
        <w:tc>
          <w:tcPr>
            <w:tcW w:type="dxa" w:w="3024"/>
            <w:vAlign w:val="center"/>
          </w:tcPr>
          <w:p>
            <w:pPr>
              <w:spacing w:after="20" w:before="20"/>
            </w:pPr>
            <w:r/>
            <w:r>
              <w:rPr>
                <w:rFonts w:ascii="Aptos" w:hAnsi="Aptos"/>
                <w:b w:val="0"/>
                <w:sz w:val="14"/>
              </w:rPr>
              <w:t>How do realized cumulative privacy targets change detection precision/recall, false alarms, missed events, delay, and clinical utility?</w:t>
            </w:r>
          </w:p>
        </w:tc>
        <w:tc>
          <w:tcPr>
            <w:tcW w:type="dxa" w:w="3096"/>
            <w:vAlign w:val="center"/>
          </w:tcPr>
          <w:p>
            <w:pPr>
              <w:spacing w:after="20" w:before="20"/>
            </w:pPr>
            <w:r/>
            <w:r>
              <w:rPr>
                <w:rFonts w:ascii="Aptos" w:hAnsi="Aptos"/>
                <w:b w:val="0"/>
                <w:sz w:val="14"/>
              </w:rPr>
              <w:t>Matched privacy targets; explicit accountant; stable and controlled drift scenarios; detector metrics versus privacy expenditure.</w:t>
            </w:r>
          </w:p>
        </w:tc>
      </w:tr>
      <w:tr>
        <w:tc>
          <w:tcPr>
            <w:tcW w:type="dxa" w:w="1728"/>
            <w:vAlign w:val="center"/>
            <w:shd w:fill="F2F6FA"/>
          </w:tcPr>
          <w:p>
            <w:pPr>
              <w:spacing w:after="20" w:before="20"/>
            </w:pPr>
            <w:r/>
            <w:r>
              <w:rPr>
                <w:rFonts w:ascii="Aptos" w:hAnsi="Aptos"/>
                <w:b w:val="0"/>
                <w:sz w:val="14"/>
              </w:rPr>
              <w:t>G2. Recovery-policy value</w:t>
            </w:r>
          </w:p>
        </w:tc>
        <w:tc>
          <w:tcPr>
            <w:tcW w:type="dxa" w:w="2952"/>
            <w:vAlign w:val="center"/>
            <w:shd w:fill="F2F6FA"/>
          </w:tcPr>
          <w:p>
            <w:pPr>
              <w:spacing w:after="20" w:before="20"/>
            </w:pPr>
            <w:r/>
            <w:r>
              <w:rPr>
                <w:rFonts w:ascii="Aptos" w:hAnsi="Aptos"/>
                <w:b w:val="0"/>
                <w:sz w:val="14"/>
              </w:rPr>
              <w:t>DriftGuard chooses global and/or group retraining based on accuracy thresholds and client grouping.</w:t>
            </w:r>
          </w:p>
        </w:tc>
        <w:tc>
          <w:tcPr>
            <w:tcW w:type="dxa" w:w="3024"/>
            <w:vAlign w:val="center"/>
            <w:shd w:fill="F2F6FA"/>
          </w:tcPr>
          <w:p>
            <w:pPr>
              <w:spacing w:after="20" w:before="20"/>
            </w:pPr>
            <w:r/>
            <w:r>
              <w:rPr>
                <w:rFonts w:ascii="Aptos" w:hAnsi="Aptos"/>
                <w:b w:val="0"/>
                <w:sz w:val="14"/>
              </w:rPr>
              <w:t>Does selective recovery improve utility/cost over global retraining at comparable privacy expenditure?</w:t>
            </w:r>
          </w:p>
        </w:tc>
        <w:tc>
          <w:tcPr>
            <w:tcW w:type="dxa" w:w="3096"/>
            <w:vAlign w:val="center"/>
            <w:shd w:fill="F2F6FA"/>
          </w:tcPr>
          <w:p>
            <w:pPr>
              <w:spacing w:after="20" w:before="20"/>
            </w:pPr>
            <w:r/>
            <w:r>
              <w:rPr>
                <w:rFonts w:ascii="Aptos" w:hAnsi="Aptos"/>
                <w:b w:val="0"/>
                <w:sz w:val="14"/>
              </w:rPr>
              <w:t>No-op, local/selective, group, and global baselines; equal evidence; same drift seeds; utility, worst-client results, bytes/FLOPs/time.</w:t>
            </w:r>
          </w:p>
        </w:tc>
      </w:tr>
      <w:tr>
        <w:tc>
          <w:tcPr>
            <w:tcW w:type="dxa" w:w="1728"/>
            <w:vAlign w:val="center"/>
          </w:tcPr>
          <w:p>
            <w:pPr>
              <w:spacing w:after="20" w:before="20"/>
            </w:pPr>
            <w:r/>
            <w:r>
              <w:rPr>
                <w:rFonts w:ascii="Aptos" w:hAnsi="Aptos"/>
                <w:b w:val="0"/>
                <w:sz w:val="14"/>
              </w:rPr>
              <w:t>G3. Agentic versus deterministic decisions</w:t>
            </w:r>
          </w:p>
        </w:tc>
        <w:tc>
          <w:tcPr>
            <w:tcW w:type="dxa" w:w="2952"/>
            <w:vAlign w:val="center"/>
          </w:tcPr>
          <w:p>
            <w:pPr>
              <w:spacing w:after="20" w:before="20"/>
            </w:pPr>
            <w:r/>
            <w:r>
              <w:rPr>
                <w:rFonts w:ascii="Aptos" w:hAnsi="Aptos"/>
                <w:b w:val="0"/>
                <w:sz w:val="14"/>
              </w:rPr>
              <w:t>Strands supplies an agent framework; conventional policies can encode transparent thresholds.</w:t>
            </w:r>
          </w:p>
        </w:tc>
        <w:tc>
          <w:tcPr>
            <w:tcW w:type="dxa" w:w="3024"/>
            <w:vAlign w:val="center"/>
          </w:tcPr>
          <w:p>
            <w:pPr>
              <w:spacing w:after="20" w:before="20"/>
            </w:pPr>
            <w:r/>
            <w:r>
              <w:rPr>
                <w:rFonts w:ascii="Aptos" w:hAnsi="Aptos"/>
                <w:b w:val="0"/>
                <w:sz w:val="14"/>
              </w:rPr>
              <w:t>Does the agent make better decisions on ambiguous/compound scenarios, enough to justify extra overhead?</w:t>
            </w:r>
          </w:p>
        </w:tc>
        <w:tc>
          <w:tcPr>
            <w:tcW w:type="dxa" w:w="3096"/>
            <w:vAlign w:val="center"/>
          </w:tcPr>
          <w:p>
            <w:pPr>
              <w:spacing w:after="20" w:before="20"/>
            </w:pPr>
            <w:r/>
            <w:r>
              <w:rPr>
                <w:rFonts w:ascii="Aptos" w:hAnsi="Aptos"/>
                <w:b w:val="0"/>
                <w:sz w:val="14"/>
              </w:rPr>
              <w:t>Paired scenarios, structured output, policy gate, repeated runs, action validity, recovery success, latency, token/API cost, consistency.</w:t>
            </w:r>
          </w:p>
        </w:tc>
      </w:tr>
      <w:tr>
        <w:tc>
          <w:tcPr>
            <w:tcW w:type="dxa" w:w="1728"/>
            <w:vAlign w:val="center"/>
            <w:shd w:fill="F2F6FA"/>
          </w:tcPr>
          <w:p>
            <w:pPr>
              <w:spacing w:after="20" w:before="20"/>
            </w:pPr>
            <w:r/>
            <w:r>
              <w:rPr>
                <w:rFonts w:ascii="Aptos" w:hAnsi="Aptos"/>
                <w:b w:val="0"/>
                <w:sz w:val="14"/>
              </w:rPr>
              <w:t>G4. Client–modality attribution (future)</w:t>
            </w:r>
          </w:p>
        </w:tc>
        <w:tc>
          <w:tcPr>
            <w:tcW w:type="dxa" w:w="2952"/>
            <w:vAlign w:val="center"/>
            <w:shd w:fill="F2F6FA"/>
          </w:tcPr>
          <w:p>
            <w:pPr>
              <w:spacing w:after="20" w:before="20"/>
            </w:pPr>
            <w:r/>
            <w:r>
              <w:rPr>
                <w:rFonts w:ascii="Aptos" w:hAnsi="Aptos"/>
                <w:b w:val="0"/>
                <w:sz w:val="14"/>
              </w:rPr>
              <w:t>FedMM addresses modality-heterogeneous client-update drift; FedMedICL evaluates medical distribution shifts.</w:t>
            </w:r>
          </w:p>
        </w:tc>
        <w:tc>
          <w:tcPr>
            <w:tcW w:type="dxa" w:w="3024"/>
            <w:vAlign w:val="center"/>
            <w:shd w:fill="F2F6FA"/>
          </w:tcPr>
          <w:p>
            <w:pPr>
              <w:spacing w:after="20" w:before="20"/>
            </w:pPr>
            <w:r/>
            <w:r>
              <w:rPr>
                <w:rFonts w:ascii="Aptos" w:hAnsi="Aptos"/>
                <w:b w:val="0"/>
                <w:sz w:val="14"/>
              </w:rPr>
              <w:t>Can the system correctly attribute known temporal events to both client and modality under DP?</w:t>
            </w:r>
          </w:p>
        </w:tc>
        <w:tc>
          <w:tcPr>
            <w:tcW w:type="dxa" w:w="3096"/>
            <w:vAlign w:val="center"/>
            <w:shd w:fill="F2F6FA"/>
          </w:tcPr>
          <w:p>
            <w:pPr>
              <w:spacing w:after="20" w:before="20"/>
            </w:pPr>
            <w:r/>
            <w:r>
              <w:rPr>
                <w:rFonts w:ascii="Aptos" w:hAnsi="Aptos"/>
                <w:b w:val="0"/>
                <w:sz w:val="14"/>
              </w:rPr>
              <w:t>At least two integrated modalities, event labels, client/modality/joint accuracy, privacy-aware signal design.</w:t>
            </w:r>
          </w:p>
        </w:tc>
      </w:tr>
      <w:tr>
        <w:tc>
          <w:tcPr>
            <w:tcW w:type="dxa" w:w="1728"/>
            <w:vAlign w:val="center"/>
          </w:tcPr>
          <w:p>
            <w:pPr>
              <w:spacing w:after="20" w:before="20"/>
            </w:pPr>
            <w:r/>
            <w:r>
              <w:rPr>
                <w:rFonts w:ascii="Aptos" w:hAnsi="Aptos"/>
                <w:b w:val="0"/>
                <w:sz w:val="14"/>
              </w:rPr>
              <w:t>G5. Drift versus missingness/corruption (supporting)</w:t>
            </w:r>
          </w:p>
        </w:tc>
        <w:tc>
          <w:tcPr>
            <w:tcW w:type="dxa" w:w="2952"/>
            <w:vAlign w:val="center"/>
          </w:tcPr>
          <w:p>
            <w:pPr>
              <w:spacing w:after="20" w:before="20"/>
            </w:pPr>
            <w:r/>
            <w:r>
              <w:rPr>
                <w:rFonts w:ascii="Aptos" w:hAnsi="Aptos"/>
                <w:b w:val="0"/>
                <w:sz w:val="14"/>
              </w:rPr>
              <w:t>Missing modality and data heterogeneity are known concerns in multimodal FL.</w:t>
            </w:r>
          </w:p>
        </w:tc>
        <w:tc>
          <w:tcPr>
            <w:tcW w:type="dxa" w:w="3024"/>
            <w:vAlign w:val="center"/>
          </w:tcPr>
          <w:p>
            <w:pPr>
              <w:spacing w:after="20" w:before="20"/>
            </w:pPr>
            <w:r/>
            <w:r>
              <w:rPr>
                <w:rFonts w:ascii="Aptos" w:hAnsi="Aptos"/>
                <w:b w:val="0"/>
                <w:sz w:val="14"/>
              </w:rPr>
              <w:t>Can the policy avoid unnecessary recovery when missingness or corruption is not a consequential temporal shift?</w:t>
            </w:r>
          </w:p>
        </w:tc>
        <w:tc>
          <w:tcPr>
            <w:tcW w:type="dxa" w:w="3096"/>
            <w:vAlign w:val="center"/>
          </w:tcPr>
          <w:p>
            <w:pPr>
              <w:spacing w:after="20" w:before="20"/>
            </w:pPr>
            <w:r/>
            <w:r>
              <w:rPr>
                <w:rFonts w:ascii="Aptos" w:hAnsi="Aptos"/>
                <w:b w:val="0"/>
                <w:sz w:val="14"/>
              </w:rPr>
              <w:t>Separate missingness, measurement noise, harmless shifts, and clinically consequential drift scenarios.</w:t>
            </w:r>
          </w:p>
        </w:tc>
      </w:tr>
    </w:tbl>
    <w:p>
      <w:pPr>
        <w:spacing w:after="20"/>
      </w:pPr>
    </w:p>
    <w:p>
      <w:r>
        <w:t>Novelty qualification: These are candidate gaps derived from the inspected literature, not confirmed absences. The available review did not retrieve FedDriftGuard’s full supplement or Song et al.’s full IEEE paper/supplement, and forward-citation coverage is incomplete. Do not write 'no prior work exists' until the closest full texts and broader citation search are complete.</w:t>
      </w:r>
    </w:p>
    <w:p>
      <w:pPr>
        <w:pStyle w:val="Heading1"/>
        <w:keepNext/>
      </w:pPr>
      <w:r>
        <w:t>4. Related work and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65D"/>
          </w:tcPr>
          <w:p>
            <w:pPr>
              <w:spacing w:after="20" w:before="20"/>
            </w:pPr>
            <w:r/>
            <w:r>
              <w:rPr>
                <w:rFonts w:ascii="Aptos" w:hAnsi="Aptos"/>
                <w:b/>
                <w:color w:val="FFFFFF"/>
                <w:sz w:val="14"/>
              </w:rPr>
              <w:t>Paper / resource</w:t>
            </w:r>
          </w:p>
        </w:tc>
        <w:tc>
          <w:tcPr>
            <w:tcW w:type="dxa" w:w="4104"/>
            <w:vAlign w:val="center"/>
            <w:shd w:fill="17365D"/>
          </w:tcPr>
          <w:p>
            <w:pPr>
              <w:spacing w:after="20" w:before="20"/>
            </w:pPr>
            <w:r/>
            <w:r>
              <w:rPr>
                <w:rFonts w:ascii="Aptos" w:hAnsi="Aptos"/>
                <w:b/>
                <w:color w:val="FFFFFF"/>
                <w:sz w:val="14"/>
              </w:rPr>
              <w:t>Verified scope from inspected sources</w:t>
            </w:r>
          </w:p>
        </w:tc>
        <w:tc>
          <w:tcPr>
            <w:tcW w:type="dxa" w:w="4176"/>
            <w:vAlign w:val="center"/>
            <w:shd w:fill="17365D"/>
          </w:tcPr>
          <w:p>
            <w:pPr>
              <w:spacing w:after="20" w:before="20"/>
            </w:pPr>
            <w:r/>
            <w:r>
              <w:rPr>
                <w:rFonts w:ascii="Aptos" w:hAnsi="Aptos"/>
                <w:b/>
                <w:color w:val="FFFFFF"/>
                <w:sz w:val="14"/>
              </w:rPr>
              <w:t>Implication for this project</w:t>
            </w:r>
          </w:p>
        </w:tc>
      </w:tr>
      <w:tr>
        <w:tc>
          <w:tcPr>
            <w:tcW w:type="dxa" w:w="2376"/>
            <w:vAlign w:val="center"/>
          </w:tcPr>
          <w:p>
            <w:pPr>
              <w:spacing w:after="20" w:before="20"/>
            </w:pPr>
            <w:r/>
            <w:r>
              <w:rPr>
                <w:rFonts w:ascii="Aptos" w:hAnsi="Aptos"/>
                <w:b w:val="0"/>
                <w:sz w:val="14"/>
              </w:rPr>
              <w:t>FedDriftGuard — Sudhakar et al. (2026)</w:t>
            </w:r>
          </w:p>
        </w:tc>
        <w:tc>
          <w:tcPr>
            <w:tcW w:type="dxa" w:w="4104"/>
            <w:vAlign w:val="center"/>
          </w:tcPr>
          <w:p>
            <w:pPr>
              <w:spacing w:after="20" w:before="20"/>
            </w:pPr>
            <w:r/>
            <w:r>
              <w:rPr>
                <w:rFonts w:ascii="Aptos" w:hAnsi="Aptos"/>
                <w:b w:val="0"/>
                <w:sz w:val="14"/>
              </w:rPr>
              <w:t>Claims client-side concept-drift handling, adaptive DP/noise scheduling, drift-sensitive updates, and communication efficiency; evaluates non-clinical and synthetic settings in the inspected report.</w:t>
            </w:r>
          </w:p>
        </w:tc>
        <w:tc>
          <w:tcPr>
            <w:tcW w:type="dxa" w:w="4176"/>
            <w:vAlign w:val="center"/>
          </w:tcPr>
          <w:p>
            <w:pPr>
              <w:spacing w:after="20" w:before="20"/>
            </w:pPr>
            <w:r/>
            <w:r>
              <w:rPr>
                <w:rFonts w:ascii="Aptos" w:hAnsi="Aptos"/>
                <w:b w:val="0"/>
                <w:sz w:val="14"/>
              </w:rPr>
              <w:t>Strong overlap for general drift + DP + efficiency. Do not claim that combination alone is novel. Operational cumulative privacy accounting and detector-specific metrics were not independently reproducible from the inspected text.</w:t>
            </w:r>
          </w:p>
        </w:tc>
      </w:tr>
      <w:tr>
        <w:tc>
          <w:tcPr>
            <w:tcW w:type="dxa" w:w="2376"/>
            <w:vAlign w:val="center"/>
            <w:shd w:fill="F2F6FA"/>
          </w:tcPr>
          <w:p>
            <w:pPr>
              <w:spacing w:after="20" w:before="20"/>
            </w:pPr>
            <w:r/>
            <w:r>
              <w:rPr>
                <w:rFonts w:ascii="Aptos" w:hAnsi="Aptos"/>
                <w:b w:val="0"/>
                <w:sz w:val="14"/>
              </w:rPr>
              <w:t>DriftGuard — Han, Wu &amp; Varghese (2026 preprint)</w:t>
            </w:r>
          </w:p>
        </w:tc>
        <w:tc>
          <w:tcPr>
            <w:tcW w:type="dxa" w:w="4104"/>
            <w:vAlign w:val="center"/>
            <w:shd w:fill="F2F6FA"/>
          </w:tcPr>
          <w:p>
            <w:pPr>
              <w:spacing w:after="20" w:before="20"/>
            </w:pPr>
            <w:r/>
            <w:r>
              <w:rPr>
                <w:rFonts w:ascii="Aptos" w:hAnsi="Aptos"/>
                <w:b w:val="0"/>
                <w:sz w:val="14"/>
              </w:rPr>
              <w:t>Uses local accuracy and MoE gating patterns; triggers global shared-parameter retraining and/or group-local retraining; reports average accuracy and retraining cost.</w:t>
            </w:r>
          </w:p>
        </w:tc>
        <w:tc>
          <w:tcPr>
            <w:tcW w:type="dxa" w:w="4176"/>
            <w:vAlign w:val="center"/>
            <w:shd w:fill="F2F6FA"/>
          </w:tcPr>
          <w:p>
            <w:pPr>
              <w:spacing w:after="20" w:before="20"/>
            </w:pPr>
            <w:r/>
            <w:r>
              <w:rPr>
                <w:rFonts w:ascii="Aptos" w:hAnsi="Aptos"/>
                <w:b w:val="0"/>
                <w:sz w:val="14"/>
              </w:rPr>
              <w:t>Selective/global-group recovery is established. It is not verified as modality-specific attribution or a DP-accounted event detector.</w:t>
            </w:r>
          </w:p>
        </w:tc>
      </w:tr>
      <w:tr>
        <w:tc>
          <w:tcPr>
            <w:tcW w:type="dxa" w:w="2376"/>
            <w:vAlign w:val="center"/>
          </w:tcPr>
          <w:p>
            <w:pPr>
              <w:spacing w:after="20" w:before="20"/>
            </w:pPr>
            <w:r/>
            <w:r>
              <w:rPr>
                <w:rFonts w:ascii="Aptos" w:hAnsi="Aptos"/>
                <w:b w:val="0"/>
                <w:sz w:val="14"/>
              </w:rPr>
              <w:t>FedMM — Song et al. (IEEE TMI, 2025)</w:t>
            </w:r>
          </w:p>
        </w:tc>
        <w:tc>
          <w:tcPr>
            <w:tcW w:type="dxa" w:w="4104"/>
            <w:vAlign w:val="center"/>
          </w:tcPr>
          <w:p>
            <w:pPr>
              <w:spacing w:after="20" w:before="20"/>
            </w:pPr>
            <w:r/>
            <w:r>
              <w:rPr>
                <w:rFonts w:ascii="Aptos" w:hAnsi="Aptos"/>
                <w:b w:val="0"/>
                <w:sz w:val="14"/>
              </w:rPr>
              <w:t>Addresses modality-heterogeneous client-update drift through modality dropout and inter-/intra-modal regularization; publisher record reports three medical segmentation datasets.</w:t>
            </w:r>
          </w:p>
        </w:tc>
        <w:tc>
          <w:tcPr>
            <w:tcW w:type="dxa" w:w="4176"/>
            <w:vAlign w:val="center"/>
          </w:tcPr>
          <w:p>
            <w:pPr>
              <w:spacing w:after="20" w:before="20"/>
            </w:pPr>
            <w:r/>
            <w:r>
              <w:rPr>
                <w:rFonts w:ascii="Aptos" w:hAnsi="Aptos"/>
                <w:b w:val="0"/>
                <w:sz w:val="14"/>
              </w:rPr>
              <w:t>Strong overlap for heterogeneous multimodal client updates. Full evaluation details were not retrieved; do not infer omissions from abstract-level evidence.</w:t>
            </w:r>
          </w:p>
        </w:tc>
      </w:tr>
      <w:tr>
        <w:tc>
          <w:tcPr>
            <w:tcW w:type="dxa" w:w="2376"/>
            <w:vAlign w:val="center"/>
            <w:shd w:fill="F2F6FA"/>
          </w:tcPr>
          <w:p>
            <w:pPr>
              <w:spacing w:after="20" w:before="20"/>
            </w:pPr>
            <w:r/>
            <w:r>
              <w:rPr>
                <w:rFonts w:ascii="Aptos" w:hAnsi="Aptos"/>
                <w:b w:val="0"/>
                <w:sz w:val="14"/>
              </w:rPr>
              <w:t>FedMedICL — Alhamoud et al. (MICCAI 2024)</w:t>
            </w:r>
          </w:p>
        </w:tc>
        <w:tc>
          <w:tcPr>
            <w:tcW w:type="dxa" w:w="4104"/>
            <w:vAlign w:val="center"/>
            <w:shd w:fill="F2F6FA"/>
          </w:tcPr>
          <w:p>
            <w:pPr>
              <w:spacing w:after="20" w:before="20"/>
            </w:pPr>
            <w:r/>
            <w:r>
              <w:rPr>
                <w:rFonts w:ascii="Aptos" w:hAnsi="Aptos"/>
                <w:b w:val="0"/>
                <w:sz w:val="14"/>
              </w:rPr>
              <w:t>Benchmark for federated medical imaging shifts, including label, demographic, and temporal shifts across six datasets.</w:t>
            </w:r>
          </w:p>
        </w:tc>
        <w:tc>
          <w:tcPr>
            <w:tcW w:type="dxa" w:w="4176"/>
            <w:vAlign w:val="center"/>
            <w:shd w:fill="F2F6FA"/>
          </w:tcPr>
          <w:p>
            <w:pPr>
              <w:spacing w:after="20" w:before="20"/>
            </w:pPr>
            <w:r/>
            <w:r>
              <w:rPr>
                <w:rFonts w:ascii="Aptos" w:hAnsi="Aptos"/>
                <w:b w:val="0"/>
                <w:sz w:val="14"/>
              </w:rPr>
              <w:t>Limits generic medical-shift benchmark novelty. Proposed distinction must be precise about DP, detection/localization, and recovery-policy outcomes.</w:t>
            </w:r>
          </w:p>
        </w:tc>
      </w:tr>
      <w:tr>
        <w:tc>
          <w:tcPr>
            <w:tcW w:type="dxa" w:w="2376"/>
            <w:vAlign w:val="center"/>
          </w:tcPr>
          <w:p>
            <w:pPr>
              <w:spacing w:after="20" w:before="20"/>
            </w:pPr>
            <w:r/>
            <w:r>
              <w:rPr>
                <w:rFonts w:ascii="Aptos" w:hAnsi="Aptos"/>
                <w:b w:val="0"/>
                <w:sz w:val="14"/>
              </w:rPr>
              <w:t>Med-MMFL — Chhetri et al. (arXiv 2026)</w:t>
            </w:r>
          </w:p>
        </w:tc>
        <w:tc>
          <w:tcPr>
            <w:tcW w:type="dxa" w:w="4104"/>
            <w:vAlign w:val="center"/>
          </w:tcPr>
          <w:p>
            <w:pPr>
              <w:spacing w:after="20" w:before="20"/>
            </w:pPr>
            <w:r/>
            <w:r>
              <w:rPr>
                <w:rFonts w:ascii="Aptos" w:hAnsi="Aptos"/>
                <w:b w:val="0"/>
                <w:sz w:val="14"/>
              </w:rPr>
              <w:t>Multimodal medical FL benchmark covering multiple modalities, tasks, and federation scenarios.</w:t>
            </w:r>
          </w:p>
        </w:tc>
        <w:tc>
          <w:tcPr>
            <w:tcW w:type="dxa" w:w="4176"/>
            <w:vAlign w:val="center"/>
          </w:tcPr>
          <w:p>
            <w:pPr>
              <w:spacing w:after="20" w:before="20"/>
            </w:pPr>
            <w:r/>
            <w:r>
              <w:rPr>
                <w:rFonts w:ascii="Aptos" w:hAnsi="Aptos"/>
                <w:b w:val="0"/>
                <w:sz w:val="14"/>
              </w:rPr>
              <w:t>Limits broad multimodal medical FL benchmark novelty; inspect the latest version before final submission.</w:t>
            </w:r>
          </w:p>
        </w:tc>
      </w:tr>
      <w:tr>
        <w:tc>
          <w:tcPr>
            <w:tcW w:type="dxa" w:w="2376"/>
            <w:vAlign w:val="center"/>
            <w:shd w:fill="F2F6FA"/>
          </w:tcPr>
          <w:p>
            <w:pPr>
              <w:spacing w:after="20" w:before="20"/>
            </w:pPr>
            <w:r/>
            <w:r>
              <w:rPr>
                <w:rFonts w:ascii="Aptos" w:hAnsi="Aptos"/>
                <w:b w:val="0"/>
                <w:sz w:val="14"/>
              </w:rPr>
              <w:t>FedDrift — Jothimurugesan et al. (AISTATS 2023)</w:t>
            </w:r>
          </w:p>
        </w:tc>
        <w:tc>
          <w:tcPr>
            <w:tcW w:type="dxa" w:w="4104"/>
            <w:vAlign w:val="center"/>
            <w:shd w:fill="F2F6FA"/>
          </w:tcPr>
          <w:p>
            <w:pPr>
              <w:spacing w:after="20" w:before="20"/>
            </w:pPr>
            <w:r/>
            <w:r>
              <w:rPr>
                <w:rFonts w:ascii="Aptos" w:hAnsi="Aptos"/>
                <w:b w:val="0"/>
                <w:sz w:val="14"/>
              </w:rPr>
              <w:t>Treats distributed concept drift across clients/time as a time-varying clustering problem and proposes drift-adaptation methods.</w:t>
            </w:r>
          </w:p>
        </w:tc>
        <w:tc>
          <w:tcPr>
            <w:tcW w:type="dxa" w:w="4176"/>
            <w:vAlign w:val="center"/>
            <w:shd w:fill="F2F6FA"/>
          </w:tcPr>
          <w:p>
            <w:pPr>
              <w:spacing w:after="20" w:before="20"/>
            </w:pPr>
            <w:r/>
            <w:r>
              <w:rPr>
                <w:rFonts w:ascii="Aptos" w:hAnsi="Aptos"/>
                <w:b w:val="0"/>
                <w:sz w:val="14"/>
              </w:rPr>
              <w:t>Drift across clients and time is established; use as a core baseline/reference.</w:t>
            </w:r>
          </w:p>
        </w:tc>
      </w:tr>
      <w:tr>
        <w:tc>
          <w:tcPr>
            <w:tcW w:type="dxa" w:w="2376"/>
            <w:vAlign w:val="center"/>
          </w:tcPr>
          <w:p>
            <w:pPr>
              <w:spacing w:after="20" w:before="20"/>
            </w:pPr>
            <w:r/>
            <w:r>
              <w:rPr>
                <w:rFonts w:ascii="Aptos" w:hAnsi="Aptos"/>
                <w:b w:val="0"/>
                <w:sz w:val="14"/>
              </w:rPr>
              <w:t>FedAvg — McMahan et al. (AISTATS 2017)</w:t>
            </w:r>
          </w:p>
        </w:tc>
        <w:tc>
          <w:tcPr>
            <w:tcW w:type="dxa" w:w="4104"/>
            <w:vAlign w:val="center"/>
          </w:tcPr>
          <w:p>
            <w:pPr>
              <w:spacing w:after="20" w:before="20"/>
            </w:pPr>
            <w:r/>
            <w:r>
              <w:rPr>
                <w:rFonts w:ascii="Aptos" w:hAnsi="Aptos"/>
                <w:b w:val="0"/>
                <w:sz w:val="14"/>
              </w:rPr>
              <w:t>Iterative model averaging over locally computed updates.</w:t>
            </w:r>
          </w:p>
        </w:tc>
        <w:tc>
          <w:tcPr>
            <w:tcW w:type="dxa" w:w="4176"/>
            <w:vAlign w:val="center"/>
          </w:tcPr>
          <w:p>
            <w:pPr>
              <w:spacing w:after="20" w:before="20"/>
            </w:pPr>
            <w:r/>
            <w:r>
              <w:rPr>
                <w:rFonts w:ascii="Aptos" w:hAnsi="Aptos"/>
                <w:b w:val="0"/>
                <w:sz w:val="14"/>
              </w:rPr>
              <w:t>Foundational FL baseline; not a novelty claim.</w:t>
            </w:r>
          </w:p>
        </w:tc>
      </w:tr>
      <w:tr>
        <w:tc>
          <w:tcPr>
            <w:tcW w:type="dxa" w:w="2376"/>
            <w:vAlign w:val="center"/>
            <w:shd w:fill="F2F6FA"/>
          </w:tcPr>
          <w:p>
            <w:pPr>
              <w:spacing w:after="20" w:before="20"/>
            </w:pPr>
            <w:r/>
            <w:r>
              <w:rPr>
                <w:rFonts w:ascii="Aptos" w:hAnsi="Aptos"/>
                <w:b w:val="0"/>
                <w:sz w:val="14"/>
              </w:rPr>
              <w:t>FLamby — du Terrail et al. (NeurIPS Datasets &amp; Benchmarks 2022)</w:t>
            </w:r>
          </w:p>
        </w:tc>
        <w:tc>
          <w:tcPr>
            <w:tcW w:type="dxa" w:w="4104"/>
            <w:vAlign w:val="center"/>
            <w:shd w:fill="F2F6FA"/>
          </w:tcPr>
          <w:p>
            <w:pPr>
              <w:spacing w:after="20" w:before="20"/>
            </w:pPr>
            <w:r/>
            <w:r>
              <w:rPr>
                <w:rFonts w:ascii="Aptos" w:hAnsi="Aptos"/>
                <w:b w:val="0"/>
                <w:sz w:val="14"/>
              </w:rPr>
              <w:t>Healthcare FL benchmark with datasets and baseline implementations.</w:t>
            </w:r>
          </w:p>
        </w:tc>
        <w:tc>
          <w:tcPr>
            <w:tcW w:type="dxa" w:w="4176"/>
            <w:vAlign w:val="center"/>
            <w:shd w:fill="F2F6FA"/>
          </w:tcPr>
          <w:p>
            <w:pPr>
              <w:spacing w:after="20" w:before="20"/>
            </w:pPr>
            <w:r/>
            <w:r>
              <w:rPr>
                <w:rFonts w:ascii="Aptos" w:hAnsi="Aptos"/>
                <w:b w:val="0"/>
                <w:sz w:val="14"/>
              </w:rPr>
              <w:t>Useful healthcare FL benchmark context; not sufficient on its own for temporal drift/DP/agent claims.</w:t>
            </w:r>
          </w:p>
        </w:tc>
      </w:tr>
    </w:tbl>
    <w:p>
      <w:pPr>
        <w:spacing w:after="20"/>
      </w:pPr>
    </w:p>
    <w:p>
      <w:pPr>
        <w:pStyle w:val="Heading2"/>
        <w:keepNext/>
      </w:pPr>
      <w:r>
        <w:t>Closest-paper audit status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7365D"/>
          </w:tcPr>
          <w:p>
            <w:pPr>
              <w:spacing w:after="20" w:before="20"/>
            </w:pPr>
            <w:r/>
            <w:r>
              <w:rPr>
                <w:rFonts w:ascii="Aptos" w:hAnsi="Aptos"/>
                <w:b/>
                <w:color w:val="FFFFFF"/>
                <w:sz w:val="16"/>
              </w:rPr>
              <w:t>Check</w:t>
            </w:r>
          </w:p>
        </w:tc>
        <w:tc>
          <w:tcPr>
            <w:tcW w:type="dxa" w:w="2088"/>
            <w:vAlign w:val="center"/>
            <w:shd w:fill="17365D"/>
          </w:tcPr>
          <w:p>
            <w:pPr>
              <w:spacing w:after="20" w:before="20"/>
            </w:pPr>
            <w:r/>
            <w:r>
              <w:rPr>
                <w:rFonts w:ascii="Aptos" w:hAnsi="Aptos"/>
                <w:b/>
                <w:color w:val="FFFFFF"/>
                <w:sz w:val="16"/>
              </w:rPr>
              <w:t>Status</w:t>
            </w:r>
          </w:p>
        </w:tc>
        <w:tc>
          <w:tcPr>
            <w:tcW w:type="dxa" w:w="5904"/>
            <w:vAlign w:val="center"/>
            <w:shd w:fill="17365D"/>
          </w:tcPr>
          <w:p>
            <w:pPr>
              <w:spacing w:after="20" w:before="20"/>
            </w:pPr>
            <w:r/>
            <w:r>
              <w:rPr>
                <w:rFonts w:ascii="Aptos" w:hAnsi="Aptos"/>
                <w:b/>
                <w:color w:val="FFFFFF"/>
                <w:sz w:val="16"/>
              </w:rPr>
              <w:t>Action required</w:t>
            </w:r>
          </w:p>
        </w:tc>
      </w:tr>
      <w:tr>
        <w:tc>
          <w:tcPr>
            <w:tcW w:type="dxa" w:w="2592"/>
            <w:vAlign w:val="center"/>
          </w:tcPr>
          <w:p>
            <w:pPr>
              <w:spacing w:after="20" w:before="20"/>
            </w:pPr>
            <w:r/>
            <w:r>
              <w:rPr>
                <w:rFonts w:ascii="Aptos" w:hAnsi="Aptos"/>
                <w:b w:val="0"/>
                <w:sz w:val="16"/>
              </w:rPr>
              <w:t>DriftGuard method and experiment</w:t>
            </w:r>
          </w:p>
        </w:tc>
        <w:tc>
          <w:tcPr>
            <w:tcW w:type="dxa" w:w="2088"/>
            <w:vAlign w:val="center"/>
          </w:tcPr>
          <w:p>
            <w:pPr>
              <w:spacing w:after="20" w:before="20"/>
            </w:pPr>
            <w:r/>
            <w:r>
              <w:rPr>
                <w:rFonts w:ascii="Aptos" w:hAnsi="Aptos"/>
                <w:b w:val="0"/>
                <w:sz w:val="16"/>
              </w:rPr>
              <w:t>Substantially inspected</w:t>
            </w:r>
          </w:p>
        </w:tc>
        <w:tc>
          <w:tcPr>
            <w:tcW w:type="dxa" w:w="5904"/>
            <w:vAlign w:val="center"/>
          </w:tcPr>
          <w:p>
            <w:pPr>
              <w:spacing w:after="20" w:before="20"/>
            </w:pPr>
            <w:r/>
            <w:r>
              <w:rPr>
                <w:rFonts w:ascii="Aptos" w:hAnsi="Aptos"/>
                <w:b w:val="0"/>
                <w:sz w:val="16"/>
              </w:rPr>
              <w:t>Retain exact distinctions: accuracy-triggered global/group retraining; group clustering is not ground-truth modality attribution.</w:t>
            </w:r>
          </w:p>
        </w:tc>
      </w:tr>
      <w:tr>
        <w:tc>
          <w:tcPr>
            <w:tcW w:type="dxa" w:w="2592"/>
            <w:vAlign w:val="center"/>
            <w:shd w:fill="F2F6FA"/>
          </w:tcPr>
          <w:p>
            <w:pPr>
              <w:spacing w:after="20" w:before="20"/>
            </w:pPr>
            <w:r/>
            <w:r>
              <w:rPr>
                <w:rFonts w:ascii="Aptos" w:hAnsi="Aptos"/>
                <w:b w:val="0"/>
                <w:sz w:val="16"/>
              </w:rPr>
              <w:t>FedDriftGuard privacy accounting</w:t>
            </w:r>
          </w:p>
        </w:tc>
        <w:tc>
          <w:tcPr>
            <w:tcW w:type="dxa" w:w="2088"/>
            <w:vAlign w:val="center"/>
            <w:shd w:fill="F2F6FA"/>
          </w:tcPr>
          <w:p>
            <w:pPr>
              <w:spacing w:after="20" w:before="20"/>
            </w:pPr>
            <w:r/>
            <w:r>
              <w:rPr>
                <w:rFonts w:ascii="Aptos" w:hAnsi="Aptos"/>
                <w:b w:val="0"/>
                <w:sz w:val="16"/>
              </w:rPr>
              <w:t>Partially verified / unresolved</w:t>
            </w:r>
          </w:p>
        </w:tc>
        <w:tc>
          <w:tcPr>
            <w:tcW w:type="dxa" w:w="5904"/>
            <w:vAlign w:val="center"/>
            <w:shd w:fill="F2F6FA"/>
          </w:tcPr>
          <w:p>
            <w:pPr>
              <w:spacing w:after="20" w:before="20"/>
            </w:pPr>
            <w:r/>
            <w:r>
              <w:rPr>
                <w:rFonts w:ascii="Aptos" w:hAnsi="Aptos"/>
                <w:b w:val="0"/>
                <w:sz w:val="16"/>
              </w:rPr>
              <w:t>Inspect full article equations, tables, supplements and code; verify protected unit, adjacency, clipping, sampling, accountant, cumulative ε/δ, and adaptation accounting.</w:t>
            </w:r>
          </w:p>
        </w:tc>
      </w:tr>
      <w:tr>
        <w:tc>
          <w:tcPr>
            <w:tcW w:type="dxa" w:w="2592"/>
            <w:vAlign w:val="center"/>
          </w:tcPr>
          <w:p>
            <w:pPr>
              <w:spacing w:after="20" w:before="20"/>
            </w:pPr>
            <w:r/>
            <w:r>
              <w:rPr>
                <w:rFonts w:ascii="Aptos" w:hAnsi="Aptos"/>
                <w:b w:val="0"/>
                <w:sz w:val="16"/>
              </w:rPr>
              <w:t>Song et al. FedMM full evaluation</w:t>
            </w:r>
          </w:p>
        </w:tc>
        <w:tc>
          <w:tcPr>
            <w:tcW w:type="dxa" w:w="2088"/>
            <w:vAlign w:val="center"/>
          </w:tcPr>
          <w:p>
            <w:pPr>
              <w:spacing w:after="20" w:before="20"/>
            </w:pPr>
            <w:r/>
            <w:r>
              <w:rPr>
                <w:rFonts w:ascii="Aptos" w:hAnsi="Aptos"/>
                <w:b w:val="0"/>
                <w:sz w:val="16"/>
              </w:rPr>
              <w:t>Partially verified / unresolved</w:t>
            </w:r>
          </w:p>
        </w:tc>
        <w:tc>
          <w:tcPr>
            <w:tcW w:type="dxa" w:w="5904"/>
            <w:vAlign w:val="center"/>
          </w:tcPr>
          <w:p>
            <w:pPr>
              <w:spacing w:after="20" w:before="20"/>
            </w:pPr>
            <w:r/>
            <w:r>
              <w:rPr>
                <w:rFonts w:ascii="Aptos" w:hAnsi="Aptos"/>
                <w:b w:val="0"/>
                <w:sz w:val="16"/>
              </w:rPr>
              <w:t>Obtain full IEEE article and supplement; record datasets, client construction, baselines, metrics, ablations, limitations, temporal protocol and DP details.</w:t>
            </w:r>
          </w:p>
        </w:tc>
      </w:tr>
      <w:tr>
        <w:tc>
          <w:tcPr>
            <w:tcW w:type="dxa" w:w="2592"/>
            <w:vAlign w:val="center"/>
            <w:shd w:fill="F2F6FA"/>
          </w:tcPr>
          <w:p>
            <w:pPr>
              <w:spacing w:after="20" w:before="20"/>
            </w:pPr>
            <w:r/>
            <w:r>
              <w:rPr>
                <w:rFonts w:ascii="Aptos" w:hAnsi="Aptos"/>
                <w:b w:val="0"/>
                <w:sz w:val="16"/>
              </w:rPr>
              <w:t>Forward citation chain</w:t>
            </w:r>
          </w:p>
        </w:tc>
        <w:tc>
          <w:tcPr>
            <w:tcW w:type="dxa" w:w="2088"/>
            <w:vAlign w:val="center"/>
            <w:shd w:fill="F2F6FA"/>
          </w:tcPr>
          <w:p>
            <w:pPr>
              <w:spacing w:after="20" w:before="20"/>
            </w:pPr>
            <w:r/>
            <w:r>
              <w:rPr>
                <w:rFonts w:ascii="Aptos" w:hAnsi="Aptos"/>
                <w:b w:val="0"/>
                <w:sz w:val="16"/>
              </w:rPr>
              <w:t>Incomplete</w:t>
            </w:r>
          </w:p>
        </w:tc>
        <w:tc>
          <w:tcPr>
            <w:tcW w:type="dxa" w:w="5904"/>
            <w:vAlign w:val="center"/>
            <w:shd w:fill="F2F6FA"/>
          </w:tcPr>
          <w:p>
            <w:pPr>
              <w:spacing w:after="20" w:before="20"/>
            </w:pPr>
            <w:r/>
            <w:r>
              <w:rPr>
                <w:rFonts w:ascii="Aptos" w:hAnsi="Aptos"/>
                <w:b w:val="0"/>
                <w:sz w:val="16"/>
              </w:rPr>
              <w:t>Use exact-title/DOI cited-by searches and screen citing works by role; save query date and result lists.</w:t>
            </w:r>
          </w:p>
        </w:tc>
      </w:tr>
      <w:tr>
        <w:tc>
          <w:tcPr>
            <w:tcW w:type="dxa" w:w="2592"/>
            <w:vAlign w:val="center"/>
          </w:tcPr>
          <w:p>
            <w:pPr>
              <w:spacing w:after="20" w:before="20"/>
            </w:pPr>
            <w:r/>
            <w:r>
              <w:rPr>
                <w:rFonts w:ascii="Aptos" w:hAnsi="Aptos"/>
                <w:b w:val="0"/>
                <w:sz w:val="16"/>
              </w:rPr>
              <w:t>Exact joint novelty</w:t>
            </w:r>
          </w:p>
        </w:tc>
        <w:tc>
          <w:tcPr>
            <w:tcW w:type="dxa" w:w="2088"/>
            <w:vAlign w:val="center"/>
          </w:tcPr>
          <w:p>
            <w:pPr>
              <w:spacing w:after="20" w:before="20"/>
            </w:pPr>
            <w:r/>
            <w:r>
              <w:rPr>
                <w:rFonts w:ascii="Aptos" w:hAnsi="Aptos"/>
                <w:b w:val="0"/>
                <w:sz w:val="16"/>
              </w:rPr>
              <w:t>Provisional</w:t>
            </w:r>
          </w:p>
        </w:tc>
        <w:tc>
          <w:tcPr>
            <w:tcW w:type="dxa" w:w="5904"/>
            <w:vAlign w:val="center"/>
          </w:tcPr>
          <w:p>
            <w:pPr>
              <w:spacing w:after="20" w:before="20"/>
            </w:pPr>
            <w:r/>
            <w:r>
              <w:rPr>
                <w:rFonts w:ascii="Aptos" w:hAnsi="Aptos"/>
                <w:b w:val="0"/>
                <w:sz w:val="16"/>
              </w:rPr>
              <w:t>Search the full combination: DP-accounted temporal detection + event ground truth + recovery-policy comparison + (later) client–modality attribution.</w:t>
            </w:r>
          </w:p>
        </w:tc>
      </w:tr>
    </w:tbl>
    <w:p>
      <w:pPr>
        <w:spacing w:after="20"/>
      </w:pPr>
    </w:p>
    <w:p>
      <w:pPr>
        <w:pStyle w:val="Heading1"/>
        <w:keepNext/>
      </w:pPr>
      <w:r>
        <w:t>5. Scope and system design</w:t>
      </w:r>
    </w:p>
    <w:p>
      <w:pPr>
        <w:pStyle w:val="Heading2"/>
        <w:keepNext/>
      </w:pPr>
      <w:r>
        <w:t>Phase 1 — Structured clinical baseline</w:t>
      </w:r>
    </w:p>
    <w:p>
      <w:pPr>
        <w:pStyle w:val="ListBullet"/>
        <w:spacing w:after="40"/>
      </w:pPr>
      <w:r>
        <w:t>Dataset: MIMIC-IV (credentialed access; follow PhysioNet access, training, DUA, citation, and derived-data rules).</w:t>
      </w:r>
    </w:p>
    <w:p>
      <w:pPr>
        <w:pStyle w:val="ListBullet"/>
        <w:spacing w:after="40"/>
      </w:pPr>
      <w:r>
        <w:t>Federation: Flower with 3–5 simulated clients. Describe them as partitions of one source dataset, not independent hospitals.</w:t>
      </w:r>
    </w:p>
    <w:p>
      <w:pPr>
        <w:pStyle w:val="ListBullet"/>
        <w:spacing w:after="40"/>
      </w:pPr>
      <w:r>
        <w:t>Model: start with a simple, reproducible clinical classifier and FedAvg; add FedProx or SCAFFOLD only after baseline stability.</w:t>
      </w:r>
    </w:p>
    <w:p>
      <w:pPr>
        <w:pStyle w:val="ListBullet"/>
        <w:spacing w:after="40"/>
      </w:pPr>
      <w:r>
        <w:t>Task candidate: adult first ICU stay, predict in-hospital mortality after a 24-hour ICU landmark. This is a proposed task and must be finalized after cohort counts and leakage checks.</w:t>
      </w:r>
    </w:p>
    <w:p>
      <w:pPr>
        <w:pStyle w:val="ListBullet"/>
        <w:spacing w:after="40"/>
      </w:pPr>
      <w:r>
        <w:t>Data split: patient-level train/validation/test split before client partitioning; keep all stays from the same subject in one split.</w:t>
      </w:r>
    </w:p>
    <w:p>
      <w:pPr>
        <w:pStyle w:val="ListBullet"/>
        <w:spacing w:after="40"/>
      </w:pPr>
      <w:r>
        <w:t>Feature cutoff: only predictors available by the 24-hour landmark; exclude future, post-landmark, discharge-time, and outcome-derived variables.</w:t>
      </w:r>
    </w:p>
    <w:p>
      <w:pPr>
        <w:pStyle w:val="ListBullet"/>
        <w:spacing w:after="40"/>
      </w:pPr>
      <w:r>
        <w:t>Initial study supports client-level event detection/attribution only, not modality attribution.</w:t>
      </w:r>
    </w:p>
    <w:p>
      <w:pPr>
        <w:pStyle w:val="Heading2"/>
        <w:keepNext/>
      </w:pPr>
      <w:r>
        <w:t>Phase 2 — Controlled drift and DP</w:t>
      </w:r>
    </w:p>
    <w:p>
      <w:pPr>
        <w:pStyle w:val="ListBullet"/>
        <w:spacing w:after="40"/>
      </w:pPr>
      <w:r>
        <w:t>Stable control: no injected perturbation.</w:t>
      </w:r>
    </w:p>
    <w:p>
      <w:pPr>
        <w:pStyle w:val="ListBullet"/>
        <w:spacing w:after="40"/>
      </w:pPr>
      <w:r>
        <w:t>Single-client abrupt covariate drift: alter prespecified feature distributions at a known round while keeping outcome generation fixed.</w:t>
      </w:r>
    </w:p>
    <w:p>
      <w:pPr>
        <w:pStyle w:val="ListBullet"/>
        <w:spacing w:after="40"/>
      </w:pPr>
      <w:r>
        <w:t>Label/prevalence or concept shift: define precisely which conditional distribution changes; do not conflate label prevalence with concept drift.</w:t>
      </w:r>
    </w:p>
    <w:p>
      <w:pPr>
        <w:pStyle w:val="ListBullet"/>
        <w:spacing w:after="40"/>
      </w:pPr>
      <w:r>
        <w:t>Gradual drift: ramp the same transformation across specified rounds.</w:t>
      </w:r>
    </w:p>
    <w:p>
      <w:pPr>
        <w:pStyle w:val="ListBullet"/>
        <w:spacing w:after="40"/>
      </w:pPr>
      <w:r>
        <w:t>Global drift: apply the corresponding transformation to all clients.</w:t>
      </w:r>
    </w:p>
    <w:p>
      <w:pPr>
        <w:pStyle w:val="ListBullet"/>
        <w:spacing w:after="40"/>
      </w:pPr>
      <w:r>
        <w:t>Missingness/corruption controls: manipulate missing features and noisy measurements separately; do not automatically label them drift.</w:t>
      </w:r>
    </w:p>
    <w:p>
      <w:pPr>
        <w:pStyle w:val="ListBullet"/>
        <w:spacing w:after="40"/>
      </w:pPr>
      <w:r>
        <w:t>Store immutable scenario configs: onset, affected client, affected features/modality, severity, duration, random seed, and expected effect.</w:t>
      </w:r>
    </w:p>
    <w:p>
      <w:pPr>
        <w:pStyle w:val="Heading2"/>
        <w:keepNext/>
      </w:pPr>
      <w:r>
        <w:t>Phase 3 — Recovery controller comparison</w:t>
      </w:r>
    </w:p>
    <w:p>
      <w:pPr>
        <w:pStyle w:val="ListBullet"/>
        <w:spacing w:after="40"/>
      </w:pPr>
      <w:r>
        <w:t>Rule-based policy: transparent predefined thresholds and action table.</w:t>
      </w:r>
    </w:p>
    <w:p>
      <w:pPr>
        <w:pStyle w:val="ListBullet"/>
        <w:spacing w:after="40"/>
      </w:pPr>
      <w:r>
        <w:t>Strands policy: receive the same structured evidence; produce schema-validated action, evidence references, confidence/uncertainty, and rationale.</w:t>
      </w:r>
    </w:p>
    <w:p>
      <w:pPr>
        <w:pStyle w:val="ListBullet"/>
        <w:spacing w:after="40"/>
      </w:pPr>
      <w:r>
        <w:t>Independent policy gate: validate action allowlist, privacy budget, data scope, and maximum compute/communication before any recovery executes.</w:t>
      </w:r>
    </w:p>
    <w:p>
      <w:pPr>
        <w:pStyle w:val="ListBullet"/>
        <w:spacing w:after="40"/>
      </w:pPr>
      <w:r>
        <w:t>The agent cannot set or modify ε/δ, bypass the accountant, access raw patient records unnecessarily, or directly execute unrestricted training.</w:t>
      </w:r>
    </w:p>
    <w:p>
      <w:pPr>
        <w:pStyle w:val="ListBullet"/>
        <w:spacing w:after="40"/>
      </w:pPr>
      <w:r>
        <w:t>Log model/provider/version, system prompt, tool schemas, temperature or equivalent sampling configuration, input evidence, output, tool calls, latency, token/API cost, and gate outcome.</w:t>
      </w:r>
    </w:p>
    <w:p>
      <w:pPr>
        <w:pStyle w:val="ListBullet"/>
        <w:spacing w:after="40"/>
      </w:pPr>
      <w:r>
        <w:t>Use identical scenario seeds and action choices for paired comparisons; repeat agent runs to measure variability.</w:t>
      </w:r>
    </w:p>
    <w:p>
      <w:pPr>
        <w:pStyle w:val="Heading2"/>
        <w:keepNext/>
      </w:pPr>
      <w:r>
        <w:t>Phase 4 — Multimodal extension (only after Phase 1–3 work)</w:t>
      </w:r>
    </w:p>
    <w:p>
      <w:pPr>
        <w:pStyle w:val="ListBullet"/>
        <w:spacing w:after="40"/>
      </w:pPr>
      <w:r>
        <w:t>Add MIMIC-CXR as a second modality and establish patient/study linkage without leakage.</w:t>
      </w:r>
    </w:p>
    <w:p>
      <w:pPr>
        <w:pStyle w:val="ListBullet"/>
        <w:spacing w:after="40"/>
      </w:pPr>
      <w:r>
        <w:t>Define modality-specific drift injection and ground-truth labels.</w:t>
      </w:r>
    </w:p>
    <w:p>
      <w:pPr>
        <w:pStyle w:val="ListBullet"/>
        <w:spacing w:after="40"/>
      </w:pPr>
      <w:r>
        <w:t>Only then report modality attribution and joint client–modality attribution.</w:t>
      </w:r>
    </w:p>
    <w:p>
      <w:pPr>
        <w:pStyle w:val="ListBullet"/>
        <w:spacing w:after="40"/>
      </w:pPr>
      <w:r>
        <w:t>Consider radiology reports/MIMIC-IV-Note later, after verifying access conditions and preventing temporal text leakage.</w:t>
      </w:r>
    </w:p>
    <w:p>
      <w:pPr>
        <w:pStyle w:val="ListBullet"/>
        <w:spacing w:after="40"/>
      </w:pPr>
      <w:r>
        <w:t>Report that MIMIC data come from a single institutional source; simulated partitions do not establish external-hospital generalization.</w:t>
      </w:r>
    </w:p>
    <w:p>
      <w:pPr>
        <w:pStyle w:val="Heading1"/>
        <w:keepNext/>
      </w:pPr>
      <w:r>
        <w:t>6. Differential privacy requirements</w:t>
      </w:r>
    </w:p>
    <w:p>
      <w:r>
        <w:t>Privacy unit must be selected before the mechanism is implemented. The earlier draft mixed record-level adjacency with clipping whole client updates; those are not interchangeable. Clipping a client's full update naturally bounds client influence and may support a client-level guarantee under the right assumptions. It does not by itself establish record-level DP because one record can affect the entire local update.</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7365D"/>
          </w:tcPr>
          <w:p>
            <w:pPr>
              <w:spacing w:after="20" w:before="20"/>
            </w:pPr>
            <w:r/>
            <w:r>
              <w:rPr>
                <w:rFonts w:ascii="Aptos" w:hAnsi="Aptos"/>
                <w:b/>
                <w:color w:val="FFFFFF"/>
                <w:sz w:val="16"/>
              </w:rPr>
              <w:t>Design item</w:t>
            </w:r>
          </w:p>
        </w:tc>
        <w:tc>
          <w:tcPr>
            <w:tcW w:type="dxa" w:w="8568"/>
            <w:vAlign w:val="center"/>
            <w:shd w:fill="17365D"/>
          </w:tcPr>
          <w:p>
            <w:pPr>
              <w:spacing w:after="20" w:before="20"/>
            </w:pPr>
            <w:r/>
            <w:r>
              <w:rPr>
                <w:rFonts w:ascii="Aptos" w:hAnsi="Aptos"/>
                <w:b/>
                <w:color w:val="FFFFFF"/>
                <w:sz w:val="16"/>
              </w:rPr>
              <w:t>Required specification / caution</w:t>
            </w:r>
          </w:p>
        </w:tc>
      </w:tr>
      <w:tr>
        <w:tc>
          <w:tcPr>
            <w:tcW w:type="dxa" w:w="1944"/>
            <w:vAlign w:val="center"/>
          </w:tcPr>
          <w:p>
            <w:pPr>
              <w:spacing w:after="20" w:before="20"/>
            </w:pPr>
            <w:r/>
            <w:r>
              <w:rPr>
                <w:rFonts w:ascii="Aptos" w:hAnsi="Aptos"/>
                <w:b w:val="0"/>
                <w:sz w:val="16"/>
              </w:rPr>
              <w:t>Privacy unit</w:t>
            </w:r>
          </w:p>
        </w:tc>
        <w:tc>
          <w:tcPr>
            <w:tcW w:type="dxa" w:w="8568"/>
            <w:vAlign w:val="center"/>
          </w:tcPr>
          <w:p>
            <w:pPr>
              <w:spacing w:after="20" w:before="20"/>
            </w:pPr>
            <w:r/>
            <w:r>
              <w:rPr>
                <w:rFonts w:ascii="Aptos" w:hAnsi="Aptos"/>
                <w:b w:val="0"/>
                <w:sz w:val="16"/>
              </w:rPr>
              <w:t>Choose record-level or client-level explicitly. Do not call record-level privacy patient-level privacy. For patient-level protection, bound a patient's total contribution across stays/records.</w:t>
            </w:r>
          </w:p>
        </w:tc>
      </w:tr>
      <w:tr>
        <w:tc>
          <w:tcPr>
            <w:tcW w:type="dxa" w:w="1944"/>
            <w:vAlign w:val="center"/>
            <w:shd w:fill="F2F6FA"/>
          </w:tcPr>
          <w:p>
            <w:pPr>
              <w:spacing w:after="20" w:before="20"/>
            </w:pPr>
            <w:r/>
            <w:r>
              <w:rPr>
                <w:rFonts w:ascii="Aptos" w:hAnsi="Aptos"/>
                <w:b w:val="0"/>
                <w:sz w:val="16"/>
              </w:rPr>
              <w:t>Adjacency</w:t>
            </w:r>
          </w:p>
        </w:tc>
        <w:tc>
          <w:tcPr>
            <w:tcW w:type="dxa" w:w="8568"/>
            <w:vAlign w:val="center"/>
            <w:shd w:fill="F2F6FA"/>
          </w:tcPr>
          <w:p>
            <w:pPr>
              <w:spacing w:after="20" w:before="20"/>
            </w:pPr>
            <w:r/>
            <w:r>
              <w:rPr>
                <w:rFonts w:ascii="Aptos" w:hAnsi="Aptos"/>
                <w:b w:val="0"/>
                <w:sz w:val="16"/>
              </w:rPr>
              <w:t>State add/remove or substitute-one adjacency and use it consistently in sensitivity and accounting.</w:t>
            </w:r>
          </w:p>
        </w:tc>
      </w:tr>
      <w:tr>
        <w:tc>
          <w:tcPr>
            <w:tcW w:type="dxa" w:w="1944"/>
            <w:vAlign w:val="center"/>
          </w:tcPr>
          <w:p>
            <w:pPr>
              <w:spacing w:after="20" w:before="20"/>
            </w:pPr>
            <w:r/>
            <w:r>
              <w:rPr>
                <w:rFonts w:ascii="Aptos" w:hAnsi="Aptos"/>
                <w:b w:val="0"/>
                <w:sz w:val="16"/>
              </w:rPr>
              <w:t>Mechanism</w:t>
            </w:r>
          </w:p>
        </w:tc>
        <w:tc>
          <w:tcPr>
            <w:tcW w:type="dxa" w:w="8568"/>
            <w:vAlign w:val="center"/>
          </w:tcPr>
          <w:p>
            <w:pPr>
              <w:spacing w:after="20" w:before="20"/>
            </w:pPr>
            <w:r/>
            <w:r>
              <w:rPr>
                <w:rFonts w:ascii="Aptos" w:hAnsi="Aptos"/>
                <w:b w:val="0"/>
                <w:sz w:val="16"/>
              </w:rPr>
              <w:t>Document where clipping occurs, what is clipped, the norm bound, aggregation rule, noise distribution/scale, and sensitivity derivation.</w:t>
            </w:r>
          </w:p>
        </w:tc>
      </w:tr>
      <w:tr>
        <w:tc>
          <w:tcPr>
            <w:tcW w:type="dxa" w:w="1944"/>
            <w:vAlign w:val="center"/>
            <w:shd w:fill="F2F6FA"/>
          </w:tcPr>
          <w:p>
            <w:pPr>
              <w:spacing w:after="20" w:before="20"/>
            </w:pPr>
            <w:r/>
            <w:r>
              <w:rPr>
                <w:rFonts w:ascii="Aptos" w:hAnsi="Aptos"/>
                <w:b w:val="0"/>
                <w:sz w:val="16"/>
              </w:rPr>
              <w:t>Sampling</w:t>
            </w:r>
          </w:p>
        </w:tc>
        <w:tc>
          <w:tcPr>
            <w:tcW w:type="dxa" w:w="8568"/>
            <w:vAlign w:val="center"/>
            <w:shd w:fill="F2F6FA"/>
          </w:tcPr>
          <w:p>
            <w:pPr>
              <w:spacing w:after="20" w:before="20"/>
            </w:pPr>
            <w:r/>
            <w:r>
              <w:rPr>
                <w:rFonts w:ascii="Aptos" w:hAnsi="Aptos"/>
                <w:b w:val="0"/>
                <w:sz w:val="16"/>
              </w:rPr>
              <w:t>Describe actual client and record sampling. With 3–5 clients and all clients participating each round, do not claim client-subsampling amplification.</w:t>
            </w:r>
          </w:p>
        </w:tc>
      </w:tr>
      <w:tr>
        <w:tc>
          <w:tcPr>
            <w:tcW w:type="dxa" w:w="1944"/>
            <w:vAlign w:val="center"/>
          </w:tcPr>
          <w:p>
            <w:pPr>
              <w:spacing w:after="20" w:before="20"/>
            </w:pPr>
            <w:r/>
            <w:r>
              <w:rPr>
                <w:rFonts w:ascii="Aptos" w:hAnsi="Aptos"/>
                <w:b w:val="0"/>
                <w:sz w:val="16"/>
              </w:rPr>
              <w:t>Accountant</w:t>
            </w:r>
          </w:p>
        </w:tc>
        <w:tc>
          <w:tcPr>
            <w:tcW w:type="dxa" w:w="8568"/>
            <w:vAlign w:val="center"/>
          </w:tcPr>
          <w:p>
            <w:pPr>
              <w:spacing w:after="20" w:before="20"/>
            </w:pPr>
            <w:r/>
            <w:r>
              <w:rPr>
                <w:rFonts w:ascii="Aptos" w:hAnsi="Aptos"/>
                <w:b w:val="0"/>
                <w:sz w:val="16"/>
              </w:rPr>
              <w:t>Use a tested RDP or PRV accountant compatible with the mechanism and sampling scheme; log accountant state and all assumptions.</w:t>
            </w:r>
          </w:p>
        </w:tc>
      </w:tr>
      <w:tr>
        <w:tc>
          <w:tcPr>
            <w:tcW w:type="dxa" w:w="1944"/>
            <w:vAlign w:val="center"/>
            <w:shd w:fill="F2F6FA"/>
          </w:tcPr>
          <w:p>
            <w:pPr>
              <w:spacing w:after="20" w:before="20"/>
            </w:pPr>
            <w:r/>
            <w:r>
              <w:rPr>
                <w:rFonts w:ascii="Aptos" w:hAnsi="Aptos"/>
                <w:b w:val="0"/>
                <w:sz w:val="16"/>
              </w:rPr>
              <w:t>Cumulative ledger</w:t>
            </w:r>
          </w:p>
        </w:tc>
        <w:tc>
          <w:tcPr>
            <w:tcW w:type="dxa" w:w="8568"/>
            <w:vAlign w:val="center"/>
            <w:shd w:fill="F2F6FA"/>
          </w:tcPr>
          <w:p>
            <w:pPr>
              <w:spacing w:after="20" w:before="20"/>
            </w:pPr>
            <w:r/>
            <w:r>
              <w:rPr>
                <w:rFonts w:ascii="Aptos" w:hAnsi="Aptos"/>
                <w:b w:val="0"/>
                <w:sz w:val="16"/>
              </w:rPr>
              <w:t>Compose privacy loss across every base-training round, detector release, and additional private recovery round. Set a maximum budget in advance.</w:t>
            </w:r>
          </w:p>
        </w:tc>
      </w:tr>
      <w:tr>
        <w:tc>
          <w:tcPr>
            <w:tcW w:type="dxa" w:w="1944"/>
            <w:vAlign w:val="center"/>
          </w:tcPr>
          <w:p>
            <w:pPr>
              <w:spacing w:after="20" w:before="20"/>
            </w:pPr>
            <w:r/>
            <w:r>
              <w:rPr>
                <w:rFonts w:ascii="Aptos" w:hAnsi="Aptos"/>
                <w:b w:val="0"/>
                <w:sz w:val="16"/>
              </w:rPr>
              <w:t>Detector signals</w:t>
            </w:r>
          </w:p>
        </w:tc>
        <w:tc>
          <w:tcPr>
            <w:tcW w:type="dxa" w:w="8568"/>
            <w:vAlign w:val="center"/>
          </w:tcPr>
          <w:p>
            <w:pPr>
              <w:spacing w:after="20" w:before="20"/>
            </w:pPr>
            <w:r/>
            <w:r>
              <w:rPr>
                <w:rFonts w:ascii="Aptos" w:hAnsi="Aptos"/>
                <w:b w:val="0"/>
                <w:sz w:val="16"/>
              </w:rPr>
              <w:t>Loss, accuracy, gradients, embeddings, modality scores, or other messages sent to the server require protection/accounting if they depend on protected data.</w:t>
            </w:r>
          </w:p>
        </w:tc>
      </w:tr>
      <w:tr>
        <w:tc>
          <w:tcPr>
            <w:tcW w:type="dxa" w:w="1944"/>
            <w:vAlign w:val="center"/>
            <w:shd w:fill="F2F6FA"/>
          </w:tcPr>
          <w:p>
            <w:pPr>
              <w:spacing w:after="20" w:before="20"/>
            </w:pPr>
            <w:r/>
            <w:r>
              <w:rPr>
                <w:rFonts w:ascii="Aptos" w:hAnsi="Aptos"/>
                <w:b w:val="0"/>
                <w:sz w:val="16"/>
              </w:rPr>
              <w:t>Threat model</w:t>
            </w:r>
          </w:p>
        </w:tc>
        <w:tc>
          <w:tcPr>
            <w:tcW w:type="dxa" w:w="8568"/>
            <w:vAlign w:val="center"/>
            <w:shd w:fill="F2F6FA"/>
          </w:tcPr>
          <w:p>
            <w:pPr>
              <w:spacing w:after="20" w:before="20"/>
            </w:pPr>
            <w:r/>
            <w:r>
              <w:rPr>
                <w:rFonts w:ascii="Aptos" w:hAnsi="Aptos"/>
                <w:b w:val="0"/>
                <w:sz w:val="16"/>
              </w:rPr>
              <w:t>State whether the central server is trusted. Secure aggregation can hide individual updates from the server but is not itself differential privacy.</w:t>
            </w:r>
          </w:p>
        </w:tc>
      </w:tr>
      <w:tr>
        <w:tc>
          <w:tcPr>
            <w:tcW w:type="dxa" w:w="1944"/>
            <w:vAlign w:val="center"/>
          </w:tcPr>
          <w:p>
            <w:pPr>
              <w:spacing w:after="20" w:before="20"/>
            </w:pPr>
            <w:r/>
            <w:r>
              <w:rPr>
                <w:rFonts w:ascii="Aptos" w:hAnsi="Aptos"/>
                <w:b w:val="0"/>
                <w:sz w:val="16"/>
              </w:rPr>
              <w:t>Validation</w:t>
            </w:r>
          </w:p>
        </w:tc>
        <w:tc>
          <w:tcPr>
            <w:tcW w:type="dxa" w:w="8568"/>
            <w:vAlign w:val="center"/>
          </w:tcPr>
          <w:p>
            <w:pPr>
              <w:spacing w:after="20" w:before="20"/>
            </w:pPr>
            <w:r/>
            <w:r>
              <w:rPr>
                <w:rFonts w:ascii="Aptos" w:hAnsi="Aptos"/>
                <w:b w:val="0"/>
                <w:sz w:val="16"/>
              </w:rPr>
              <w:t>Cross-check the accountant against a second implementation or a published test calculation before reporting results.</w:t>
            </w:r>
          </w:p>
        </w:tc>
      </w:tr>
    </w:tbl>
    <w:p>
      <w:pPr>
        <w:spacing w:after="20"/>
      </w:pPr>
    </w:p>
    <w:p>
      <w:r>
        <w:t>Suggested starting point: a central-DP FL mechanism if the trust model permits it, with clipped client updates, secure aggregation where supported, Gaussian noise, and a compatible accountant. If the scientific question specifically requires record-level DP, use an algorithm/accountant that actually establishes record-level DP; do not simply reuse client-update clipping.</w:t>
      </w:r>
    </w:p>
    <w:p>
      <w:pPr>
        <w:pStyle w:val="Heading1"/>
        <w:keepNext/>
      </w:pPr>
      <w:r>
        <w:t>7. Rule-based versus Strands recovery policies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before="20"/>
            </w:pPr>
            <w:r/>
            <w:r>
              <w:rPr>
                <w:rFonts w:ascii="Aptos" w:hAnsi="Aptos"/>
                <w:b/>
                <w:color w:val="FFFFFF"/>
                <w:sz w:val="15"/>
              </w:rPr>
              <w:t>Dimension</w:t>
            </w:r>
          </w:p>
        </w:tc>
        <w:tc>
          <w:tcPr>
            <w:tcW w:type="dxa" w:w="4248"/>
            <w:vAlign w:val="center"/>
            <w:shd w:fill="17365D"/>
          </w:tcPr>
          <w:p>
            <w:pPr>
              <w:spacing w:after="20" w:before="20"/>
            </w:pPr>
            <w:r/>
            <w:r>
              <w:rPr>
                <w:rFonts w:ascii="Aptos" w:hAnsi="Aptos"/>
                <w:b/>
                <w:color w:val="FFFFFF"/>
                <w:sz w:val="15"/>
              </w:rPr>
              <w:t>Rule-based controller</w:t>
            </w:r>
          </w:p>
        </w:tc>
        <w:tc>
          <w:tcPr>
            <w:tcW w:type="dxa" w:w="4464"/>
            <w:vAlign w:val="center"/>
            <w:shd w:fill="17365D"/>
          </w:tcPr>
          <w:p>
            <w:pPr>
              <w:spacing w:after="20" w:before="20"/>
            </w:pPr>
            <w:r/>
            <w:r>
              <w:rPr>
                <w:rFonts w:ascii="Aptos" w:hAnsi="Aptos"/>
                <w:b/>
                <w:color w:val="FFFFFF"/>
                <w:sz w:val="15"/>
              </w:rPr>
              <w:t>Strands-agent controller</w:t>
            </w:r>
          </w:p>
        </w:tc>
      </w:tr>
      <w:tr>
        <w:tc>
          <w:tcPr>
            <w:tcW w:type="dxa" w:w="1800"/>
            <w:vAlign w:val="center"/>
          </w:tcPr>
          <w:p>
            <w:pPr>
              <w:spacing w:after="20" w:before="20"/>
            </w:pPr>
            <w:r/>
            <w:r>
              <w:rPr>
                <w:rFonts w:ascii="Aptos" w:hAnsi="Aptos"/>
                <w:b w:val="0"/>
                <w:sz w:val="15"/>
              </w:rPr>
              <w:t>Input</w:t>
            </w:r>
          </w:p>
        </w:tc>
        <w:tc>
          <w:tcPr>
            <w:tcW w:type="dxa" w:w="4248"/>
            <w:vAlign w:val="center"/>
          </w:tcPr>
          <w:p>
            <w:pPr>
              <w:spacing w:after="20" w:before="20"/>
            </w:pPr>
            <w:r/>
            <w:r>
              <w:rPr>
                <w:rFonts w:ascii="Aptos" w:hAnsi="Aptos"/>
                <w:b w:val="0"/>
                <w:sz w:val="15"/>
              </w:rPr>
              <w:t>Structured drift/performance/privacy signals.</w:t>
            </w:r>
          </w:p>
        </w:tc>
        <w:tc>
          <w:tcPr>
            <w:tcW w:type="dxa" w:w="4464"/>
            <w:vAlign w:val="center"/>
          </w:tcPr>
          <w:p>
            <w:pPr>
              <w:spacing w:after="20" w:before="20"/>
            </w:pPr>
            <w:r/>
            <w:r>
              <w:rPr>
                <w:rFonts w:ascii="Aptos" w:hAnsi="Aptos"/>
                <w:b w:val="0"/>
                <w:sz w:val="15"/>
              </w:rPr>
              <w:t>Exactly the same structured signals; no extra privileged information.</w:t>
            </w:r>
          </w:p>
        </w:tc>
      </w:tr>
      <w:tr>
        <w:tc>
          <w:tcPr>
            <w:tcW w:type="dxa" w:w="1800"/>
            <w:vAlign w:val="center"/>
            <w:shd w:fill="F2F6FA"/>
          </w:tcPr>
          <w:p>
            <w:pPr>
              <w:spacing w:after="20" w:before="20"/>
            </w:pPr>
            <w:r/>
            <w:r>
              <w:rPr>
                <w:rFonts w:ascii="Aptos" w:hAnsi="Aptos"/>
                <w:b w:val="0"/>
                <w:sz w:val="15"/>
              </w:rPr>
              <w:t>Decision logic</w:t>
            </w:r>
          </w:p>
        </w:tc>
        <w:tc>
          <w:tcPr>
            <w:tcW w:type="dxa" w:w="4248"/>
            <w:vAlign w:val="center"/>
            <w:shd w:fill="F2F6FA"/>
          </w:tcPr>
          <w:p>
            <w:pPr>
              <w:spacing w:after="20" w:before="20"/>
            </w:pPr>
            <w:r/>
            <w:r>
              <w:rPr>
                <w:rFonts w:ascii="Aptos" w:hAnsi="Aptos"/>
                <w:b w:val="0"/>
                <w:sz w:val="15"/>
              </w:rPr>
              <w:t>Predefined deterministic rules and thresholds.</w:t>
            </w:r>
          </w:p>
        </w:tc>
        <w:tc>
          <w:tcPr>
            <w:tcW w:type="dxa" w:w="4464"/>
            <w:vAlign w:val="center"/>
            <w:shd w:fill="F2F6FA"/>
          </w:tcPr>
          <w:p>
            <w:pPr>
              <w:spacing w:after="20" w:before="20"/>
            </w:pPr>
            <w:r/>
            <w:r>
              <w:rPr>
                <w:rFonts w:ascii="Aptos" w:hAnsi="Aptos"/>
                <w:b w:val="0"/>
                <w:sz w:val="15"/>
              </w:rPr>
              <w:t>LLM interprets evidence and proposes one action from a constrained allowlist.</w:t>
            </w:r>
          </w:p>
        </w:tc>
      </w:tr>
      <w:tr>
        <w:tc>
          <w:tcPr>
            <w:tcW w:type="dxa" w:w="1800"/>
            <w:vAlign w:val="center"/>
          </w:tcPr>
          <w:p>
            <w:pPr>
              <w:spacing w:after="20" w:before="20"/>
            </w:pPr>
            <w:r/>
            <w:r>
              <w:rPr>
                <w:rFonts w:ascii="Aptos" w:hAnsi="Aptos"/>
                <w:b w:val="0"/>
                <w:sz w:val="15"/>
              </w:rPr>
              <w:t>Reproducibility</w:t>
            </w:r>
          </w:p>
        </w:tc>
        <w:tc>
          <w:tcPr>
            <w:tcW w:type="dxa" w:w="4248"/>
            <w:vAlign w:val="center"/>
          </w:tcPr>
          <w:p>
            <w:pPr>
              <w:spacing w:after="20" w:before="20"/>
            </w:pPr>
            <w:r/>
            <w:r>
              <w:rPr>
                <w:rFonts w:ascii="Aptos" w:hAnsi="Aptos"/>
                <w:b w:val="0"/>
                <w:sz w:val="15"/>
              </w:rPr>
              <w:t>High if rules and thresholds are fixed.</w:t>
            </w:r>
          </w:p>
        </w:tc>
        <w:tc>
          <w:tcPr>
            <w:tcW w:type="dxa" w:w="4464"/>
            <w:vAlign w:val="center"/>
          </w:tcPr>
          <w:p>
            <w:pPr>
              <w:spacing w:after="20" w:before="20"/>
            </w:pPr>
            <w:r/>
            <w:r>
              <w:rPr>
                <w:rFonts w:ascii="Aptos" w:hAnsi="Aptos"/>
                <w:b w:val="0"/>
                <w:sz w:val="15"/>
              </w:rPr>
              <w:t>Requires versioned model/provider, prompt, tool schema, sampling settings, and repeated runs.</w:t>
            </w:r>
          </w:p>
        </w:tc>
      </w:tr>
      <w:tr>
        <w:tc>
          <w:tcPr>
            <w:tcW w:type="dxa" w:w="1800"/>
            <w:vAlign w:val="center"/>
            <w:shd w:fill="F2F6FA"/>
          </w:tcPr>
          <w:p>
            <w:pPr>
              <w:spacing w:after="20" w:before="20"/>
            </w:pPr>
            <w:r/>
            <w:r>
              <w:rPr>
                <w:rFonts w:ascii="Aptos" w:hAnsi="Aptos"/>
                <w:b w:val="0"/>
                <w:sz w:val="15"/>
              </w:rPr>
              <w:t>Expected strengths</w:t>
            </w:r>
          </w:p>
        </w:tc>
        <w:tc>
          <w:tcPr>
            <w:tcW w:type="dxa" w:w="4248"/>
            <w:vAlign w:val="center"/>
            <w:shd w:fill="F2F6FA"/>
          </w:tcPr>
          <w:p>
            <w:pPr>
              <w:spacing w:after="20" w:before="20"/>
            </w:pPr>
            <w:r/>
            <w:r>
              <w:rPr>
                <w:rFonts w:ascii="Aptos" w:hAnsi="Aptos"/>
                <w:b w:val="0"/>
                <w:sz w:val="15"/>
              </w:rPr>
              <w:t>Low cost, fast, transparent, easy to validate.</w:t>
            </w:r>
          </w:p>
        </w:tc>
        <w:tc>
          <w:tcPr>
            <w:tcW w:type="dxa" w:w="4464"/>
            <w:vAlign w:val="center"/>
            <w:shd w:fill="F2F6FA"/>
          </w:tcPr>
          <w:p>
            <w:pPr>
              <w:spacing w:after="20" w:before="20"/>
            </w:pPr>
            <w:r/>
            <w:r>
              <w:rPr>
                <w:rFonts w:ascii="Aptos" w:hAnsi="Aptos"/>
                <w:b w:val="0"/>
                <w:sz w:val="15"/>
              </w:rPr>
              <w:t>May combine multiple signals and handle ambiguous or compound scenarios.</w:t>
            </w:r>
          </w:p>
        </w:tc>
      </w:tr>
      <w:tr>
        <w:tc>
          <w:tcPr>
            <w:tcW w:type="dxa" w:w="1800"/>
            <w:vAlign w:val="center"/>
          </w:tcPr>
          <w:p>
            <w:pPr>
              <w:spacing w:after="20" w:before="20"/>
            </w:pPr>
            <w:r/>
            <w:r>
              <w:rPr>
                <w:rFonts w:ascii="Aptos" w:hAnsi="Aptos"/>
                <w:b w:val="0"/>
                <w:sz w:val="15"/>
              </w:rPr>
              <w:t>Expected risks</w:t>
            </w:r>
          </w:p>
        </w:tc>
        <w:tc>
          <w:tcPr>
            <w:tcW w:type="dxa" w:w="4248"/>
            <w:vAlign w:val="center"/>
          </w:tcPr>
          <w:p>
            <w:pPr>
              <w:spacing w:after="20" w:before="20"/>
            </w:pPr>
            <w:r/>
            <w:r>
              <w:rPr>
                <w:rFonts w:ascii="Aptos" w:hAnsi="Aptos"/>
                <w:b w:val="0"/>
                <w:sz w:val="15"/>
              </w:rPr>
              <w:t>Rigid thresholds; can fail outside anticipated scenarios.</w:t>
            </w:r>
          </w:p>
        </w:tc>
        <w:tc>
          <w:tcPr>
            <w:tcW w:type="dxa" w:w="4464"/>
            <w:vAlign w:val="center"/>
          </w:tcPr>
          <w:p>
            <w:pPr>
              <w:spacing w:after="20" w:before="20"/>
            </w:pPr>
            <w:r/>
            <w:r>
              <w:rPr>
                <w:rFonts w:ascii="Aptos" w:hAnsi="Aptos"/>
                <w:b w:val="0"/>
                <w:sz w:val="15"/>
              </w:rPr>
              <w:t>Hallucinated rationale, inconsistent actions, latency, token/API cost, prompt/tool failure.</w:t>
            </w:r>
          </w:p>
        </w:tc>
      </w:tr>
      <w:tr>
        <w:tc>
          <w:tcPr>
            <w:tcW w:type="dxa" w:w="1800"/>
            <w:vAlign w:val="center"/>
            <w:shd w:fill="F2F6FA"/>
          </w:tcPr>
          <w:p>
            <w:pPr>
              <w:spacing w:after="20" w:before="20"/>
            </w:pPr>
            <w:r/>
            <w:r>
              <w:rPr>
                <w:rFonts w:ascii="Aptos" w:hAnsi="Aptos"/>
                <w:b w:val="0"/>
                <w:sz w:val="15"/>
              </w:rPr>
              <w:t>Safety mechanism</w:t>
            </w:r>
          </w:p>
        </w:tc>
        <w:tc>
          <w:tcPr>
            <w:tcW w:type="dxa" w:w="4248"/>
            <w:vAlign w:val="center"/>
            <w:shd w:fill="F2F6FA"/>
          </w:tcPr>
          <w:p>
            <w:pPr>
              <w:spacing w:after="20" w:before="20"/>
            </w:pPr>
            <w:r/>
            <w:r>
              <w:rPr>
                <w:rFonts w:ascii="Aptos" w:hAnsi="Aptos"/>
                <w:b w:val="0"/>
                <w:sz w:val="15"/>
              </w:rPr>
              <w:t>Validate rule outputs against the same action/privacy gate.</w:t>
            </w:r>
          </w:p>
        </w:tc>
        <w:tc>
          <w:tcPr>
            <w:tcW w:type="dxa" w:w="4464"/>
            <w:vAlign w:val="center"/>
            <w:shd w:fill="F2F6FA"/>
          </w:tcPr>
          <w:p>
            <w:pPr>
              <w:spacing w:after="20" w:before="20"/>
            </w:pPr>
            <w:r/>
            <w:r>
              <w:rPr>
                <w:rFonts w:ascii="Aptos" w:hAnsi="Aptos"/>
                <w:b w:val="0"/>
                <w:sz w:val="15"/>
              </w:rPr>
              <w:t>Independent deterministic gate rejects invalid, over-budget, or unauthorized actions.</w:t>
            </w:r>
          </w:p>
        </w:tc>
      </w:tr>
      <w:tr>
        <w:tc>
          <w:tcPr>
            <w:tcW w:type="dxa" w:w="1800"/>
            <w:vAlign w:val="center"/>
          </w:tcPr>
          <w:p>
            <w:pPr>
              <w:spacing w:after="20" w:before="20"/>
            </w:pPr>
            <w:r/>
            <w:r>
              <w:rPr>
                <w:rFonts w:ascii="Aptos" w:hAnsi="Aptos"/>
                <w:b w:val="0"/>
                <w:sz w:val="15"/>
              </w:rPr>
              <w:t>Fair comparison</w:t>
            </w:r>
          </w:p>
        </w:tc>
        <w:tc>
          <w:tcPr>
            <w:tcW w:type="dxa" w:w="4248"/>
            <w:vAlign w:val="center"/>
          </w:tcPr>
          <w:p>
            <w:pPr>
              <w:spacing w:after="20" w:before="20"/>
            </w:pPr>
            <w:r/>
            <w:r>
              <w:rPr>
                <w:rFonts w:ascii="Aptos" w:hAnsi="Aptos"/>
                <w:b w:val="0"/>
                <w:sz w:val="15"/>
              </w:rPr>
              <w:t>Same scenarios, evidence, action space, privacy limits, and compute budget.</w:t>
            </w:r>
          </w:p>
        </w:tc>
        <w:tc>
          <w:tcPr>
            <w:tcW w:type="dxa" w:w="4464"/>
            <w:vAlign w:val="center"/>
          </w:tcPr>
          <w:p>
            <w:pPr>
              <w:spacing w:after="20" w:before="20"/>
            </w:pPr>
            <w:r/>
            <w:r>
              <w:rPr>
                <w:rFonts w:ascii="Aptos" w:hAnsi="Aptos"/>
                <w:b w:val="0"/>
                <w:sz w:val="15"/>
              </w:rPr>
              <w:t>Same scenarios, evidence, action space, privacy limits, and compute budget; report agent overhead separately.</w:t>
            </w:r>
          </w:p>
        </w:tc>
      </w:tr>
    </w:tbl>
    <w:p>
      <w:pPr>
        <w:spacing w:after="20"/>
      </w:pPr>
    </w:p>
    <w:p>
      <w:pPr>
        <w:pStyle w:val="Heading2"/>
        <w:keepNext/>
      </w:pPr>
      <w:r>
        <w:t>Permitted recovery actions</w:t>
      </w:r>
    </w:p>
    <w:p>
      <w:pPr>
        <w:pStyle w:val="ListBullet"/>
        <w:spacing w:after="40"/>
      </w:pPr>
      <w:r>
        <w:t>No-op / monitor only.</w:t>
      </w:r>
    </w:p>
    <w:p>
      <w:pPr>
        <w:pStyle w:val="ListBullet"/>
        <w:spacing w:after="40"/>
      </w:pPr>
      <w:r>
        <w:t>Local/client-level recovery.</w:t>
      </w:r>
    </w:p>
    <w:p>
      <w:pPr>
        <w:pStyle w:val="ListBullet"/>
        <w:spacing w:after="40"/>
      </w:pPr>
      <w:r>
        <w:t>Group-level recovery, if the implementation has a defensible grouping method.</w:t>
      </w:r>
    </w:p>
    <w:p>
      <w:pPr>
        <w:pStyle w:val="ListBullet"/>
        <w:spacing w:after="40"/>
      </w:pPr>
      <w:r>
        <w:t>Global retraining.</w:t>
      </w:r>
    </w:p>
    <w:p>
      <w:pPr>
        <w:pStyle w:val="ListBullet"/>
        <w:spacing w:after="40"/>
      </w:pPr>
      <w:r>
        <w:t>Modality-specific recovery only after the multimodal extension.</w:t>
      </w:r>
    </w:p>
    <w:p>
      <w:r>
        <w:t>The action space should be identical for both controllers. The independent policy gate—not the agent—enforces privacy limits, maximum rounds, resource budgets, and the permitted action list.</w:t>
      </w:r>
    </w:p>
    <w:p>
      <w:pPr>
        <w:pStyle w:val="Heading1"/>
        <w:keepNext/>
      </w:pPr>
      <w:r>
        <w:t>8. Experimental design and metrics</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7365D"/>
          </w:tcPr>
          <w:p>
            <w:pPr>
              <w:spacing w:after="20" w:before="20"/>
            </w:pPr>
            <w:r/>
            <w:r>
              <w:rPr>
                <w:rFonts w:ascii="Aptos" w:hAnsi="Aptos"/>
                <w:b/>
                <w:color w:val="FFFFFF"/>
                <w:sz w:val="16"/>
              </w:rPr>
              <w:t>Outcome family</w:t>
            </w:r>
          </w:p>
        </w:tc>
        <w:tc>
          <w:tcPr>
            <w:tcW w:type="dxa" w:w="8568"/>
            <w:vAlign w:val="center"/>
            <w:shd w:fill="17365D"/>
          </w:tcPr>
          <w:p>
            <w:pPr>
              <w:spacing w:after="20" w:before="20"/>
            </w:pPr>
            <w:r/>
            <w:r>
              <w:rPr>
                <w:rFonts w:ascii="Aptos" w:hAnsi="Aptos"/>
                <w:b/>
                <w:color w:val="FFFFFF"/>
                <w:sz w:val="16"/>
              </w:rPr>
              <w:t>Measures</w:t>
            </w:r>
          </w:p>
        </w:tc>
      </w:tr>
      <w:tr>
        <w:tc>
          <w:tcPr>
            <w:tcW w:type="dxa" w:w="1944"/>
            <w:vAlign w:val="center"/>
          </w:tcPr>
          <w:p>
            <w:pPr>
              <w:spacing w:after="20" w:before="20"/>
            </w:pPr>
            <w:r/>
            <w:r>
              <w:rPr>
                <w:rFonts w:ascii="Aptos" w:hAnsi="Aptos"/>
                <w:b w:val="0"/>
                <w:sz w:val="16"/>
              </w:rPr>
              <w:t>Detection</w:t>
            </w:r>
          </w:p>
        </w:tc>
        <w:tc>
          <w:tcPr>
            <w:tcW w:type="dxa" w:w="8568"/>
            <w:vAlign w:val="center"/>
          </w:tcPr>
          <w:p>
            <w:pPr>
              <w:spacing w:after="20" w:before="20"/>
            </w:pPr>
            <w:r/>
            <w:r>
              <w:rPr>
                <w:rFonts w:ascii="Aptos" w:hAnsi="Aptos"/>
                <w:b w:val="0"/>
                <w:sz w:val="16"/>
              </w:rPr>
              <w:t>Event precision, recall, F1/AUPRC where appropriate; false alarms per client-window; missed-event rate; detection delay.</w:t>
            </w:r>
          </w:p>
        </w:tc>
      </w:tr>
      <w:tr>
        <w:tc>
          <w:tcPr>
            <w:tcW w:type="dxa" w:w="1944"/>
            <w:vAlign w:val="center"/>
            <w:shd w:fill="F2F6FA"/>
          </w:tcPr>
          <w:p>
            <w:pPr>
              <w:spacing w:after="20" w:before="20"/>
            </w:pPr>
            <w:r/>
            <w:r>
              <w:rPr>
                <w:rFonts w:ascii="Aptos" w:hAnsi="Aptos"/>
                <w:b w:val="0"/>
                <w:sz w:val="16"/>
              </w:rPr>
              <w:t>Attribution</w:t>
            </w:r>
          </w:p>
        </w:tc>
        <w:tc>
          <w:tcPr>
            <w:tcW w:type="dxa" w:w="8568"/>
            <w:vAlign w:val="center"/>
            <w:shd w:fill="F2F6FA"/>
          </w:tcPr>
          <w:p>
            <w:pPr>
              <w:spacing w:after="20" w:before="20"/>
            </w:pPr>
            <w:r/>
            <w:r>
              <w:rPr>
                <w:rFonts w:ascii="Aptos" w:hAnsi="Aptos"/>
                <w:b w:val="0"/>
                <w:sz w:val="16"/>
              </w:rPr>
              <w:t>Affected-client accuracy in Phase 1; modality and joint client–modality accuracy only after a second modality is integrated.</w:t>
            </w:r>
          </w:p>
        </w:tc>
      </w:tr>
      <w:tr>
        <w:tc>
          <w:tcPr>
            <w:tcW w:type="dxa" w:w="1944"/>
            <w:vAlign w:val="center"/>
          </w:tcPr>
          <w:p>
            <w:pPr>
              <w:spacing w:after="20" w:before="20"/>
            </w:pPr>
            <w:r/>
            <w:r>
              <w:rPr>
                <w:rFonts w:ascii="Aptos" w:hAnsi="Aptos"/>
                <w:b w:val="0"/>
                <w:sz w:val="16"/>
              </w:rPr>
              <w:t>Clinical utility</w:t>
            </w:r>
          </w:p>
        </w:tc>
        <w:tc>
          <w:tcPr>
            <w:tcW w:type="dxa" w:w="8568"/>
            <w:vAlign w:val="center"/>
          </w:tcPr>
          <w:p>
            <w:pPr>
              <w:spacing w:after="20" w:before="20"/>
            </w:pPr>
            <w:r/>
            <w:r>
              <w:rPr>
                <w:rFonts w:ascii="Aptos" w:hAnsi="Aptos"/>
                <w:b w:val="0"/>
                <w:sz w:val="16"/>
              </w:rPr>
              <w:t>AUROC, AUPRC, sensitivity/specificity at a prespecified operating point, Brier score/calibration, pre/post-drift degradation, recovery time, average-client and worst-client utility.</w:t>
            </w:r>
          </w:p>
        </w:tc>
      </w:tr>
      <w:tr>
        <w:tc>
          <w:tcPr>
            <w:tcW w:type="dxa" w:w="1944"/>
            <w:vAlign w:val="center"/>
            <w:shd w:fill="F2F6FA"/>
          </w:tcPr>
          <w:p>
            <w:pPr>
              <w:spacing w:after="20" w:before="20"/>
            </w:pPr>
            <w:r/>
            <w:r>
              <w:rPr>
                <w:rFonts w:ascii="Aptos" w:hAnsi="Aptos"/>
                <w:b w:val="0"/>
                <w:sz w:val="16"/>
              </w:rPr>
              <w:t>Recovery policy</w:t>
            </w:r>
          </w:p>
        </w:tc>
        <w:tc>
          <w:tcPr>
            <w:tcW w:type="dxa" w:w="8568"/>
            <w:vAlign w:val="center"/>
            <w:shd w:fill="F2F6FA"/>
          </w:tcPr>
          <w:p>
            <w:pPr>
              <w:spacing w:after="20" w:before="20"/>
            </w:pPr>
            <w:r/>
            <w:r>
              <w:rPr>
                <w:rFonts w:ascii="Aptos" w:hAnsi="Aptos"/>
                <w:b w:val="0"/>
                <w:sz w:val="16"/>
              </w:rPr>
              <w:t>Correct/appropriate action rate against scenario ground truth or prespecified policy criteria; recovery success; unnecessary recovery count; repeated recovery; abstention/monitor decisions.</w:t>
            </w:r>
          </w:p>
        </w:tc>
      </w:tr>
      <w:tr>
        <w:tc>
          <w:tcPr>
            <w:tcW w:type="dxa" w:w="1944"/>
            <w:vAlign w:val="center"/>
          </w:tcPr>
          <w:p>
            <w:pPr>
              <w:spacing w:after="20" w:before="20"/>
            </w:pPr>
            <w:r/>
            <w:r>
              <w:rPr>
                <w:rFonts w:ascii="Aptos" w:hAnsi="Aptos"/>
                <w:b w:val="0"/>
                <w:sz w:val="16"/>
              </w:rPr>
              <w:t>Cost</w:t>
            </w:r>
          </w:p>
        </w:tc>
        <w:tc>
          <w:tcPr>
            <w:tcW w:type="dxa" w:w="8568"/>
            <w:vAlign w:val="center"/>
          </w:tcPr>
          <w:p>
            <w:pPr>
              <w:spacing w:after="20" w:before="20"/>
            </w:pPr>
            <w:r/>
            <w:r>
              <w:rPr>
                <w:rFonts w:ascii="Aptos" w:hAnsi="Aptos"/>
                <w:b w:val="0"/>
                <w:sz w:val="16"/>
              </w:rPr>
              <w:t>Bytes transmitted, rounds, retraining FLOPs, wall-clock/runtime, adaptation count, agent latency, token/API cost.</w:t>
            </w:r>
          </w:p>
        </w:tc>
      </w:tr>
      <w:tr>
        <w:tc>
          <w:tcPr>
            <w:tcW w:type="dxa" w:w="1944"/>
            <w:vAlign w:val="center"/>
            <w:shd w:fill="F2F6FA"/>
          </w:tcPr>
          <w:p>
            <w:pPr>
              <w:spacing w:after="20" w:before="20"/>
            </w:pPr>
            <w:r/>
            <w:r>
              <w:rPr>
                <w:rFonts w:ascii="Aptos" w:hAnsi="Aptos"/>
                <w:b w:val="0"/>
                <w:sz w:val="16"/>
              </w:rPr>
              <w:t>Privacy</w:t>
            </w:r>
          </w:p>
        </w:tc>
        <w:tc>
          <w:tcPr>
            <w:tcW w:type="dxa" w:w="8568"/>
            <w:vAlign w:val="center"/>
            <w:shd w:fill="F2F6FA"/>
          </w:tcPr>
          <w:p>
            <w:pPr>
              <w:spacing w:after="20" w:before="20"/>
            </w:pPr>
            <w:r/>
            <w:r>
              <w:rPr>
                <w:rFonts w:ascii="Aptos" w:hAnsi="Aptos"/>
                <w:b w:val="0"/>
                <w:sz w:val="16"/>
              </w:rPr>
              <w:t>Realized cumulative ε and δ under the selected privacy unit and mechanism, logged after base training and each adaptation.</w:t>
            </w:r>
          </w:p>
        </w:tc>
      </w:tr>
      <w:tr>
        <w:tc>
          <w:tcPr>
            <w:tcW w:type="dxa" w:w="1944"/>
            <w:vAlign w:val="center"/>
          </w:tcPr>
          <w:p>
            <w:pPr>
              <w:spacing w:after="20" w:before="20"/>
            </w:pPr>
            <w:r/>
            <w:r>
              <w:rPr>
                <w:rFonts w:ascii="Aptos" w:hAnsi="Aptos"/>
                <w:b w:val="0"/>
                <w:sz w:val="16"/>
              </w:rPr>
              <w:t>Reliability</w:t>
            </w:r>
          </w:p>
        </w:tc>
        <w:tc>
          <w:tcPr>
            <w:tcW w:type="dxa" w:w="8568"/>
            <w:vAlign w:val="center"/>
          </w:tcPr>
          <w:p>
            <w:pPr>
              <w:spacing w:after="20" w:before="20"/>
            </w:pPr>
            <w:r/>
            <w:r>
              <w:rPr>
                <w:rFonts w:ascii="Aptos" w:hAnsi="Aptos"/>
                <w:b w:val="0"/>
                <w:sz w:val="16"/>
              </w:rPr>
              <w:t>Multiple seeds, confidence intervals, paired comparisons on shared scenario seeds, run-to-run agent consistency, invalid action and policy-gate rejection rates.</w:t>
            </w:r>
          </w:p>
        </w:tc>
      </w:tr>
    </w:tbl>
    <w:p>
      <w:pPr>
        <w:spacing w:after="20"/>
      </w:pPr>
    </w:p>
    <w:p>
      <w:pPr>
        <w:pStyle w:val="Heading2"/>
        <w:keepNext/>
      </w:pPr>
      <w:r>
        <w:t>Minimum baseline matrix</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7365D"/>
          </w:tcPr>
          <w:p>
            <w:pPr>
              <w:spacing w:after="20" w:before="20"/>
            </w:pPr>
            <w:r/>
            <w:r>
              <w:rPr>
                <w:rFonts w:ascii="Aptos" w:hAnsi="Aptos"/>
                <w:b/>
                <w:color w:val="FFFFFF"/>
                <w:sz w:val="16"/>
              </w:rPr>
              <w:t>Baseline / condition</w:t>
            </w:r>
          </w:p>
        </w:tc>
        <w:tc>
          <w:tcPr>
            <w:tcW w:type="dxa" w:w="7056"/>
            <w:vAlign w:val="center"/>
            <w:shd w:fill="17365D"/>
          </w:tcPr>
          <w:p>
            <w:pPr>
              <w:spacing w:after="20" w:before="20"/>
            </w:pPr>
            <w:r/>
            <w:r>
              <w:rPr>
                <w:rFonts w:ascii="Aptos" w:hAnsi="Aptos"/>
                <w:b/>
                <w:color w:val="FFFFFF"/>
                <w:sz w:val="16"/>
              </w:rPr>
              <w:t>Purpose</w:t>
            </w:r>
          </w:p>
        </w:tc>
      </w:tr>
      <w:tr>
        <w:tc>
          <w:tcPr>
            <w:tcW w:type="dxa" w:w="3456"/>
            <w:vAlign w:val="center"/>
          </w:tcPr>
          <w:p>
            <w:pPr>
              <w:spacing w:after="20" w:before="20"/>
            </w:pPr>
            <w:r/>
            <w:r>
              <w:rPr>
                <w:rFonts w:ascii="Aptos" w:hAnsi="Aptos"/>
                <w:b w:val="0"/>
                <w:sz w:val="16"/>
              </w:rPr>
              <w:t>Centralized reference</w:t>
            </w:r>
          </w:p>
        </w:tc>
        <w:tc>
          <w:tcPr>
            <w:tcW w:type="dxa" w:w="7056"/>
            <w:vAlign w:val="center"/>
          </w:tcPr>
          <w:p>
            <w:pPr>
              <w:spacing w:after="20" w:before="20"/>
            </w:pPr>
            <w:r/>
            <w:r>
              <w:rPr>
                <w:rFonts w:ascii="Aptos" w:hAnsi="Aptos"/>
                <w:b w:val="0"/>
                <w:sz w:val="16"/>
              </w:rPr>
              <w:t>Non-federated upper/reference point; not an FL baseline.</w:t>
            </w:r>
          </w:p>
        </w:tc>
      </w:tr>
      <w:tr>
        <w:tc>
          <w:tcPr>
            <w:tcW w:type="dxa" w:w="3456"/>
            <w:vAlign w:val="center"/>
            <w:shd w:fill="F2F6FA"/>
          </w:tcPr>
          <w:p>
            <w:pPr>
              <w:spacing w:after="20" w:before="20"/>
            </w:pPr>
            <w:r/>
            <w:r>
              <w:rPr>
                <w:rFonts w:ascii="Aptos" w:hAnsi="Aptos"/>
                <w:b w:val="0"/>
                <w:sz w:val="16"/>
              </w:rPr>
              <w:t>FedAvg, non-private</w:t>
            </w:r>
          </w:p>
        </w:tc>
        <w:tc>
          <w:tcPr>
            <w:tcW w:type="dxa" w:w="7056"/>
            <w:vAlign w:val="center"/>
            <w:shd w:fill="F2F6FA"/>
          </w:tcPr>
          <w:p>
            <w:pPr>
              <w:spacing w:after="20" w:before="20"/>
            </w:pPr>
            <w:r/>
            <w:r>
              <w:rPr>
                <w:rFonts w:ascii="Aptos" w:hAnsi="Aptos"/>
                <w:b w:val="0"/>
                <w:sz w:val="16"/>
              </w:rPr>
              <w:t>Stable federated baseline.</w:t>
            </w:r>
          </w:p>
        </w:tc>
      </w:tr>
      <w:tr>
        <w:tc>
          <w:tcPr>
            <w:tcW w:type="dxa" w:w="3456"/>
            <w:vAlign w:val="center"/>
          </w:tcPr>
          <w:p>
            <w:pPr>
              <w:spacing w:after="20" w:before="20"/>
            </w:pPr>
            <w:r/>
            <w:r>
              <w:rPr>
                <w:rFonts w:ascii="Aptos" w:hAnsi="Aptos"/>
                <w:b w:val="0"/>
                <w:sz w:val="16"/>
              </w:rPr>
              <w:t>FedAvg + formal DP</w:t>
            </w:r>
          </w:p>
        </w:tc>
        <w:tc>
          <w:tcPr>
            <w:tcW w:type="dxa" w:w="7056"/>
            <w:vAlign w:val="center"/>
          </w:tcPr>
          <w:p>
            <w:pPr>
              <w:spacing w:after="20" w:before="20"/>
            </w:pPr>
            <w:r/>
            <w:r>
              <w:rPr>
                <w:rFonts w:ascii="Aptos" w:hAnsi="Aptos"/>
                <w:b w:val="0"/>
                <w:sz w:val="16"/>
              </w:rPr>
              <w:t>Isolate privacy effects under the chosen guarantee.</w:t>
            </w:r>
          </w:p>
        </w:tc>
      </w:tr>
      <w:tr>
        <w:tc>
          <w:tcPr>
            <w:tcW w:type="dxa" w:w="3456"/>
            <w:vAlign w:val="center"/>
            <w:shd w:fill="F2F6FA"/>
          </w:tcPr>
          <w:p>
            <w:pPr>
              <w:spacing w:after="20" w:before="20"/>
            </w:pPr>
            <w:r/>
            <w:r>
              <w:rPr>
                <w:rFonts w:ascii="Aptos" w:hAnsi="Aptos"/>
                <w:b w:val="0"/>
                <w:sz w:val="16"/>
              </w:rPr>
              <w:t>Rule-based + no adaptation/global recovery</w:t>
            </w:r>
          </w:p>
        </w:tc>
        <w:tc>
          <w:tcPr>
            <w:tcW w:type="dxa" w:w="7056"/>
            <w:vAlign w:val="center"/>
            <w:shd w:fill="F2F6FA"/>
          </w:tcPr>
          <w:p>
            <w:pPr>
              <w:spacing w:after="20" w:before="20"/>
            </w:pPr>
            <w:r/>
            <w:r>
              <w:rPr>
                <w:rFonts w:ascii="Aptos" w:hAnsi="Aptos"/>
                <w:b w:val="0"/>
                <w:sz w:val="16"/>
              </w:rPr>
              <w:t>Establish deterministic recovery baselines.</w:t>
            </w:r>
          </w:p>
        </w:tc>
      </w:tr>
      <w:tr>
        <w:tc>
          <w:tcPr>
            <w:tcW w:type="dxa" w:w="3456"/>
            <w:vAlign w:val="center"/>
          </w:tcPr>
          <w:p>
            <w:pPr>
              <w:spacing w:after="20" w:before="20"/>
            </w:pPr>
            <w:r/>
            <w:r>
              <w:rPr>
                <w:rFonts w:ascii="Aptos" w:hAnsi="Aptos"/>
                <w:b w:val="0"/>
                <w:sz w:val="16"/>
              </w:rPr>
              <w:t>Rule-based selective recovery</w:t>
            </w:r>
          </w:p>
        </w:tc>
        <w:tc>
          <w:tcPr>
            <w:tcW w:type="dxa" w:w="7056"/>
            <w:vAlign w:val="center"/>
          </w:tcPr>
          <w:p>
            <w:pPr>
              <w:spacing w:after="20" w:before="20"/>
            </w:pPr>
            <w:r/>
            <w:r>
              <w:rPr>
                <w:rFonts w:ascii="Aptos" w:hAnsi="Aptos"/>
                <w:b w:val="0"/>
                <w:sz w:val="16"/>
              </w:rPr>
              <w:t>Test whether localization-based action selection saves cost.</w:t>
            </w:r>
          </w:p>
        </w:tc>
      </w:tr>
      <w:tr>
        <w:tc>
          <w:tcPr>
            <w:tcW w:type="dxa" w:w="3456"/>
            <w:vAlign w:val="center"/>
            <w:shd w:fill="F2F6FA"/>
          </w:tcPr>
          <w:p>
            <w:pPr>
              <w:spacing w:after="20" w:before="20"/>
            </w:pPr>
            <w:r/>
            <w:r>
              <w:rPr>
                <w:rFonts w:ascii="Aptos" w:hAnsi="Aptos"/>
                <w:b w:val="0"/>
                <w:sz w:val="16"/>
              </w:rPr>
              <w:t>Strands-agent recovery</w:t>
            </w:r>
          </w:p>
        </w:tc>
        <w:tc>
          <w:tcPr>
            <w:tcW w:type="dxa" w:w="7056"/>
            <w:vAlign w:val="center"/>
            <w:shd w:fill="F2F6FA"/>
          </w:tcPr>
          <w:p>
            <w:pPr>
              <w:spacing w:after="20" w:before="20"/>
            </w:pPr>
            <w:r/>
            <w:r>
              <w:rPr>
                <w:rFonts w:ascii="Aptos" w:hAnsi="Aptos"/>
                <w:b w:val="0"/>
                <w:sz w:val="16"/>
              </w:rPr>
              <w:t>Test incremental value over rule-based decisions.</w:t>
            </w:r>
          </w:p>
        </w:tc>
      </w:tr>
      <w:tr>
        <w:tc>
          <w:tcPr>
            <w:tcW w:type="dxa" w:w="3456"/>
            <w:vAlign w:val="center"/>
          </w:tcPr>
          <w:p>
            <w:pPr>
              <w:spacing w:after="20" w:before="20"/>
            </w:pPr>
            <w:r/>
            <w:r>
              <w:rPr>
                <w:rFonts w:ascii="Aptos" w:hAnsi="Aptos"/>
                <w:b w:val="0"/>
                <w:sz w:val="16"/>
              </w:rPr>
              <w:t>Oracle event labels (upper bound)</w:t>
            </w:r>
          </w:p>
        </w:tc>
        <w:tc>
          <w:tcPr>
            <w:tcW w:type="dxa" w:w="7056"/>
            <w:vAlign w:val="center"/>
          </w:tcPr>
          <w:p>
            <w:pPr>
              <w:spacing w:after="20" w:before="20"/>
            </w:pPr>
            <w:r/>
            <w:r>
              <w:rPr>
                <w:rFonts w:ascii="Aptos" w:hAnsi="Aptos"/>
                <w:b w:val="0"/>
                <w:sz w:val="16"/>
              </w:rPr>
              <w:t>Optional diagnostic: estimate best achievable recovery when event/client labels are supplied; clearly label as an oracle and not deployable.</w:t>
            </w:r>
          </w:p>
        </w:tc>
      </w:tr>
    </w:tbl>
    <w:p>
      <w:pPr>
        <w:spacing w:after="20"/>
      </w:pPr>
    </w:p>
    <w:p>
      <w:r>
        <w:t>Use multiple independent seeds and confidence intervals. Predefine the primary metric and decision rule before inspecting final test results. For agent-versus-rule comparisons, pair runs on the same drift configurations and report both predictive outcomes and overhead.</w:t>
      </w:r>
    </w:p>
    <w:p>
      <w:pPr>
        <w:pStyle w:val="Heading1"/>
        <w:keepNext/>
      </w:pPr>
      <w:r>
        <w:t>9. Threats to validity, limitations, and safeguards</w:t>
      </w:r>
    </w:p>
    <w:p>
      <w:pPr>
        <w:pStyle w:val="ListBullet"/>
        <w:spacing w:after="40"/>
      </w:pPr>
      <w:r>
        <w:t>Novelty risk: closest components already exist separately; the combined protocol may also exist in work not yet retrieved.</w:t>
      </w:r>
    </w:p>
    <w:p>
      <w:pPr>
        <w:pStyle w:val="ListBullet"/>
        <w:spacing w:after="40"/>
      </w:pPr>
      <w:r>
        <w:t>Dataset realism: MIMIC-IV is from one source institution; simulated clients are not independent hospitals.</w:t>
      </w:r>
    </w:p>
    <w:p>
      <w:pPr>
        <w:pStyle w:val="ListBullet"/>
        <w:spacing w:after="40"/>
      </w:pPr>
      <w:r>
        <w:t>Temporal validity: shifted dates preserve within-patient chronology but do not prove real contemporary temporal drift or external generalization.</w:t>
      </w:r>
    </w:p>
    <w:p>
      <w:pPr>
        <w:pStyle w:val="ListBullet"/>
        <w:spacing w:after="40"/>
      </w:pPr>
      <w:r>
        <w:t>Synthetic drift: controlled perturbations provide known ground truth but may not represent clinical deployment shifts.</w:t>
      </w:r>
    </w:p>
    <w:p>
      <w:pPr>
        <w:pStyle w:val="ListBullet"/>
        <w:spacing w:after="40"/>
      </w:pPr>
      <w:r>
        <w:t>DP validity: a guarantee is only as sound as the specified privacy unit, sensitivity, mechanism, sampling, and accountant.</w:t>
      </w:r>
    </w:p>
    <w:p>
      <w:pPr>
        <w:pStyle w:val="ListBullet"/>
        <w:spacing w:after="40"/>
      </w:pPr>
      <w:r>
        <w:t>Agent validity: LLM output may vary and may be wrong; use an allowlist, deterministic validation, execution caps, logs, and no unrestricted clinical actions.</w:t>
      </w:r>
    </w:p>
    <w:p>
      <w:pPr>
        <w:pStyle w:val="ListBullet"/>
        <w:spacing w:after="40"/>
      </w:pPr>
      <w:r>
        <w:t>Data governance: follow PhysioNet credentialing, training, DUA, citation, and restrictions on redistribution of derived data/models.</w:t>
      </w:r>
    </w:p>
    <w:p>
      <w:pPr>
        <w:pStyle w:val="ListBullet"/>
        <w:spacing w:after="40"/>
      </w:pPr>
      <w:r>
        <w:t>Modality scope: no modality-attribution claim from an EHR-only experiment.</w:t>
      </w:r>
    </w:p>
    <w:p>
      <w:pPr>
        <w:pStyle w:val="Heading2"/>
        <w:keepNext/>
      </w:pPr>
      <w:r>
        <w:t>Go/no-go criteria</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7365D"/>
          </w:tcPr>
          <w:p>
            <w:pPr>
              <w:spacing w:after="20" w:before="20"/>
            </w:pPr>
            <w:r/>
            <w:r>
              <w:rPr>
                <w:rFonts w:ascii="Aptos" w:hAnsi="Aptos"/>
                <w:b/>
                <w:color w:val="FFFFFF"/>
                <w:sz w:val="16"/>
              </w:rPr>
              <w:t>Decision</w:t>
            </w:r>
          </w:p>
        </w:tc>
        <w:tc>
          <w:tcPr>
            <w:tcW w:type="dxa" w:w="8136"/>
            <w:vAlign w:val="center"/>
            <w:shd w:fill="17365D"/>
          </w:tcPr>
          <w:p>
            <w:pPr>
              <w:spacing w:after="20" w:before="20"/>
            </w:pPr>
            <w:r/>
            <w:r>
              <w:rPr>
                <w:rFonts w:ascii="Aptos" w:hAnsi="Aptos"/>
                <w:b/>
                <w:color w:val="FFFFFF"/>
                <w:sz w:val="16"/>
              </w:rPr>
              <w:t>Criteria</w:t>
            </w:r>
          </w:p>
        </w:tc>
      </w:tr>
      <w:tr>
        <w:tc>
          <w:tcPr>
            <w:tcW w:type="dxa" w:w="2376"/>
            <w:vAlign w:val="center"/>
          </w:tcPr>
          <w:p>
            <w:pPr>
              <w:spacing w:after="20" w:before="20"/>
            </w:pPr>
            <w:r/>
            <w:r>
              <w:rPr>
                <w:rFonts w:ascii="Aptos" w:hAnsi="Aptos"/>
                <w:b w:val="0"/>
                <w:sz w:val="16"/>
              </w:rPr>
              <w:t>Proceed to DP experiment</w:t>
            </w:r>
          </w:p>
        </w:tc>
        <w:tc>
          <w:tcPr>
            <w:tcW w:type="dxa" w:w="8136"/>
            <w:vAlign w:val="center"/>
          </w:tcPr>
          <w:p>
            <w:pPr>
              <w:spacing w:after="20" w:before="20"/>
            </w:pPr>
            <w:r/>
            <w:r>
              <w:rPr>
                <w:rFonts w:ascii="Aptos" w:hAnsi="Aptos"/>
                <w:b w:val="0"/>
                <w:sz w:val="16"/>
              </w:rPr>
              <w:t>Stable Flower baseline is reproducible; controlled drift labels are correct; test split is leakage-resistant; detector metrics are implemented.</w:t>
            </w:r>
          </w:p>
        </w:tc>
      </w:tr>
      <w:tr>
        <w:tc>
          <w:tcPr>
            <w:tcW w:type="dxa" w:w="2376"/>
            <w:vAlign w:val="center"/>
            <w:shd w:fill="F2F6FA"/>
          </w:tcPr>
          <w:p>
            <w:pPr>
              <w:spacing w:after="20" w:before="20"/>
            </w:pPr>
            <w:r/>
            <w:r>
              <w:rPr>
                <w:rFonts w:ascii="Aptos" w:hAnsi="Aptos"/>
                <w:b w:val="0"/>
                <w:sz w:val="16"/>
              </w:rPr>
              <w:t>Proceed to agent comparison</w:t>
            </w:r>
          </w:p>
        </w:tc>
        <w:tc>
          <w:tcPr>
            <w:tcW w:type="dxa" w:w="8136"/>
            <w:vAlign w:val="center"/>
            <w:shd w:fill="F2F6FA"/>
          </w:tcPr>
          <w:p>
            <w:pPr>
              <w:spacing w:after="20" w:before="20"/>
            </w:pPr>
            <w:r/>
            <w:r>
              <w:rPr>
                <w:rFonts w:ascii="Aptos" w:hAnsi="Aptos"/>
                <w:b w:val="0"/>
                <w:sz w:val="16"/>
              </w:rPr>
              <w:t>Rule-based baseline and recovery action executor work; both policies receive identical evidence; gate and logs are in place.</w:t>
            </w:r>
          </w:p>
        </w:tc>
      </w:tr>
      <w:tr>
        <w:tc>
          <w:tcPr>
            <w:tcW w:type="dxa" w:w="2376"/>
            <w:vAlign w:val="center"/>
          </w:tcPr>
          <w:p>
            <w:pPr>
              <w:spacing w:after="20" w:before="20"/>
            </w:pPr>
            <w:r/>
            <w:r>
              <w:rPr>
                <w:rFonts w:ascii="Aptos" w:hAnsi="Aptos"/>
                <w:b w:val="0"/>
                <w:sz w:val="16"/>
              </w:rPr>
              <w:t>Proceed to multimodal extension</w:t>
            </w:r>
          </w:p>
        </w:tc>
        <w:tc>
          <w:tcPr>
            <w:tcW w:type="dxa" w:w="8136"/>
            <w:vAlign w:val="center"/>
          </w:tcPr>
          <w:p>
            <w:pPr>
              <w:spacing w:after="20" w:before="20"/>
            </w:pPr>
            <w:r/>
            <w:r>
              <w:rPr>
                <w:rFonts w:ascii="Aptos" w:hAnsi="Aptos"/>
                <w:b w:val="0"/>
                <w:sz w:val="16"/>
              </w:rPr>
              <w:t>Structured experiment is stable; CXR linkage and modality-specific drift protocol are documented; compute is adequate.</w:t>
            </w:r>
          </w:p>
        </w:tc>
      </w:tr>
      <w:tr>
        <w:tc>
          <w:tcPr>
            <w:tcW w:type="dxa" w:w="2376"/>
            <w:vAlign w:val="center"/>
            <w:shd w:fill="F2F6FA"/>
          </w:tcPr>
          <w:p>
            <w:pPr>
              <w:spacing w:after="20" w:before="20"/>
            </w:pPr>
            <w:r/>
            <w:r>
              <w:rPr>
                <w:rFonts w:ascii="Aptos" w:hAnsi="Aptos"/>
                <w:b w:val="0"/>
                <w:sz w:val="16"/>
              </w:rPr>
              <w:t>Revise or pivot</w:t>
            </w:r>
          </w:p>
        </w:tc>
        <w:tc>
          <w:tcPr>
            <w:tcW w:type="dxa" w:w="8136"/>
            <w:vAlign w:val="center"/>
            <w:shd w:fill="F2F6FA"/>
          </w:tcPr>
          <w:p>
            <w:pPr>
              <w:spacing w:after="20" w:before="20"/>
            </w:pPr>
            <w:r/>
            <w:r>
              <w:rPr>
                <w:rFonts w:ascii="Aptos" w:hAnsi="Aptos"/>
                <w:b w:val="0"/>
                <w:sz w:val="16"/>
              </w:rPr>
              <w:t>A full-text/citation audit finds an equivalent protocol, or selective recovery has no meaningful utility/cost benefit at comparable privacy expenditure, or agent overhead exceeds any decision benefit.</w:t>
            </w:r>
          </w:p>
        </w:tc>
      </w:tr>
    </w:tbl>
    <w:p>
      <w:pPr>
        <w:spacing w:after="20"/>
      </w:pPr>
    </w:p>
    <w:p>
      <w:pPr>
        <w:pStyle w:val="Heading1"/>
        <w:keepNext/>
      </w:pPr>
      <w:r>
        <w:t>10.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pPr>
              <w:spacing w:after="20" w:before="20"/>
            </w:pPr>
            <w:r/>
            <w:r>
              <w:rPr>
                <w:rFonts w:ascii="Aptos" w:hAnsi="Aptos"/>
                <w:b/>
                <w:color w:val="FFFFFF"/>
                <w:sz w:val="15"/>
              </w:rPr>
              <w:t>Stage</w:t>
            </w:r>
          </w:p>
        </w:tc>
        <w:tc>
          <w:tcPr>
            <w:tcW w:type="dxa" w:w="4464"/>
            <w:vAlign w:val="center"/>
            <w:shd w:fill="17365D"/>
          </w:tcPr>
          <w:p>
            <w:pPr>
              <w:spacing w:after="20" w:before="20"/>
            </w:pPr>
            <w:r/>
            <w:r>
              <w:rPr>
                <w:rFonts w:ascii="Aptos" w:hAnsi="Aptos"/>
                <w:b/>
                <w:color w:val="FFFFFF"/>
                <w:sz w:val="15"/>
              </w:rPr>
              <w:t>Deliverable</w:t>
            </w:r>
          </w:p>
        </w:tc>
        <w:tc>
          <w:tcPr>
            <w:tcW w:type="dxa" w:w="4320"/>
            <w:vAlign w:val="center"/>
            <w:shd w:fill="17365D"/>
          </w:tcPr>
          <w:p>
            <w:pPr>
              <w:spacing w:after="20" w:before="20"/>
            </w:pPr>
            <w:r/>
            <w:r>
              <w:rPr>
                <w:rFonts w:ascii="Aptos" w:hAnsi="Aptos"/>
                <w:b/>
                <w:color w:val="FFFFFF"/>
                <w:sz w:val="15"/>
              </w:rPr>
              <w:t>Exit condition</w:t>
            </w:r>
          </w:p>
        </w:tc>
      </w:tr>
      <w:tr>
        <w:tc>
          <w:tcPr>
            <w:tcW w:type="dxa" w:w="1728"/>
            <w:vAlign w:val="center"/>
          </w:tcPr>
          <w:p>
            <w:pPr>
              <w:spacing w:after="20" w:before="20"/>
            </w:pPr>
            <w:r/>
            <w:r>
              <w:rPr>
                <w:rFonts w:ascii="Aptos" w:hAnsi="Aptos"/>
                <w:b w:val="0"/>
                <w:sz w:val="15"/>
              </w:rPr>
              <w:t>0. Literature closure</w:t>
            </w:r>
          </w:p>
        </w:tc>
        <w:tc>
          <w:tcPr>
            <w:tcW w:type="dxa" w:w="4464"/>
            <w:vAlign w:val="center"/>
          </w:tcPr>
          <w:p>
            <w:pPr>
              <w:spacing w:after="20" w:before="20"/>
            </w:pPr>
            <w:r/>
            <w:r>
              <w:rPr>
                <w:rFonts w:ascii="Aptos" w:hAnsi="Aptos"/>
                <w:b w:val="0"/>
                <w:sz w:val="15"/>
              </w:rPr>
              <w:t>Full FedDriftGuard supplement/method audit; full Song FedMM paper audit; citation-chain export; claim-to-evidence matrix.</w:t>
            </w:r>
          </w:p>
        </w:tc>
        <w:tc>
          <w:tcPr>
            <w:tcW w:type="dxa" w:w="4320"/>
            <w:vAlign w:val="center"/>
          </w:tcPr>
          <w:p>
            <w:pPr>
              <w:spacing w:after="20" w:before="20"/>
            </w:pPr>
            <w:r/>
            <w:r>
              <w:rPr>
                <w:rFonts w:ascii="Aptos" w:hAnsi="Aptos"/>
                <w:b w:val="0"/>
                <w:sz w:val="15"/>
              </w:rPr>
              <w:t>No unsupported novelty claims; exact unresolved items documented.</w:t>
            </w:r>
          </w:p>
        </w:tc>
      </w:tr>
      <w:tr>
        <w:tc>
          <w:tcPr>
            <w:tcW w:type="dxa" w:w="1728"/>
            <w:vAlign w:val="center"/>
            <w:shd w:fill="F2F6FA"/>
          </w:tcPr>
          <w:p>
            <w:pPr>
              <w:spacing w:after="20" w:before="20"/>
            </w:pPr>
            <w:r/>
            <w:r>
              <w:rPr>
                <w:rFonts w:ascii="Aptos" w:hAnsi="Aptos"/>
                <w:b w:val="0"/>
                <w:sz w:val="15"/>
              </w:rPr>
              <w:t>1. Cohort and split</w:t>
            </w:r>
          </w:p>
        </w:tc>
        <w:tc>
          <w:tcPr>
            <w:tcW w:type="dxa" w:w="4464"/>
            <w:vAlign w:val="center"/>
            <w:shd w:fill="F2F6FA"/>
          </w:tcPr>
          <w:p>
            <w:pPr>
              <w:spacing w:after="20" w:before="20"/>
            </w:pPr>
            <w:r/>
            <w:r>
              <w:rPr>
                <w:rFonts w:ascii="Aptos" w:hAnsi="Aptos"/>
                <w:b w:val="0"/>
                <w:sz w:val="15"/>
              </w:rPr>
              <w:t>MIMIC-IV cohort script, data dictionary, patient-level split, leakage tests, cohort-flow counts.</w:t>
            </w:r>
          </w:p>
        </w:tc>
        <w:tc>
          <w:tcPr>
            <w:tcW w:type="dxa" w:w="4320"/>
            <w:vAlign w:val="center"/>
            <w:shd w:fill="F2F6FA"/>
          </w:tcPr>
          <w:p>
            <w:pPr>
              <w:spacing w:after="20" w:before="20"/>
            </w:pPr>
            <w:r/>
            <w:r>
              <w:rPr>
                <w:rFonts w:ascii="Aptos" w:hAnsi="Aptos"/>
                <w:b w:val="0"/>
                <w:sz w:val="15"/>
              </w:rPr>
              <w:t>Reproducible counts and no patient overlap across splits.</w:t>
            </w:r>
          </w:p>
        </w:tc>
      </w:tr>
      <w:tr>
        <w:tc>
          <w:tcPr>
            <w:tcW w:type="dxa" w:w="1728"/>
            <w:vAlign w:val="center"/>
          </w:tcPr>
          <w:p>
            <w:pPr>
              <w:spacing w:after="20" w:before="20"/>
            </w:pPr>
            <w:r/>
            <w:r>
              <w:rPr>
                <w:rFonts w:ascii="Aptos" w:hAnsi="Aptos"/>
                <w:b w:val="0"/>
                <w:sz w:val="15"/>
              </w:rPr>
              <w:t>2. Stable FL baseline</w:t>
            </w:r>
          </w:p>
        </w:tc>
        <w:tc>
          <w:tcPr>
            <w:tcW w:type="dxa" w:w="4464"/>
            <w:vAlign w:val="center"/>
          </w:tcPr>
          <w:p>
            <w:pPr>
              <w:spacing w:after="20" w:before="20"/>
            </w:pPr>
            <w:r/>
            <w:r>
              <w:rPr>
                <w:rFonts w:ascii="Aptos" w:hAnsi="Aptos"/>
                <w:b w:val="0"/>
                <w:sz w:val="15"/>
              </w:rPr>
              <w:t>Flower/FedAvg model, evaluation script, central reference, per-client metrics.</w:t>
            </w:r>
          </w:p>
        </w:tc>
        <w:tc>
          <w:tcPr>
            <w:tcW w:type="dxa" w:w="4320"/>
            <w:vAlign w:val="center"/>
          </w:tcPr>
          <w:p>
            <w:pPr>
              <w:spacing w:after="20" w:before="20"/>
            </w:pPr>
            <w:r/>
            <w:r>
              <w:rPr>
                <w:rFonts w:ascii="Aptos" w:hAnsi="Aptos"/>
                <w:b w:val="0"/>
                <w:sz w:val="15"/>
              </w:rPr>
              <w:t>Repeatable results across seeds.</w:t>
            </w:r>
          </w:p>
        </w:tc>
      </w:tr>
      <w:tr>
        <w:tc>
          <w:tcPr>
            <w:tcW w:type="dxa" w:w="1728"/>
            <w:vAlign w:val="center"/>
            <w:shd w:fill="F2F6FA"/>
          </w:tcPr>
          <w:p>
            <w:pPr>
              <w:spacing w:after="20" w:before="20"/>
            </w:pPr>
            <w:r/>
            <w:r>
              <w:rPr>
                <w:rFonts w:ascii="Aptos" w:hAnsi="Aptos"/>
                <w:b w:val="0"/>
                <w:sz w:val="15"/>
              </w:rPr>
              <w:t>3. Controlled drift</w:t>
            </w:r>
          </w:p>
        </w:tc>
        <w:tc>
          <w:tcPr>
            <w:tcW w:type="dxa" w:w="4464"/>
            <w:vAlign w:val="center"/>
            <w:shd w:fill="F2F6FA"/>
          </w:tcPr>
          <w:p>
            <w:pPr>
              <w:spacing w:after="20" w:before="20"/>
            </w:pPr>
            <w:r/>
            <w:r>
              <w:rPr>
                <w:rFonts w:ascii="Aptos" w:hAnsi="Aptos"/>
                <w:b w:val="0"/>
                <w:sz w:val="15"/>
              </w:rPr>
              <w:t>Immutable scenarios and ground-truth event labels; detector metrics.</w:t>
            </w:r>
          </w:p>
        </w:tc>
        <w:tc>
          <w:tcPr>
            <w:tcW w:type="dxa" w:w="4320"/>
            <w:vAlign w:val="center"/>
            <w:shd w:fill="F2F6FA"/>
          </w:tcPr>
          <w:p>
            <w:pPr>
              <w:spacing w:after="20" w:before="20"/>
            </w:pPr>
            <w:r/>
            <w:r>
              <w:rPr>
                <w:rFonts w:ascii="Aptos" w:hAnsi="Aptos"/>
                <w:b w:val="0"/>
                <w:sz w:val="15"/>
              </w:rPr>
              <w:t>Stable, localized, global, abrupt and gradual cases tested.</w:t>
            </w:r>
          </w:p>
        </w:tc>
      </w:tr>
      <w:tr>
        <w:tc>
          <w:tcPr>
            <w:tcW w:type="dxa" w:w="1728"/>
            <w:vAlign w:val="center"/>
          </w:tcPr>
          <w:p>
            <w:pPr>
              <w:spacing w:after="20" w:before="20"/>
            </w:pPr>
            <w:r/>
            <w:r>
              <w:rPr>
                <w:rFonts w:ascii="Aptos" w:hAnsi="Aptos"/>
                <w:b w:val="0"/>
                <w:sz w:val="15"/>
              </w:rPr>
              <w:t>4. DP integration</w:t>
            </w:r>
          </w:p>
        </w:tc>
        <w:tc>
          <w:tcPr>
            <w:tcW w:type="dxa" w:w="4464"/>
            <w:vAlign w:val="center"/>
          </w:tcPr>
          <w:p>
            <w:pPr>
              <w:spacing w:after="20" w:before="20"/>
            </w:pPr>
            <w:r/>
            <w:r>
              <w:rPr>
                <w:rFonts w:ascii="Aptos" w:hAnsi="Aptos"/>
                <w:b w:val="0"/>
                <w:sz w:val="15"/>
              </w:rPr>
              <w:t>Specified mechanism, accountant tests, privacy ledger, privacy sweeps.</w:t>
            </w:r>
          </w:p>
        </w:tc>
        <w:tc>
          <w:tcPr>
            <w:tcW w:type="dxa" w:w="4320"/>
            <w:vAlign w:val="center"/>
          </w:tcPr>
          <w:p>
            <w:pPr>
              <w:spacing w:after="20" w:before="20"/>
            </w:pPr>
            <w:r/>
            <w:r>
              <w:rPr>
                <w:rFonts w:ascii="Aptos" w:hAnsi="Aptos"/>
                <w:b w:val="0"/>
                <w:sz w:val="15"/>
              </w:rPr>
              <w:t>Independent accounting validation and logged cumulative ε/δ.</w:t>
            </w:r>
          </w:p>
        </w:tc>
      </w:tr>
      <w:tr>
        <w:tc>
          <w:tcPr>
            <w:tcW w:type="dxa" w:w="1728"/>
            <w:vAlign w:val="center"/>
            <w:shd w:fill="F2F6FA"/>
          </w:tcPr>
          <w:p>
            <w:pPr>
              <w:spacing w:after="20" w:before="20"/>
            </w:pPr>
            <w:r/>
            <w:r>
              <w:rPr>
                <w:rFonts w:ascii="Aptos" w:hAnsi="Aptos"/>
                <w:b w:val="0"/>
                <w:sz w:val="15"/>
              </w:rPr>
              <w:t>5. Recovery baseline</w:t>
            </w:r>
          </w:p>
        </w:tc>
        <w:tc>
          <w:tcPr>
            <w:tcW w:type="dxa" w:w="4464"/>
            <w:vAlign w:val="center"/>
            <w:shd w:fill="F2F6FA"/>
          </w:tcPr>
          <w:p>
            <w:pPr>
              <w:spacing w:after="20" w:before="20"/>
            </w:pPr>
            <w:r/>
            <w:r>
              <w:rPr>
                <w:rFonts w:ascii="Aptos" w:hAnsi="Aptos"/>
                <w:b w:val="0"/>
                <w:sz w:val="15"/>
              </w:rPr>
              <w:t>No-op, global and selective rule-based policies.</w:t>
            </w:r>
          </w:p>
        </w:tc>
        <w:tc>
          <w:tcPr>
            <w:tcW w:type="dxa" w:w="4320"/>
            <w:vAlign w:val="center"/>
            <w:shd w:fill="F2F6FA"/>
          </w:tcPr>
          <w:p>
            <w:pPr>
              <w:spacing w:after="20" w:before="20"/>
            </w:pPr>
            <w:r/>
            <w:r>
              <w:rPr>
                <w:rFonts w:ascii="Aptos" w:hAnsi="Aptos"/>
                <w:b w:val="0"/>
                <w:sz w:val="15"/>
              </w:rPr>
              <w:t>Fair, reproducible policy comparisons.</w:t>
            </w:r>
          </w:p>
        </w:tc>
      </w:tr>
      <w:tr>
        <w:tc>
          <w:tcPr>
            <w:tcW w:type="dxa" w:w="1728"/>
            <w:vAlign w:val="center"/>
          </w:tcPr>
          <w:p>
            <w:pPr>
              <w:spacing w:after="20" w:before="20"/>
            </w:pPr>
            <w:r/>
            <w:r>
              <w:rPr>
                <w:rFonts w:ascii="Aptos" w:hAnsi="Aptos"/>
                <w:b w:val="0"/>
                <w:sz w:val="15"/>
              </w:rPr>
              <w:t>6. Strands comparison</w:t>
            </w:r>
          </w:p>
        </w:tc>
        <w:tc>
          <w:tcPr>
            <w:tcW w:type="dxa" w:w="4464"/>
            <w:vAlign w:val="center"/>
          </w:tcPr>
          <w:p>
            <w:pPr>
              <w:spacing w:after="20" w:before="20"/>
            </w:pPr>
            <w:r/>
            <w:r>
              <w:rPr>
                <w:rFonts w:ascii="Aptos" w:hAnsi="Aptos"/>
                <w:b w:val="0"/>
                <w:sz w:val="15"/>
              </w:rPr>
              <w:t>Constrained agent, structured output, gate, observability and cost logging.</w:t>
            </w:r>
          </w:p>
        </w:tc>
        <w:tc>
          <w:tcPr>
            <w:tcW w:type="dxa" w:w="4320"/>
            <w:vAlign w:val="center"/>
          </w:tcPr>
          <w:p>
            <w:pPr>
              <w:spacing w:after="20" w:before="20"/>
            </w:pPr>
            <w:r/>
            <w:r>
              <w:rPr>
                <w:rFonts w:ascii="Aptos" w:hAnsi="Aptos"/>
                <w:b w:val="0"/>
                <w:sz w:val="15"/>
              </w:rPr>
              <w:t>Paired comparisons show whether value exceeds overhead.</w:t>
            </w:r>
          </w:p>
        </w:tc>
      </w:tr>
      <w:tr>
        <w:tc>
          <w:tcPr>
            <w:tcW w:type="dxa" w:w="1728"/>
            <w:vAlign w:val="center"/>
            <w:shd w:fill="F2F6FA"/>
          </w:tcPr>
          <w:p>
            <w:pPr>
              <w:spacing w:after="20" w:before="20"/>
            </w:pPr>
            <w:r/>
            <w:r>
              <w:rPr>
                <w:rFonts w:ascii="Aptos" w:hAnsi="Aptos"/>
                <w:b w:val="0"/>
                <w:sz w:val="15"/>
              </w:rPr>
              <w:t>7. Multimodal extension</w:t>
            </w:r>
          </w:p>
        </w:tc>
        <w:tc>
          <w:tcPr>
            <w:tcW w:type="dxa" w:w="4464"/>
            <w:vAlign w:val="center"/>
            <w:shd w:fill="F2F6FA"/>
          </w:tcPr>
          <w:p>
            <w:pPr>
              <w:spacing w:after="20" w:before="20"/>
            </w:pPr>
            <w:r/>
            <w:r>
              <w:rPr>
                <w:rFonts w:ascii="Aptos" w:hAnsi="Aptos"/>
                <w:b w:val="0"/>
                <w:sz w:val="15"/>
              </w:rPr>
              <w:t>CXR integration and modality-specific event generator.</w:t>
            </w:r>
          </w:p>
        </w:tc>
        <w:tc>
          <w:tcPr>
            <w:tcW w:type="dxa" w:w="4320"/>
            <w:vAlign w:val="center"/>
            <w:shd w:fill="F2F6FA"/>
          </w:tcPr>
          <w:p>
            <w:pPr>
              <w:spacing w:after="20" w:before="20"/>
            </w:pPr>
            <w:r/>
            <w:r>
              <w:rPr>
                <w:rFonts w:ascii="Aptos" w:hAnsi="Aptos"/>
                <w:b w:val="0"/>
                <w:sz w:val="15"/>
              </w:rPr>
              <w:t>Valid modality and joint attribution metrics.</w:t>
            </w:r>
          </w:p>
        </w:tc>
      </w:tr>
      <w:tr>
        <w:tc>
          <w:tcPr>
            <w:tcW w:type="dxa" w:w="1728"/>
            <w:vAlign w:val="center"/>
          </w:tcPr>
          <w:p>
            <w:pPr>
              <w:spacing w:after="20" w:before="20"/>
            </w:pPr>
            <w:r/>
            <w:r>
              <w:rPr>
                <w:rFonts w:ascii="Aptos" w:hAnsi="Aptos"/>
                <w:b w:val="0"/>
                <w:sz w:val="15"/>
              </w:rPr>
              <w:t>8. Paper and artifact</w:t>
            </w:r>
          </w:p>
        </w:tc>
        <w:tc>
          <w:tcPr>
            <w:tcW w:type="dxa" w:w="4464"/>
            <w:vAlign w:val="center"/>
          </w:tcPr>
          <w:p>
            <w:pPr>
              <w:spacing w:after="20" w:before="20"/>
            </w:pPr>
            <w:r/>
            <w:r>
              <w:rPr>
                <w:rFonts w:ascii="Aptos" w:hAnsi="Aptos"/>
                <w:b w:val="0"/>
                <w:sz w:val="15"/>
              </w:rPr>
              <w:t>Methods, ablations, limitations, reproducibility bundle, versioned configurations.</w:t>
            </w:r>
          </w:p>
        </w:tc>
        <w:tc>
          <w:tcPr>
            <w:tcW w:type="dxa" w:w="4320"/>
            <w:vAlign w:val="center"/>
          </w:tcPr>
          <w:p>
            <w:pPr>
              <w:spacing w:after="20" w:before="20"/>
            </w:pPr>
            <w:r/>
            <w:r>
              <w:rPr>
                <w:rFonts w:ascii="Aptos" w:hAnsi="Aptos"/>
                <w:b w:val="0"/>
                <w:sz w:val="15"/>
              </w:rPr>
              <w:t>Claims map directly to reported experiments; data access conditions respected.</w:t>
            </w:r>
          </w:p>
        </w:tc>
      </w:tr>
    </w:tbl>
    <w:p>
      <w:pPr>
        <w:spacing w:after="20"/>
      </w:pPr>
    </w:p>
    <w:p>
      <w:pPr>
        <w:pStyle w:val="Heading1"/>
        <w:keepNext/>
      </w:pPr>
      <w:r>
        <w:t>11. Reproducibility checklist</w:t>
      </w:r>
    </w:p>
    <w:p>
      <w:pPr>
        <w:pStyle w:val="ListBullet"/>
        <w:spacing w:after="40"/>
      </w:pPr>
      <w:r>
        <w:t>☐ Record exact dataset version, access date, cohort query, exclusions, and feature definitions.</w:t>
      </w:r>
    </w:p>
    <w:p>
      <w:pPr>
        <w:pStyle w:val="ListBullet"/>
        <w:spacing w:after="40"/>
      </w:pPr>
      <w:r>
        <w:t>☐ Save patient-level split IDs securely and never include patient identifiers in public artifacts.</w:t>
      </w:r>
    </w:p>
    <w:p>
      <w:pPr>
        <w:pStyle w:val="ListBullet"/>
        <w:spacing w:after="40"/>
      </w:pPr>
      <w:r>
        <w:t>☐ Version all client partitions, drift scenario configurations, random seeds, and onset labels.</w:t>
      </w:r>
    </w:p>
    <w:p>
      <w:pPr>
        <w:pStyle w:val="ListBullet"/>
        <w:spacing w:after="40"/>
      </w:pPr>
      <w:r>
        <w:t>☐ Record Python, Flower, model library, Strands SDK, model provider/model version, and OS/package versions.</w:t>
      </w:r>
    </w:p>
    <w:p>
      <w:pPr>
        <w:pStyle w:val="ListBullet"/>
        <w:spacing w:after="40"/>
      </w:pPr>
      <w:r>
        <w:t>☐ Log every FL round, participating clients, aggregation configuration, privacy accountant state, ε/δ, and adaptation action.</w:t>
      </w:r>
    </w:p>
    <w:p>
      <w:pPr>
        <w:pStyle w:val="ListBullet"/>
        <w:spacing w:after="40"/>
      </w:pPr>
      <w:r>
        <w:t>☐ Log all detector outputs and define whether each server-visible signal is private, locally retained, or included in accounting.</w:t>
      </w:r>
    </w:p>
    <w:p>
      <w:pPr>
        <w:pStyle w:val="ListBullet"/>
        <w:spacing w:after="40"/>
      </w:pPr>
      <w:r>
        <w:t>☐ Store agent prompt, output schema, tools, tool permissions, model settings, latency, token/API cost, and policy-gate decisions.</w:t>
      </w:r>
    </w:p>
    <w:p>
      <w:pPr>
        <w:pStyle w:val="ListBullet"/>
        <w:spacing w:after="40"/>
      </w:pPr>
      <w:r>
        <w:t>☐ Report both pooled and per-client clinical outcomes, including worst-client outcomes.</w:t>
      </w:r>
    </w:p>
    <w:p>
      <w:pPr>
        <w:pStyle w:val="ListBullet"/>
        <w:spacing w:after="40"/>
      </w:pPr>
      <w:r>
        <w:t>☐ Separate exploratory runs from final repeated-seed evaluations; predefine primary outcomes.</w:t>
      </w:r>
    </w:p>
    <w:p>
      <w:pPr>
        <w:pStyle w:val="ListBullet"/>
        <w:spacing w:after="40"/>
      </w:pPr>
      <w:r>
        <w:t>☐ Document which claims are verified, partially verified, or unverified in the final manuscript.</w:t>
      </w:r>
    </w:p>
    <w:p>
      <w:pPr>
        <w:pStyle w:val="Heading1"/>
        <w:keepNext/>
      </w:pPr>
      <w:r>
        <w:t>12. Claim-to-evidence map</w:t>
      </w:r>
    </w:p>
    <w:tbl>
      <w:tblPr>
        <w:tblStyle w:val="TableGrid"/>
        <w:tblW w:type="auto" w:w="0"/>
        <w:jc w:val="center"/>
        <w:tblLook w:firstColumn="1" w:firstRow="1" w:lastColumn="0" w:lastRow="0" w:noHBand="0" w:noVBand="1" w:val="04A0"/>
      </w:tblPr>
      <w:tblGrid>
        <w:gridCol w:w="5040"/>
        <w:gridCol w:w="5040"/>
      </w:tblGrid>
      <w:tr>
        <w:tc>
          <w:tcPr>
            <w:tcW w:type="dxa" w:w="3096"/>
            <w:vAlign w:val="center"/>
            <w:shd w:fill="17365D"/>
          </w:tcPr>
          <w:p>
            <w:pPr>
              <w:spacing w:after="20" w:before="20"/>
            </w:pPr>
            <w:r/>
            <w:r>
              <w:rPr>
                <w:rFonts w:ascii="Aptos" w:hAnsi="Aptos"/>
                <w:b/>
                <w:color w:val="FFFFFF"/>
                <w:sz w:val="16"/>
              </w:rPr>
              <w:t>Potential claim</w:t>
            </w:r>
          </w:p>
        </w:tc>
        <w:tc>
          <w:tcPr>
            <w:tcW w:type="dxa" w:w="7416"/>
            <w:vAlign w:val="center"/>
            <w:shd w:fill="17365D"/>
          </w:tcPr>
          <w:p>
            <w:pPr>
              <w:spacing w:after="20" w:before="20"/>
            </w:pPr>
            <w:r/>
            <w:r>
              <w:rPr>
                <w:rFonts w:ascii="Aptos" w:hAnsi="Aptos"/>
                <w:b/>
                <w:color w:val="FFFFFF"/>
                <w:sz w:val="16"/>
              </w:rPr>
              <w:t>Evidence required before making the claim</w:t>
            </w:r>
          </w:p>
        </w:tc>
      </w:tr>
      <w:tr>
        <w:tc>
          <w:tcPr>
            <w:tcW w:type="dxa" w:w="3096"/>
            <w:vAlign w:val="center"/>
          </w:tcPr>
          <w:p>
            <w:pPr>
              <w:spacing w:after="20" w:before="20"/>
            </w:pPr>
            <w:r/>
            <w:r>
              <w:rPr>
                <w:rFonts w:ascii="Aptos" w:hAnsi="Aptos"/>
                <w:b w:val="0"/>
                <w:sz w:val="16"/>
              </w:rPr>
              <w:t>DP changes drift detection</w:t>
            </w:r>
          </w:p>
        </w:tc>
        <w:tc>
          <w:tcPr>
            <w:tcW w:type="dxa" w:w="7416"/>
            <w:vAlign w:val="center"/>
          </w:tcPr>
          <w:p>
            <w:pPr>
              <w:spacing w:after="20" w:before="20"/>
            </w:pPr>
            <w:r/>
            <w:r>
              <w:rPr>
                <w:rFonts w:ascii="Aptos" w:hAnsi="Aptos"/>
                <w:b w:val="0"/>
                <w:sz w:val="16"/>
              </w:rPr>
              <w:t>Detection outcomes across documented privacy targets with valid cumulative accounting.</w:t>
            </w:r>
          </w:p>
        </w:tc>
      </w:tr>
      <w:tr>
        <w:tc>
          <w:tcPr>
            <w:tcW w:type="dxa" w:w="3096"/>
            <w:vAlign w:val="center"/>
            <w:shd w:fill="F2F6FA"/>
          </w:tcPr>
          <w:p>
            <w:pPr>
              <w:spacing w:after="20" w:before="20"/>
            </w:pPr>
            <w:r/>
            <w:r>
              <w:rPr>
                <w:rFonts w:ascii="Aptos" w:hAnsi="Aptos"/>
                <w:b w:val="0"/>
                <w:sz w:val="16"/>
              </w:rPr>
              <w:t>Selective recovery is more efficient</w:t>
            </w:r>
          </w:p>
        </w:tc>
        <w:tc>
          <w:tcPr>
            <w:tcW w:type="dxa" w:w="7416"/>
            <w:vAlign w:val="center"/>
            <w:shd w:fill="F2F6FA"/>
          </w:tcPr>
          <w:p>
            <w:pPr>
              <w:spacing w:after="20" w:before="20"/>
            </w:pPr>
            <w:r/>
            <w:r>
              <w:rPr>
                <w:rFonts w:ascii="Aptos" w:hAnsi="Aptos"/>
                <w:b w:val="0"/>
                <w:sz w:val="16"/>
              </w:rPr>
              <w:t>Matched privacy and drift scenarios; comparable clinical utility with measured communication/computation savings.</w:t>
            </w:r>
          </w:p>
        </w:tc>
      </w:tr>
      <w:tr>
        <w:tc>
          <w:tcPr>
            <w:tcW w:type="dxa" w:w="3096"/>
            <w:vAlign w:val="center"/>
          </w:tcPr>
          <w:p>
            <w:pPr>
              <w:spacing w:after="20" w:before="20"/>
            </w:pPr>
            <w:r/>
            <w:r>
              <w:rPr>
                <w:rFonts w:ascii="Aptos" w:hAnsi="Aptos"/>
                <w:b w:val="0"/>
                <w:sz w:val="16"/>
              </w:rPr>
              <w:t>Strands improves recovery decisions</w:t>
            </w:r>
          </w:p>
        </w:tc>
        <w:tc>
          <w:tcPr>
            <w:tcW w:type="dxa" w:w="7416"/>
            <w:vAlign w:val="center"/>
          </w:tcPr>
          <w:p>
            <w:pPr>
              <w:spacing w:after="20" w:before="20"/>
            </w:pPr>
            <w:r/>
            <w:r>
              <w:rPr>
                <w:rFonts w:ascii="Aptos" w:hAnsi="Aptos"/>
                <w:b w:val="0"/>
                <w:sz w:val="16"/>
              </w:rPr>
              <w:t>Paired results versus rules; improved action/recovery outcomes that justify latency, token cost, variability, and failures.</w:t>
            </w:r>
          </w:p>
        </w:tc>
      </w:tr>
      <w:tr>
        <w:tc>
          <w:tcPr>
            <w:tcW w:type="dxa" w:w="3096"/>
            <w:vAlign w:val="center"/>
            <w:shd w:fill="F2F6FA"/>
          </w:tcPr>
          <w:p>
            <w:pPr>
              <w:spacing w:after="20" w:before="20"/>
            </w:pPr>
            <w:r/>
            <w:r>
              <w:rPr>
                <w:rFonts w:ascii="Aptos" w:hAnsi="Aptos"/>
                <w:b w:val="0"/>
                <w:sz w:val="16"/>
              </w:rPr>
              <w:t>The method identifies affected clients</w:t>
            </w:r>
          </w:p>
        </w:tc>
        <w:tc>
          <w:tcPr>
            <w:tcW w:type="dxa" w:w="7416"/>
            <w:vAlign w:val="center"/>
            <w:shd w:fill="F2F6FA"/>
          </w:tcPr>
          <w:p>
            <w:pPr>
              <w:spacing w:after="20" w:before="20"/>
            </w:pPr>
            <w:r/>
            <w:r>
              <w:rPr>
                <w:rFonts w:ascii="Aptos" w:hAnsi="Aptos"/>
                <w:b w:val="0"/>
                <w:sz w:val="16"/>
              </w:rPr>
              <w:t>Ground-truth client-level event labels and attribution metrics.</w:t>
            </w:r>
          </w:p>
        </w:tc>
      </w:tr>
      <w:tr>
        <w:tc>
          <w:tcPr>
            <w:tcW w:type="dxa" w:w="3096"/>
            <w:vAlign w:val="center"/>
          </w:tcPr>
          <w:p>
            <w:pPr>
              <w:spacing w:after="20" w:before="20"/>
            </w:pPr>
            <w:r/>
            <w:r>
              <w:rPr>
                <w:rFonts w:ascii="Aptos" w:hAnsi="Aptos"/>
                <w:b w:val="0"/>
                <w:sz w:val="16"/>
              </w:rPr>
              <w:t>The method identifies affected modalities</w:t>
            </w:r>
          </w:p>
        </w:tc>
        <w:tc>
          <w:tcPr>
            <w:tcW w:type="dxa" w:w="7416"/>
            <w:vAlign w:val="center"/>
          </w:tcPr>
          <w:p>
            <w:pPr>
              <w:spacing w:after="20" w:before="20"/>
            </w:pPr>
            <w:r/>
            <w:r>
              <w:rPr>
                <w:rFonts w:ascii="Aptos" w:hAnsi="Aptos"/>
                <w:b w:val="0"/>
                <w:sz w:val="16"/>
              </w:rPr>
              <w:t>At least two integrated modalities with controlled modality-specific shifts and attribution metrics.</w:t>
            </w:r>
          </w:p>
        </w:tc>
      </w:tr>
      <w:tr>
        <w:tc>
          <w:tcPr>
            <w:tcW w:type="dxa" w:w="3096"/>
            <w:vAlign w:val="center"/>
            <w:shd w:fill="F2F6FA"/>
          </w:tcPr>
          <w:p>
            <w:pPr>
              <w:spacing w:after="20" w:before="20"/>
            </w:pPr>
            <w:r/>
            <w:r>
              <w:rPr>
                <w:rFonts w:ascii="Aptos" w:hAnsi="Aptos"/>
                <w:b w:val="0"/>
                <w:sz w:val="16"/>
              </w:rPr>
              <w:t>The work is novel</w:t>
            </w:r>
          </w:p>
        </w:tc>
        <w:tc>
          <w:tcPr>
            <w:tcW w:type="dxa" w:w="7416"/>
            <w:vAlign w:val="center"/>
            <w:shd w:fill="F2F6FA"/>
          </w:tcPr>
          <w:p>
            <w:pPr>
              <w:spacing w:after="20" w:before="20"/>
            </w:pPr>
            <w:r/>
            <w:r>
              <w:rPr>
                <w:rFonts w:ascii="Aptos" w:hAnsi="Aptos"/>
                <w:b w:val="0"/>
                <w:sz w:val="16"/>
              </w:rPr>
              <w:t>Full closest-paper comparison and documented targeted search/citation-chain review; a gap cannot be established solely by missing details in accessible abstracts.</w:t>
            </w:r>
          </w:p>
        </w:tc>
      </w:tr>
    </w:tbl>
    <w:p>
      <w:pPr>
        <w:spacing w:after="20"/>
      </w:pPr>
    </w:p>
    <w:p>
      <w:pPr>
        <w:pStyle w:val="Heading1"/>
        <w:keepNext/>
      </w:pPr>
      <w:r>
        <w:t>13. References and source links</w:t>
      </w:r>
    </w:p>
    <w:p>
      <w:r>
        <w:t>The references below are the core sources used in the current planning document. Recent-paper claims are limited to what was available in the inspected publisher, repository, or abstract records. The closest-paper full-text audits remain incomplete where explicitly noted.</w:t>
      </w:r>
    </w:p>
    <w:p>
      <w:pPr>
        <w:spacing w:after="20"/>
      </w:pPr>
      <w:r>
        <w:rPr>
          <w:sz w:val="17"/>
        </w:rPr>
        <w:t>1. McMahan, B., Moore, E., Ramage, D., Hampson, S., &amp; Aguera y Arcas, B. (2017). Communication-Efficient Learning of Deep Networks from Decentralized Data. AISTATS / PMLR 54, 1273–1282.</w:t>
        <w:br/>
      </w:r>
      <w:r>
        <w:rPr>
          <w:color w:val="1F4E79"/>
          <w:sz w:val="16"/>
        </w:rPr>
        <w:t>https://proceedings.mlr.press/v54/mcmahan17a.html</w:t>
      </w:r>
    </w:p>
    <w:p>
      <w:pPr>
        <w:spacing w:after="20"/>
      </w:pPr>
      <w:r>
        <w:rPr>
          <w:sz w:val="17"/>
        </w:rPr>
        <w:t>2. Jothimurugesan, E., Hsieh, K., Wang, J., Joshi, G., &amp; Gibbons, P. B. (2023). Federated Learning under Distributed Concept Drift. AISTATS / PMLR 206, 5834–5853.</w:t>
        <w:br/>
      </w:r>
      <w:r>
        <w:rPr>
          <w:color w:val="1F4E79"/>
          <w:sz w:val="16"/>
        </w:rPr>
        <w:t>https://proceedings.mlr.press/v206/jothimurugesan23a.html</w:t>
      </w:r>
    </w:p>
    <w:p>
      <w:pPr>
        <w:spacing w:after="20"/>
      </w:pPr>
      <w:r>
        <w:rPr>
          <w:sz w:val="17"/>
        </w:rPr>
        <w:t>3. Sudhakar, K., Jayasree, A., Sundaragiri, D., et al. (2026). FedDriftGuard adaptive federated learning with differential privacy for concept drift in edge environments. Scientific Reports, 16, 20326. DOI: 10.1038/s41598-026-51535-6.</w:t>
        <w:br/>
      </w:r>
      <w:r>
        <w:rPr>
          <w:color w:val="1F4E79"/>
          <w:sz w:val="16"/>
        </w:rPr>
        <w:t>https://doi.org/10.1038/s41598-026-51535-6</w:t>
      </w:r>
    </w:p>
    <w:p>
      <w:pPr>
        <w:spacing w:after="20"/>
      </w:pPr>
      <w:r>
        <w:rPr>
          <w:sz w:val="17"/>
        </w:rPr>
        <w:t>4. Han, Wu, &amp; Varghese. (2026). DriftGuard. arXiv:2603.18872 (preprint version inspected).</w:t>
        <w:br/>
      </w:r>
      <w:r>
        <w:rPr>
          <w:color w:val="1F4E79"/>
          <w:sz w:val="16"/>
        </w:rPr>
        <w:t>https://arxiv.org/html/2603.18872</w:t>
      </w:r>
    </w:p>
    <w:p>
      <w:pPr>
        <w:spacing w:after="20"/>
      </w:pPr>
      <w:r>
        <w:rPr>
          <w:sz w:val="17"/>
        </w:rPr>
        <w:t>5. Song, H., Wang, J., Zhou, J., &amp; Wang, L. (2025). FedMM: modality-heterogeneous federated learning method for medical image segmentation. IEEE Transactions on Medical Imaging, 44(4), 1931–1941. DOI: 10.1109/TMI.2024.3523378.</w:t>
        <w:br/>
      </w:r>
      <w:r>
        <w:rPr>
          <w:color w:val="1F4E79"/>
          <w:sz w:val="16"/>
        </w:rPr>
        <w:t>https://doi.org/10.1109/TMI.2024.3523378</w:t>
      </w:r>
    </w:p>
    <w:p>
      <w:pPr>
        <w:spacing w:after="20"/>
      </w:pPr>
      <w:r>
        <w:rPr>
          <w:sz w:val="17"/>
        </w:rPr>
        <w:t>6. Alhamoud, K., Ghunaim, Y., Alfarra, M., Hartvigsen, T., Torr, P., Ghanem, B., Bibi, A., &amp; Ghassemi, M. (2024). FedMedICL: Towards Holistic Evaluation of Distribution Shifts in Federated Medical Imaging. MICCAI 2024, LNCS 15010, 383–393. DOI: 10.1007/978-3-031-72117-5_36.</w:t>
        <w:br/>
      </w:r>
      <w:r>
        <w:rPr>
          <w:color w:val="1F4E79"/>
          <w:sz w:val="16"/>
        </w:rPr>
        <w:t>https://papers.miccai.org/miccai-2024/322-Paper2266.html</w:t>
      </w:r>
    </w:p>
    <w:p>
      <w:pPr>
        <w:spacing w:after="20"/>
      </w:pPr>
      <w:r>
        <w:rPr>
          <w:sz w:val="17"/>
        </w:rPr>
        <w:t>7. Chhetri, A., Niroula, B., Shrestha, P., et al. (2026). Med-MMFL: A Multimodal Federated Learning Benchmark in Healthcare. arXiv:2602.04416. Preprint; verify latest version before submission.</w:t>
        <w:br/>
      </w:r>
      <w:r>
        <w:rPr>
          <w:color w:val="1F4E79"/>
          <w:sz w:val="16"/>
        </w:rPr>
        <w:t>https://arxiv.org/abs/2602.04416</w:t>
      </w:r>
    </w:p>
    <w:p>
      <w:pPr>
        <w:spacing w:after="20"/>
      </w:pPr>
      <w:r>
        <w:rPr>
          <w:sz w:val="17"/>
        </w:rPr>
        <w:t>8. du Terrail, J. O., Leopold, A., Joly, C., et al. (2022). FLamby: Datasets and benchmarks for cross-silo federated learning in realistic healthcare settings. NeurIPS Datasets and Benchmarks.</w:t>
        <w:br/>
      </w:r>
      <w:r>
        <w:rPr>
          <w:color w:val="1F4E79"/>
          <w:sz w:val="16"/>
        </w:rPr>
        <w:t>https://proceedings.neurips.cc/paper_files/paper/2022/hash/232eee8ef411a0a316efa298d7be3c2b-Abstract-Datasets_and_Benchmarks.html</w:t>
      </w:r>
    </w:p>
    <w:p>
      <w:pPr>
        <w:spacing w:after="20"/>
      </w:pPr>
      <w:r>
        <w:rPr>
          <w:sz w:val="17"/>
        </w:rPr>
        <w:t>9. Johnson, A. E. W., Bulgarelli, L., Shen, L., et al. (2023). MIMIC-IV, a freely accessible electronic health record dataset. Scientific Data, 10, 1. DOI: 10.1038/s41597-022-01899-x. Dataset version cited in plan: MIMIC-IV v3.1.</w:t>
        <w:br/>
      </w:r>
      <w:r>
        <w:rPr>
          <w:color w:val="1F4E79"/>
          <w:sz w:val="16"/>
        </w:rPr>
        <w:t>https://physionet.org/content/mimiciv/3.1/</w:t>
      </w:r>
    </w:p>
    <w:p>
      <w:pPr>
        <w:spacing w:after="20"/>
      </w:pPr>
      <w:r>
        <w:rPr>
          <w:sz w:val="17"/>
        </w:rPr>
        <w:t>10. Johnson, A., Pollard, T., Mark, R., Berkowitz, S., &amp; Horng, S. (2019). MIMIC-CXR Database (version 2.0.0). PhysioNet. DOI: 10.13026/C2JT1Q.</w:t>
        <w:br/>
      </w:r>
      <w:r>
        <w:rPr>
          <w:color w:val="1F4E79"/>
          <w:sz w:val="16"/>
        </w:rPr>
        <w:t>https://physionet.org/content/mimic-cxr/</w:t>
      </w:r>
    </w:p>
    <w:p>
      <w:pPr>
        <w:spacing w:after="20"/>
      </w:pPr>
      <w:r>
        <w:rPr>
          <w:sz w:val="17"/>
        </w:rPr>
        <w:t>11. Flower. Differential Privacy documentation. Official framework documentation; feature maturity and version should be checked at implementation time.</w:t>
        <w:br/>
      </w:r>
      <w:r>
        <w:rPr>
          <w:color w:val="1F4E79"/>
          <w:sz w:val="16"/>
        </w:rPr>
        <w:t>https://flower.ai/docs/framework/explanation-differential-privacy.html</w:t>
      </w:r>
    </w:p>
    <w:p>
      <w:pPr>
        <w:spacing w:after="20"/>
      </w:pPr>
      <w:r>
        <w:rPr>
          <w:sz w:val="17"/>
        </w:rPr>
        <w:t>12. Strands Agents. Official SDK documentation: quickstart, tools, structured output, and runtime interventions. Documentation is live and may change.</w:t>
        <w:br/>
      </w:r>
      <w:r>
        <w:rPr>
          <w:color w:val="1F4E79"/>
          <w:sz w:val="16"/>
        </w:rPr>
        <w:t>https://strandsagents.com/docs/</w:t>
      </w:r>
    </w:p>
    <w:p>
      <w:pPr>
        <w:spacing w:after="20"/>
      </w:pPr>
      <w:r>
        <w:rPr>
          <w:sz w:val="17"/>
        </w:rPr>
        <w:t>13. Dwork, C., &amp; Roth, A. (2014). The Algorithmic Foundations of Differential Privacy. Foundations and Trends in Theoretical Computer Science, 9(3–4), 211–407.</w:t>
        <w:br/>
      </w:r>
      <w:r>
        <w:rPr>
          <w:color w:val="1F4E79"/>
          <w:sz w:val="16"/>
        </w:rPr>
        <w:t>https://www.cis.upenn.edu/~aaroth/Papers/privacybook.pdf</w:t>
      </w:r>
    </w:p>
    <w:p>
      <w:pPr>
        <w:pStyle w:val="Heading2"/>
        <w:keepNext/>
      </w:pPr>
      <w:r>
        <w:t>Additional source-audit notes</w:t>
      </w:r>
    </w:p>
    <w:p>
      <w:pPr>
        <w:pStyle w:val="ListBullet"/>
        <w:spacing w:after="40"/>
      </w:pPr>
      <w:r>
        <w:t>FedDriftGuard: accessible article text was not sufficient for independent reproduction of its cumulative privacy guarantee; do not state that its accountant is absent from all supplements.</w:t>
      </w:r>
    </w:p>
    <w:p>
      <w:pPr>
        <w:pStyle w:val="ListBullet"/>
        <w:spacing w:after="40"/>
      </w:pPr>
      <w:r>
        <w:t>Song et al.’s FedMM: the publisher/PubMed record verified identity and core method, but full methods, tables, ablations, and supplement remain to be inspected.</w:t>
      </w:r>
    </w:p>
    <w:p>
      <w:pPr>
        <w:pStyle w:val="ListBullet"/>
        <w:spacing w:after="40"/>
      </w:pPr>
      <w:r>
        <w:t>Forward citation chains for the recent papers are incomplete. Treat lack of retrieved citing papers as an index-coverage limitation, not proof that no follow-up exists.</w:t>
      </w:r>
    </w:p>
    <w:p>
      <w:pPr>
        <w:pStyle w:val="ListBullet"/>
        <w:spacing w:after="40"/>
      </w:pPr>
      <w:r>
        <w:t>The Strands documentation describes an SDK for constructing agents; the research contribution must be measured at the policy level, not claimed from framework use alone.</w:t>
      </w:r>
    </w:p>
    <w:p>
      <w:pPr>
        <w:pStyle w:val="Heading1"/>
        <w:keepNext/>
      </w:pPr>
      <w:r>
        <w:t>Final working decision</w:t>
      </w:r>
    </w:p>
    <w:p>
      <w:r>
        <w:t>Proceed with a narrowed, staged study. First deliver a reproducible non-private structured MIMIC-IV/Flower baseline and controlled drift scenarios. Then add a valid DP mechanism and cumulative accountant. Compare a transparent rule-based recovery policy with a constrained Strands-agent policy under the same evidence, action set, and privacy gate. Only expand to CXR/text and client–modality attribution after the first stages are reliable. The research gaps remain hypotheses to verify; the final paper must not claim novelty solely because the current accessible records did not establish the full combination.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Working research document • 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sz w:val="16"/>
      </w:rPr>
      <w:t>RESEARCH PLAN  |  FEDERATED CLINICAL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7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