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1C" w:rsidRPr="00DB411C" w:rsidRDefault="00DB411C" w:rsidP="00DB411C">
      <w:r w:rsidRPr="00DB411C">
        <w:rPr>
          <w:b/>
          <w:bCs/>
        </w:rPr>
        <w:t>Final Report: A/B Testing Analysis</w:t>
      </w:r>
    </w:p>
    <w:p w:rsidR="00DB411C" w:rsidRPr="00DB411C" w:rsidRDefault="00DB411C" w:rsidP="00DB411C">
      <w:r w:rsidRPr="00DB411C">
        <w:pict>
          <v:rect id="_x0000_i1025" style="width:0;height:1.5pt" o:hralign="center" o:hrstd="t" o:hr="t" fillcolor="#a0a0a0" stroked="f"/>
        </w:pict>
      </w:r>
    </w:p>
    <w:p w:rsidR="00DB411C" w:rsidRPr="00DB411C" w:rsidRDefault="00DB411C" w:rsidP="00DB411C">
      <w:pPr>
        <w:rPr>
          <w:b/>
          <w:bCs/>
        </w:rPr>
      </w:pPr>
      <w:r w:rsidRPr="00DB411C">
        <w:rPr>
          <w:b/>
          <w:bCs/>
        </w:rPr>
        <w:t>1. Introduction</w:t>
      </w:r>
    </w:p>
    <w:p w:rsidR="00DB411C" w:rsidRPr="00DB411C" w:rsidRDefault="00DB411C" w:rsidP="00DB411C">
      <w:r w:rsidRPr="00DB411C">
        <w:t>This report presents the findings from an A/B testing analysis conducted to evaluate cart conversion rates (CCR) between two groups, Group A and Group B, and to identify trends in daily conversion rates. The goal is to provide actionable insights to optimize cart creation strategies.</w:t>
      </w:r>
    </w:p>
    <w:p w:rsidR="00DB411C" w:rsidRPr="00DB411C" w:rsidRDefault="00DB411C" w:rsidP="00DB411C">
      <w:r w:rsidRPr="00DB411C">
        <w:pict>
          <v:rect id="_x0000_i1026" style="width:0;height:1.5pt" o:hralign="center" o:hrstd="t" o:hr="t" fillcolor="#a0a0a0" stroked="f"/>
        </w:pict>
      </w:r>
    </w:p>
    <w:p w:rsidR="00DB411C" w:rsidRPr="00DB411C" w:rsidRDefault="00DB411C" w:rsidP="00DB411C">
      <w:pPr>
        <w:rPr>
          <w:b/>
          <w:bCs/>
        </w:rPr>
      </w:pPr>
      <w:r w:rsidRPr="00DB411C">
        <w:rPr>
          <w:b/>
          <w:bCs/>
        </w:rPr>
        <w:t>2. Methodology</w:t>
      </w:r>
    </w:p>
    <w:p w:rsidR="00DB411C" w:rsidRPr="00DB411C" w:rsidRDefault="00DB411C" w:rsidP="00DB411C">
      <w:pPr>
        <w:rPr>
          <w:b/>
          <w:bCs/>
        </w:rPr>
      </w:pPr>
      <w:r w:rsidRPr="00DB411C">
        <w:rPr>
          <w:b/>
          <w:bCs/>
        </w:rPr>
        <w:t>Dataset Overview</w:t>
      </w:r>
    </w:p>
    <w:p w:rsidR="00DB411C" w:rsidRPr="00DB411C" w:rsidRDefault="00DB411C" w:rsidP="00DB411C">
      <w:r w:rsidRPr="00DB411C">
        <w:t>The dataset includes the following columns:</w:t>
      </w:r>
    </w:p>
    <w:p w:rsidR="00DB411C" w:rsidRPr="00DB411C" w:rsidRDefault="00DB411C" w:rsidP="00DB411C">
      <w:pPr>
        <w:numPr>
          <w:ilvl w:val="0"/>
          <w:numId w:val="1"/>
        </w:numPr>
      </w:pPr>
      <w:proofErr w:type="spellStart"/>
      <w:r w:rsidRPr="00DB411C">
        <w:rPr>
          <w:b/>
          <w:bCs/>
        </w:rPr>
        <w:t>location_country</w:t>
      </w:r>
      <w:proofErr w:type="spellEnd"/>
      <w:r w:rsidRPr="00DB411C">
        <w:t>: Country of the visitors.</w:t>
      </w:r>
    </w:p>
    <w:p w:rsidR="00DB411C" w:rsidRPr="00DB411C" w:rsidRDefault="00DB411C" w:rsidP="00DB411C">
      <w:pPr>
        <w:numPr>
          <w:ilvl w:val="0"/>
          <w:numId w:val="1"/>
        </w:numPr>
      </w:pPr>
      <w:proofErr w:type="gramStart"/>
      <w:r w:rsidRPr="00DB411C">
        <w:rPr>
          <w:b/>
          <w:bCs/>
        </w:rPr>
        <w:t>day</w:t>
      </w:r>
      <w:proofErr w:type="gramEnd"/>
      <w:r w:rsidRPr="00DB411C">
        <w:t>: Day of the experiment.</w:t>
      </w:r>
      <w:bookmarkStart w:id="0" w:name="_GoBack"/>
      <w:bookmarkEnd w:id="0"/>
    </w:p>
    <w:p w:rsidR="00DB411C" w:rsidRPr="00DB411C" w:rsidRDefault="00DB411C" w:rsidP="00DB411C">
      <w:pPr>
        <w:numPr>
          <w:ilvl w:val="0"/>
          <w:numId w:val="1"/>
        </w:numPr>
      </w:pPr>
      <w:proofErr w:type="spellStart"/>
      <w:r w:rsidRPr="00DB411C">
        <w:rPr>
          <w:b/>
          <w:bCs/>
        </w:rPr>
        <w:t>total_visitors</w:t>
      </w:r>
      <w:proofErr w:type="spellEnd"/>
      <w:r w:rsidRPr="00DB411C">
        <w:t>: Total number of visitors.</w:t>
      </w:r>
    </w:p>
    <w:p w:rsidR="00DB411C" w:rsidRPr="00DB411C" w:rsidRDefault="00DB411C" w:rsidP="00DB411C">
      <w:pPr>
        <w:numPr>
          <w:ilvl w:val="0"/>
          <w:numId w:val="1"/>
        </w:numPr>
      </w:pPr>
      <w:proofErr w:type="spellStart"/>
      <w:r w:rsidRPr="00DB411C">
        <w:rPr>
          <w:b/>
          <w:bCs/>
        </w:rPr>
        <w:t>total_carts</w:t>
      </w:r>
      <w:proofErr w:type="spellEnd"/>
      <w:r w:rsidRPr="00DB411C">
        <w:t>: Total number of carts created.</w:t>
      </w:r>
    </w:p>
    <w:p w:rsidR="00DB411C" w:rsidRPr="00DB411C" w:rsidRDefault="00DB411C" w:rsidP="00DB411C">
      <w:pPr>
        <w:numPr>
          <w:ilvl w:val="0"/>
          <w:numId w:val="1"/>
        </w:numPr>
      </w:pPr>
      <w:proofErr w:type="spellStart"/>
      <w:r w:rsidRPr="00DB411C">
        <w:rPr>
          <w:b/>
          <w:bCs/>
        </w:rPr>
        <w:t>cart_conversion_rate</w:t>
      </w:r>
      <w:proofErr w:type="spellEnd"/>
      <w:r w:rsidRPr="00DB411C">
        <w:t>: Calculated as:</w:t>
      </w:r>
    </w:p>
    <w:p w:rsidR="00DB411C" w:rsidRPr="00DB411C" w:rsidRDefault="00DB411C" w:rsidP="00DB411C">
      <w:pPr>
        <w:rPr>
          <w:b/>
          <w:bCs/>
        </w:rPr>
      </w:pPr>
      <w:r w:rsidRPr="00DB411C">
        <w:rPr>
          <w:b/>
          <w:bCs/>
        </w:rPr>
        <w:t>Steps Conducted</w:t>
      </w:r>
    </w:p>
    <w:p w:rsidR="00DB411C" w:rsidRPr="00DB411C" w:rsidRDefault="00DB411C" w:rsidP="00DB411C">
      <w:pPr>
        <w:numPr>
          <w:ilvl w:val="0"/>
          <w:numId w:val="2"/>
        </w:numPr>
      </w:pPr>
      <w:r w:rsidRPr="00DB411C">
        <w:rPr>
          <w:b/>
          <w:bCs/>
        </w:rPr>
        <w:t>Data Cleaning</w:t>
      </w:r>
      <w:r w:rsidRPr="00DB411C">
        <w:t>: Missing values and zero visitors were removed.</w:t>
      </w:r>
    </w:p>
    <w:p w:rsidR="00DB411C" w:rsidRPr="00DB411C" w:rsidRDefault="00DB411C" w:rsidP="00DB411C">
      <w:pPr>
        <w:numPr>
          <w:ilvl w:val="0"/>
          <w:numId w:val="2"/>
        </w:numPr>
      </w:pPr>
      <w:r w:rsidRPr="00DB411C">
        <w:rPr>
          <w:b/>
          <w:bCs/>
        </w:rPr>
        <w:t>Group Definition</w:t>
      </w:r>
      <w:r w:rsidRPr="00DB411C">
        <w:t>: Two groups were defined based on location:</w:t>
      </w:r>
    </w:p>
    <w:p w:rsidR="00DB411C" w:rsidRPr="00DB411C" w:rsidRDefault="00DB411C" w:rsidP="00DB411C">
      <w:pPr>
        <w:numPr>
          <w:ilvl w:val="1"/>
          <w:numId w:val="2"/>
        </w:numPr>
      </w:pPr>
      <w:r w:rsidRPr="00DB411C">
        <w:rPr>
          <w:b/>
          <w:bCs/>
        </w:rPr>
        <w:t>Group A</w:t>
      </w:r>
      <w:r w:rsidRPr="00DB411C">
        <w:t>: North America (e.g., United States, Canada).</w:t>
      </w:r>
    </w:p>
    <w:p w:rsidR="00DB411C" w:rsidRPr="00DB411C" w:rsidRDefault="00DB411C" w:rsidP="00DB411C">
      <w:pPr>
        <w:numPr>
          <w:ilvl w:val="1"/>
          <w:numId w:val="2"/>
        </w:numPr>
      </w:pPr>
      <w:r w:rsidRPr="00DB411C">
        <w:rPr>
          <w:b/>
          <w:bCs/>
        </w:rPr>
        <w:t>Group B</w:t>
      </w:r>
      <w:r w:rsidRPr="00DB411C">
        <w:t>: Middle East (e.g., Saudi Arabia, UAE).</w:t>
      </w:r>
    </w:p>
    <w:p w:rsidR="00DB411C" w:rsidRPr="00DB411C" w:rsidRDefault="00DB411C" w:rsidP="00DB411C">
      <w:pPr>
        <w:numPr>
          <w:ilvl w:val="0"/>
          <w:numId w:val="2"/>
        </w:numPr>
      </w:pPr>
      <w:r w:rsidRPr="00DB411C">
        <w:rPr>
          <w:b/>
          <w:bCs/>
        </w:rPr>
        <w:t>Statistical Testing</w:t>
      </w:r>
      <w:r w:rsidRPr="00DB411C">
        <w:t>: A t-test was used to compare CCR between the two groups:</w:t>
      </w:r>
    </w:p>
    <w:p w:rsidR="00DB411C" w:rsidRPr="00DB411C" w:rsidRDefault="00DB411C" w:rsidP="00DB411C">
      <w:pPr>
        <w:numPr>
          <w:ilvl w:val="1"/>
          <w:numId w:val="2"/>
        </w:numPr>
      </w:pPr>
      <w:r w:rsidRPr="00DB411C">
        <w:rPr>
          <w:b/>
          <w:bCs/>
        </w:rPr>
        <w:t>Null Hypothesis (H₀):</w:t>
      </w:r>
      <w:r w:rsidRPr="00DB411C">
        <w:t xml:space="preserve"> No significant difference in CCR between Group A and Group B.</w:t>
      </w:r>
    </w:p>
    <w:p w:rsidR="00DB411C" w:rsidRPr="00DB411C" w:rsidRDefault="00DB411C" w:rsidP="00DB411C">
      <w:pPr>
        <w:numPr>
          <w:ilvl w:val="1"/>
          <w:numId w:val="2"/>
        </w:numPr>
      </w:pPr>
      <w:r w:rsidRPr="00DB411C">
        <w:rPr>
          <w:b/>
          <w:bCs/>
        </w:rPr>
        <w:t>Alternative Hypothesis (H₁):</w:t>
      </w:r>
      <w:r w:rsidRPr="00DB411C">
        <w:t xml:space="preserve"> Significant difference in CCR between the groups.</w:t>
      </w:r>
    </w:p>
    <w:p w:rsidR="00DB411C" w:rsidRPr="00DB411C" w:rsidRDefault="00DB411C" w:rsidP="00DB411C">
      <w:pPr>
        <w:numPr>
          <w:ilvl w:val="0"/>
          <w:numId w:val="2"/>
        </w:numPr>
      </w:pPr>
      <w:r w:rsidRPr="00DB411C">
        <w:rPr>
          <w:b/>
          <w:bCs/>
        </w:rPr>
        <w:t>Trend Analysis</w:t>
      </w:r>
      <w:r w:rsidRPr="00DB411C">
        <w:t>: Daily CCR trends were analyzed to identify high and low-performing days.</w:t>
      </w:r>
    </w:p>
    <w:p w:rsidR="00DB411C" w:rsidRPr="00DB411C" w:rsidRDefault="00DB411C" w:rsidP="00DB411C">
      <w:r w:rsidRPr="00DB411C">
        <w:pict>
          <v:rect id="_x0000_i1027" style="width:0;height:1.5pt" o:hralign="center" o:hrstd="t" o:hr="t" fillcolor="#a0a0a0" stroked="f"/>
        </w:pict>
      </w:r>
    </w:p>
    <w:p w:rsidR="00DB411C" w:rsidRPr="00DB411C" w:rsidRDefault="00DB411C" w:rsidP="00DB411C">
      <w:pPr>
        <w:rPr>
          <w:b/>
          <w:bCs/>
        </w:rPr>
      </w:pPr>
      <w:r w:rsidRPr="00DB411C">
        <w:rPr>
          <w:b/>
          <w:bCs/>
        </w:rPr>
        <w:t>3. Results</w:t>
      </w:r>
    </w:p>
    <w:p w:rsidR="00DB411C" w:rsidRPr="00DB411C" w:rsidRDefault="00DB411C" w:rsidP="00DB411C">
      <w:pPr>
        <w:rPr>
          <w:b/>
          <w:bCs/>
        </w:rPr>
      </w:pPr>
      <w:r w:rsidRPr="00DB411C">
        <w:rPr>
          <w:b/>
          <w:bCs/>
        </w:rPr>
        <w:t>Group Comparison</w:t>
      </w:r>
    </w:p>
    <w:p w:rsidR="00DB411C" w:rsidRPr="00DB411C" w:rsidRDefault="00DB411C" w:rsidP="00DB411C">
      <w:pPr>
        <w:numPr>
          <w:ilvl w:val="0"/>
          <w:numId w:val="3"/>
        </w:numPr>
      </w:pPr>
      <w:r w:rsidRPr="00DB411C">
        <w:rPr>
          <w:b/>
          <w:bCs/>
        </w:rPr>
        <w:t>Group Sizes:</w:t>
      </w:r>
    </w:p>
    <w:p w:rsidR="00DB411C" w:rsidRPr="00DB411C" w:rsidRDefault="00DB411C" w:rsidP="00DB411C">
      <w:pPr>
        <w:numPr>
          <w:ilvl w:val="1"/>
          <w:numId w:val="3"/>
        </w:numPr>
      </w:pPr>
      <w:r w:rsidRPr="00DB411C">
        <w:t>Group A: 71–72 samples.</w:t>
      </w:r>
    </w:p>
    <w:p w:rsidR="00DB411C" w:rsidRPr="00DB411C" w:rsidRDefault="00DB411C" w:rsidP="00DB411C">
      <w:pPr>
        <w:numPr>
          <w:ilvl w:val="1"/>
          <w:numId w:val="3"/>
        </w:numPr>
      </w:pPr>
      <w:r w:rsidRPr="00DB411C">
        <w:lastRenderedPageBreak/>
        <w:t>Group B: 232–238 samples.</w:t>
      </w:r>
    </w:p>
    <w:p w:rsidR="00DB411C" w:rsidRPr="00DB411C" w:rsidRDefault="00DB411C" w:rsidP="00DB411C">
      <w:pPr>
        <w:numPr>
          <w:ilvl w:val="0"/>
          <w:numId w:val="3"/>
        </w:numPr>
      </w:pPr>
      <w:r w:rsidRPr="00DB411C">
        <w:rPr>
          <w:b/>
          <w:bCs/>
        </w:rPr>
        <w:t>Statistical Test Results:</w:t>
      </w:r>
    </w:p>
    <w:p w:rsidR="00DB411C" w:rsidRPr="00DB411C" w:rsidRDefault="00DB411C" w:rsidP="00DB411C">
      <w:pPr>
        <w:numPr>
          <w:ilvl w:val="1"/>
          <w:numId w:val="3"/>
        </w:numPr>
      </w:pPr>
      <w:r w:rsidRPr="00DB411C">
        <w:rPr>
          <w:b/>
          <w:bCs/>
        </w:rPr>
        <w:t>T-statistic:</w:t>
      </w:r>
      <w:r w:rsidRPr="00DB411C">
        <w:t xml:space="preserve"> -2.43</w:t>
      </w:r>
    </w:p>
    <w:p w:rsidR="00DB411C" w:rsidRPr="00DB411C" w:rsidRDefault="00DB411C" w:rsidP="00DB411C">
      <w:pPr>
        <w:numPr>
          <w:ilvl w:val="1"/>
          <w:numId w:val="3"/>
        </w:numPr>
      </w:pPr>
      <w:r w:rsidRPr="00DB411C">
        <w:rPr>
          <w:b/>
          <w:bCs/>
        </w:rPr>
        <w:t>P-value:</w:t>
      </w:r>
      <w:r w:rsidRPr="00DB411C">
        <w:t xml:space="preserve"> 0.0159</w:t>
      </w:r>
    </w:p>
    <w:p w:rsidR="00DB411C" w:rsidRPr="00DB411C" w:rsidRDefault="00DB411C" w:rsidP="00DB411C">
      <w:r w:rsidRPr="00DB411C">
        <w:rPr>
          <w:b/>
          <w:bCs/>
        </w:rPr>
        <w:t>Conclusion:</w:t>
      </w:r>
      <w:r w:rsidRPr="00DB411C">
        <w:t xml:space="preserve"> Group B has a significantly higher cart conversion rate than Group </w:t>
      </w:r>
      <w:proofErr w:type="gramStart"/>
      <w:r w:rsidRPr="00DB411C">
        <w:t>A</w:t>
      </w:r>
      <w:proofErr w:type="gramEnd"/>
      <w:r w:rsidRPr="00DB411C">
        <w:t xml:space="preserve"> (p-value &lt; 0.05).</w:t>
      </w:r>
    </w:p>
    <w:p w:rsidR="00DB411C" w:rsidRPr="00DB411C" w:rsidRDefault="00DB411C" w:rsidP="00DB411C">
      <w:pPr>
        <w:rPr>
          <w:b/>
          <w:bCs/>
        </w:rPr>
      </w:pPr>
      <w:r w:rsidRPr="00DB411C">
        <w:rPr>
          <w:b/>
          <w:bCs/>
        </w:rPr>
        <w:t>Daily Trends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
        <w:gridCol w:w="2345"/>
      </w:tblGrid>
      <w:tr w:rsidR="00DB411C" w:rsidRPr="00DB411C" w:rsidTr="00DB411C">
        <w:trPr>
          <w:tblCellSpacing w:w="15" w:type="dxa"/>
        </w:trPr>
        <w:tc>
          <w:tcPr>
            <w:tcW w:w="0" w:type="auto"/>
            <w:vAlign w:val="center"/>
            <w:hideMark/>
          </w:tcPr>
          <w:p w:rsidR="00DB411C" w:rsidRPr="00DB411C" w:rsidRDefault="00DB411C" w:rsidP="00DB411C">
            <w:pPr>
              <w:rPr>
                <w:b/>
                <w:bCs/>
              </w:rPr>
            </w:pPr>
            <w:r w:rsidRPr="00DB411C">
              <w:rPr>
                <w:b/>
                <w:bCs/>
              </w:rPr>
              <w:t>Day</w:t>
            </w:r>
          </w:p>
        </w:tc>
        <w:tc>
          <w:tcPr>
            <w:tcW w:w="0" w:type="auto"/>
            <w:vAlign w:val="center"/>
            <w:hideMark/>
          </w:tcPr>
          <w:p w:rsidR="00DB411C" w:rsidRPr="00DB411C" w:rsidRDefault="00DB411C" w:rsidP="00DB411C">
            <w:pPr>
              <w:rPr>
                <w:b/>
                <w:bCs/>
              </w:rPr>
            </w:pPr>
            <w:r w:rsidRPr="00DB411C">
              <w:rPr>
                <w:b/>
                <w:bCs/>
              </w:rPr>
              <w:t>Cart Conversion Rate (%)</w:t>
            </w:r>
          </w:p>
        </w:tc>
      </w:tr>
      <w:tr w:rsidR="00DB411C" w:rsidRPr="00DB411C" w:rsidTr="00DB411C">
        <w:trPr>
          <w:tblCellSpacing w:w="15" w:type="dxa"/>
        </w:trPr>
        <w:tc>
          <w:tcPr>
            <w:tcW w:w="0" w:type="auto"/>
            <w:vAlign w:val="center"/>
            <w:hideMark/>
          </w:tcPr>
          <w:p w:rsidR="00DB411C" w:rsidRPr="00DB411C" w:rsidRDefault="00DB411C" w:rsidP="00DB411C">
            <w:r w:rsidRPr="00DB411C">
              <w:t>1</w:t>
            </w:r>
          </w:p>
        </w:tc>
        <w:tc>
          <w:tcPr>
            <w:tcW w:w="0" w:type="auto"/>
            <w:vAlign w:val="center"/>
            <w:hideMark/>
          </w:tcPr>
          <w:p w:rsidR="00DB411C" w:rsidRPr="00DB411C" w:rsidRDefault="00DB411C" w:rsidP="00DB411C">
            <w:r w:rsidRPr="00DB411C">
              <w:t>13.74</w:t>
            </w:r>
          </w:p>
        </w:tc>
      </w:tr>
      <w:tr w:rsidR="00DB411C" w:rsidRPr="00DB411C" w:rsidTr="00DB411C">
        <w:trPr>
          <w:tblCellSpacing w:w="15" w:type="dxa"/>
        </w:trPr>
        <w:tc>
          <w:tcPr>
            <w:tcW w:w="0" w:type="auto"/>
            <w:vAlign w:val="center"/>
            <w:hideMark/>
          </w:tcPr>
          <w:p w:rsidR="00DB411C" w:rsidRPr="00DB411C" w:rsidRDefault="00DB411C" w:rsidP="00DB411C">
            <w:r w:rsidRPr="00DB411C">
              <w:t>10</w:t>
            </w:r>
          </w:p>
        </w:tc>
        <w:tc>
          <w:tcPr>
            <w:tcW w:w="0" w:type="auto"/>
            <w:vAlign w:val="center"/>
            <w:hideMark/>
          </w:tcPr>
          <w:p w:rsidR="00DB411C" w:rsidRPr="00DB411C" w:rsidRDefault="00DB411C" w:rsidP="00DB411C">
            <w:r w:rsidRPr="00DB411C">
              <w:t>35.71</w:t>
            </w:r>
          </w:p>
        </w:tc>
      </w:tr>
      <w:tr w:rsidR="00DB411C" w:rsidRPr="00DB411C" w:rsidTr="00DB411C">
        <w:trPr>
          <w:tblCellSpacing w:w="15" w:type="dxa"/>
        </w:trPr>
        <w:tc>
          <w:tcPr>
            <w:tcW w:w="0" w:type="auto"/>
            <w:vAlign w:val="center"/>
            <w:hideMark/>
          </w:tcPr>
          <w:p w:rsidR="00DB411C" w:rsidRPr="00DB411C" w:rsidRDefault="00DB411C" w:rsidP="00DB411C">
            <w:r w:rsidRPr="00DB411C">
              <w:t>11</w:t>
            </w:r>
          </w:p>
        </w:tc>
        <w:tc>
          <w:tcPr>
            <w:tcW w:w="0" w:type="auto"/>
            <w:vAlign w:val="center"/>
            <w:hideMark/>
          </w:tcPr>
          <w:p w:rsidR="00DB411C" w:rsidRPr="00DB411C" w:rsidRDefault="00DB411C" w:rsidP="00DB411C">
            <w:r w:rsidRPr="00DB411C">
              <w:t>20.78</w:t>
            </w:r>
          </w:p>
        </w:tc>
      </w:tr>
      <w:tr w:rsidR="00DB411C" w:rsidRPr="00DB411C" w:rsidTr="00DB411C">
        <w:trPr>
          <w:tblCellSpacing w:w="15" w:type="dxa"/>
        </w:trPr>
        <w:tc>
          <w:tcPr>
            <w:tcW w:w="0" w:type="auto"/>
            <w:vAlign w:val="center"/>
            <w:hideMark/>
          </w:tcPr>
          <w:p w:rsidR="00DB411C" w:rsidRPr="00DB411C" w:rsidRDefault="00DB411C" w:rsidP="00DB411C">
            <w:r w:rsidRPr="00DB411C">
              <w:t>12</w:t>
            </w:r>
          </w:p>
        </w:tc>
        <w:tc>
          <w:tcPr>
            <w:tcW w:w="0" w:type="auto"/>
            <w:vAlign w:val="center"/>
            <w:hideMark/>
          </w:tcPr>
          <w:p w:rsidR="00DB411C" w:rsidRPr="00DB411C" w:rsidRDefault="00DB411C" w:rsidP="00DB411C">
            <w:r w:rsidRPr="00DB411C">
              <w:t>0.00</w:t>
            </w:r>
          </w:p>
        </w:tc>
      </w:tr>
      <w:tr w:rsidR="00DB411C" w:rsidRPr="00DB411C" w:rsidTr="00DB411C">
        <w:trPr>
          <w:tblCellSpacing w:w="15" w:type="dxa"/>
        </w:trPr>
        <w:tc>
          <w:tcPr>
            <w:tcW w:w="0" w:type="auto"/>
            <w:vAlign w:val="center"/>
            <w:hideMark/>
          </w:tcPr>
          <w:p w:rsidR="00DB411C" w:rsidRPr="00DB411C" w:rsidRDefault="00DB411C" w:rsidP="00DB411C">
            <w:r w:rsidRPr="00DB411C">
              <w:t>15</w:t>
            </w:r>
          </w:p>
        </w:tc>
        <w:tc>
          <w:tcPr>
            <w:tcW w:w="0" w:type="auto"/>
            <w:vAlign w:val="center"/>
            <w:hideMark/>
          </w:tcPr>
          <w:p w:rsidR="00DB411C" w:rsidRPr="00DB411C" w:rsidRDefault="00DB411C" w:rsidP="00DB411C">
            <w:r w:rsidRPr="00DB411C">
              <w:t>1.36</w:t>
            </w:r>
          </w:p>
        </w:tc>
      </w:tr>
      <w:tr w:rsidR="00DB411C" w:rsidRPr="00DB411C" w:rsidTr="00DB411C">
        <w:trPr>
          <w:tblCellSpacing w:w="15" w:type="dxa"/>
        </w:trPr>
        <w:tc>
          <w:tcPr>
            <w:tcW w:w="0" w:type="auto"/>
            <w:vAlign w:val="center"/>
            <w:hideMark/>
          </w:tcPr>
          <w:p w:rsidR="00DB411C" w:rsidRPr="00DB411C" w:rsidRDefault="00DB411C" w:rsidP="00DB411C">
            <w:r w:rsidRPr="00DB411C">
              <w:t>21</w:t>
            </w:r>
          </w:p>
        </w:tc>
        <w:tc>
          <w:tcPr>
            <w:tcW w:w="0" w:type="auto"/>
            <w:vAlign w:val="center"/>
            <w:hideMark/>
          </w:tcPr>
          <w:p w:rsidR="00DB411C" w:rsidRPr="00DB411C" w:rsidRDefault="00DB411C" w:rsidP="00DB411C">
            <w:r w:rsidRPr="00DB411C">
              <w:t>2.08</w:t>
            </w:r>
          </w:p>
        </w:tc>
      </w:tr>
    </w:tbl>
    <w:p w:rsidR="00DB411C" w:rsidRPr="00DB411C" w:rsidRDefault="00DB411C" w:rsidP="00DB411C">
      <w:pPr>
        <w:numPr>
          <w:ilvl w:val="0"/>
          <w:numId w:val="4"/>
        </w:numPr>
      </w:pPr>
      <w:r w:rsidRPr="00DB411C">
        <w:rPr>
          <w:b/>
          <w:bCs/>
        </w:rPr>
        <w:t>Highest CCR:</w:t>
      </w:r>
      <w:r w:rsidRPr="00DB411C">
        <w:t xml:space="preserve"> Day 10 (35.71%).</w:t>
      </w:r>
    </w:p>
    <w:p w:rsidR="00DB411C" w:rsidRPr="00DB411C" w:rsidRDefault="00DB411C" w:rsidP="00DB411C">
      <w:pPr>
        <w:numPr>
          <w:ilvl w:val="0"/>
          <w:numId w:val="4"/>
        </w:numPr>
      </w:pPr>
      <w:r w:rsidRPr="00DB411C">
        <w:rPr>
          <w:b/>
          <w:bCs/>
        </w:rPr>
        <w:t>Lowest CCR:</w:t>
      </w:r>
      <w:r w:rsidRPr="00DB411C">
        <w:t xml:space="preserve"> Day 12 (0.00%).</w:t>
      </w:r>
    </w:p>
    <w:p w:rsidR="00DB411C" w:rsidRPr="00DB411C" w:rsidRDefault="00DB411C" w:rsidP="00DB411C">
      <w:pPr>
        <w:numPr>
          <w:ilvl w:val="0"/>
          <w:numId w:val="4"/>
        </w:numPr>
      </w:pPr>
      <w:r w:rsidRPr="00DB411C">
        <w:rPr>
          <w:b/>
          <w:bCs/>
        </w:rPr>
        <w:t>Steady Performance:</w:t>
      </w:r>
      <w:r w:rsidRPr="00DB411C">
        <w:t xml:space="preserve"> Most days hover between 9% and 20%.</w:t>
      </w:r>
    </w:p>
    <w:p w:rsidR="00DB411C" w:rsidRPr="00DB411C" w:rsidRDefault="00DB411C" w:rsidP="00DB411C">
      <w:r w:rsidRPr="00DB411C">
        <w:pict>
          <v:rect id="_x0000_i1028" style="width:0;height:1.5pt" o:hralign="center" o:hrstd="t" o:hr="t" fillcolor="#a0a0a0" stroked="f"/>
        </w:pict>
      </w:r>
    </w:p>
    <w:p w:rsidR="00DB411C" w:rsidRPr="00DB411C" w:rsidRDefault="00DB411C" w:rsidP="00DB411C">
      <w:pPr>
        <w:rPr>
          <w:b/>
          <w:bCs/>
        </w:rPr>
      </w:pPr>
      <w:r w:rsidRPr="00DB411C">
        <w:rPr>
          <w:b/>
          <w:bCs/>
        </w:rPr>
        <w:t>4. Visualizations</w:t>
      </w:r>
    </w:p>
    <w:p w:rsidR="00DB411C" w:rsidRPr="00DB411C" w:rsidRDefault="00DB411C" w:rsidP="00DB411C">
      <w:pPr>
        <w:rPr>
          <w:b/>
          <w:bCs/>
        </w:rPr>
      </w:pPr>
      <w:r w:rsidRPr="00DB411C">
        <w:rPr>
          <w:b/>
          <w:bCs/>
        </w:rPr>
        <w:t>4.1 Boxplot: Group Comparison</w:t>
      </w:r>
    </w:p>
    <w:p w:rsidR="00DB411C" w:rsidRPr="00DB411C" w:rsidRDefault="00DB411C" w:rsidP="00DB411C">
      <w:r w:rsidRPr="00DB411C">
        <w:t>The boxplot shows that Group B has a higher median cart conversion rate compared to Group A.</w:t>
      </w:r>
    </w:p>
    <w:p w:rsidR="00DB411C" w:rsidRPr="00DB411C" w:rsidRDefault="00DB411C" w:rsidP="00DB411C">
      <w:pPr>
        <w:rPr>
          <w:b/>
          <w:bCs/>
        </w:rPr>
      </w:pPr>
      <w:r w:rsidRPr="00DB411C">
        <w:rPr>
          <w:b/>
          <w:bCs/>
        </w:rPr>
        <w:t>4.2 Line Plot: Daily CCR Trends</w:t>
      </w:r>
    </w:p>
    <w:p w:rsidR="00DB411C" w:rsidRPr="00DB411C" w:rsidRDefault="00DB411C" w:rsidP="00DB411C">
      <w:r w:rsidRPr="00DB411C">
        <w:t>The line plot highlights fluctuations in CCR over 21 days, with Day 10 showing the highest performance.</w:t>
      </w:r>
    </w:p>
    <w:p w:rsidR="00DB411C" w:rsidRPr="00DB411C" w:rsidRDefault="00DB411C" w:rsidP="00DB411C">
      <w:pPr>
        <w:rPr>
          <w:b/>
          <w:bCs/>
        </w:rPr>
      </w:pPr>
      <w:r w:rsidRPr="00DB411C">
        <w:rPr>
          <w:b/>
          <w:bCs/>
        </w:rPr>
        <w:t>4.3 Bar Charts: High and Low Performing Days</w:t>
      </w:r>
    </w:p>
    <w:p w:rsidR="00DB411C" w:rsidRPr="00DB411C" w:rsidRDefault="00DB411C" w:rsidP="00DB411C">
      <w:pPr>
        <w:numPr>
          <w:ilvl w:val="0"/>
          <w:numId w:val="5"/>
        </w:numPr>
      </w:pPr>
      <w:r w:rsidRPr="00DB411C">
        <w:t>Top 3 Days: Days 10, 11, and 5.</w:t>
      </w:r>
    </w:p>
    <w:p w:rsidR="00DB411C" w:rsidRPr="00DB411C" w:rsidRDefault="00DB411C" w:rsidP="00DB411C">
      <w:pPr>
        <w:numPr>
          <w:ilvl w:val="0"/>
          <w:numId w:val="5"/>
        </w:numPr>
      </w:pPr>
      <w:r w:rsidRPr="00DB411C">
        <w:t>Bottom 3 Days: Days 12, 16, and 15.</w:t>
      </w:r>
    </w:p>
    <w:p w:rsidR="00DB411C" w:rsidRPr="00DB411C" w:rsidRDefault="00DB411C" w:rsidP="00DB411C">
      <w:r w:rsidRPr="00DB411C">
        <w:pict>
          <v:rect id="_x0000_i1029" style="width:0;height:1.5pt" o:hralign="center" o:hrstd="t" o:hr="t" fillcolor="#a0a0a0" stroked="f"/>
        </w:pict>
      </w:r>
    </w:p>
    <w:p w:rsidR="00DB411C" w:rsidRPr="00DB411C" w:rsidRDefault="00DB411C" w:rsidP="00DB411C">
      <w:pPr>
        <w:rPr>
          <w:b/>
          <w:bCs/>
        </w:rPr>
      </w:pPr>
      <w:r w:rsidRPr="00DB411C">
        <w:rPr>
          <w:b/>
          <w:bCs/>
        </w:rPr>
        <w:t>5. Insights</w:t>
      </w:r>
    </w:p>
    <w:p w:rsidR="00DB411C" w:rsidRPr="00DB411C" w:rsidRDefault="00DB411C" w:rsidP="00DB411C">
      <w:pPr>
        <w:numPr>
          <w:ilvl w:val="0"/>
          <w:numId w:val="6"/>
        </w:numPr>
      </w:pPr>
      <w:r w:rsidRPr="00DB411C">
        <w:rPr>
          <w:b/>
          <w:bCs/>
        </w:rPr>
        <w:t>Group B Performance:</w:t>
      </w:r>
    </w:p>
    <w:p w:rsidR="00DB411C" w:rsidRPr="00DB411C" w:rsidRDefault="00DB411C" w:rsidP="00DB411C">
      <w:pPr>
        <w:numPr>
          <w:ilvl w:val="1"/>
          <w:numId w:val="6"/>
        </w:numPr>
      </w:pPr>
      <w:r w:rsidRPr="00DB411C">
        <w:lastRenderedPageBreak/>
        <w:t>Group B’s strategy significantly outperforms Group A in cart conversion rates.</w:t>
      </w:r>
    </w:p>
    <w:p w:rsidR="00DB411C" w:rsidRPr="00DB411C" w:rsidRDefault="00DB411C" w:rsidP="00DB411C">
      <w:pPr>
        <w:numPr>
          <w:ilvl w:val="0"/>
          <w:numId w:val="6"/>
        </w:numPr>
      </w:pPr>
      <w:r w:rsidRPr="00DB411C">
        <w:rPr>
          <w:b/>
          <w:bCs/>
        </w:rPr>
        <w:t>Daily Trends:</w:t>
      </w:r>
    </w:p>
    <w:p w:rsidR="00DB411C" w:rsidRPr="00DB411C" w:rsidRDefault="00DB411C" w:rsidP="00DB411C">
      <w:pPr>
        <w:numPr>
          <w:ilvl w:val="1"/>
          <w:numId w:val="6"/>
        </w:numPr>
      </w:pPr>
      <w:r w:rsidRPr="00DB411C">
        <w:t>Days 10 and 11 show exceptionally high conversion rates, suggesting potential promotional activities or favorable user behavior.</w:t>
      </w:r>
    </w:p>
    <w:p w:rsidR="00DB411C" w:rsidRPr="00DB411C" w:rsidRDefault="00DB411C" w:rsidP="00DB411C">
      <w:pPr>
        <w:numPr>
          <w:ilvl w:val="1"/>
          <w:numId w:val="6"/>
        </w:numPr>
      </w:pPr>
      <w:r w:rsidRPr="00DB411C">
        <w:t>Day 12 had no cart conversions, indicating an issue that warrants investigation.</w:t>
      </w:r>
    </w:p>
    <w:p w:rsidR="00DB411C" w:rsidRPr="00DB411C" w:rsidRDefault="00DB411C" w:rsidP="00DB411C">
      <w:r w:rsidRPr="00DB411C">
        <w:pict>
          <v:rect id="_x0000_i1030" style="width:0;height:1.5pt" o:hralign="center" o:hrstd="t" o:hr="t" fillcolor="#a0a0a0" stroked="f"/>
        </w:pict>
      </w:r>
    </w:p>
    <w:p w:rsidR="00DB411C" w:rsidRPr="00DB411C" w:rsidRDefault="00DB411C" w:rsidP="00DB411C">
      <w:pPr>
        <w:rPr>
          <w:b/>
          <w:bCs/>
        </w:rPr>
      </w:pPr>
      <w:r w:rsidRPr="00DB411C">
        <w:rPr>
          <w:b/>
          <w:bCs/>
        </w:rPr>
        <w:t>6. Recommendations</w:t>
      </w:r>
    </w:p>
    <w:p w:rsidR="00DB411C" w:rsidRPr="00DB411C" w:rsidRDefault="00DB411C" w:rsidP="00DB411C">
      <w:pPr>
        <w:numPr>
          <w:ilvl w:val="0"/>
          <w:numId w:val="7"/>
        </w:numPr>
      </w:pPr>
      <w:r w:rsidRPr="00DB411C">
        <w:rPr>
          <w:b/>
          <w:bCs/>
        </w:rPr>
        <w:t>Adopt Group B’s Strategy:</w:t>
      </w:r>
    </w:p>
    <w:p w:rsidR="00DB411C" w:rsidRPr="00DB411C" w:rsidRDefault="00DB411C" w:rsidP="00DB411C">
      <w:pPr>
        <w:numPr>
          <w:ilvl w:val="1"/>
          <w:numId w:val="7"/>
        </w:numPr>
      </w:pPr>
      <w:r w:rsidRPr="00DB411C">
        <w:t>Implement Group B’s interventions across all regions to improve cart conversions.</w:t>
      </w:r>
    </w:p>
    <w:p w:rsidR="00DB411C" w:rsidRPr="00DB411C" w:rsidRDefault="00DB411C" w:rsidP="00DB411C">
      <w:pPr>
        <w:numPr>
          <w:ilvl w:val="0"/>
          <w:numId w:val="7"/>
        </w:numPr>
      </w:pPr>
      <w:r w:rsidRPr="00DB411C">
        <w:rPr>
          <w:b/>
          <w:bCs/>
        </w:rPr>
        <w:t>Leverage High-Performance Days:</w:t>
      </w:r>
    </w:p>
    <w:p w:rsidR="00DB411C" w:rsidRPr="00DB411C" w:rsidRDefault="00DB411C" w:rsidP="00DB411C">
      <w:pPr>
        <w:numPr>
          <w:ilvl w:val="1"/>
          <w:numId w:val="7"/>
        </w:numPr>
      </w:pPr>
      <w:r w:rsidRPr="00DB411C">
        <w:t>Analyze activities on Days 10 and 11 to replicate successful strategies in the future.</w:t>
      </w:r>
    </w:p>
    <w:p w:rsidR="00DB411C" w:rsidRPr="00DB411C" w:rsidRDefault="00DB411C" w:rsidP="00DB411C">
      <w:pPr>
        <w:numPr>
          <w:ilvl w:val="0"/>
          <w:numId w:val="7"/>
        </w:numPr>
      </w:pPr>
      <w:r w:rsidRPr="00DB411C">
        <w:rPr>
          <w:b/>
          <w:bCs/>
        </w:rPr>
        <w:t>Investigate Low-Performance Days:</w:t>
      </w:r>
    </w:p>
    <w:p w:rsidR="00DB411C" w:rsidRPr="00DB411C" w:rsidRDefault="00DB411C" w:rsidP="00DB411C">
      <w:pPr>
        <w:numPr>
          <w:ilvl w:val="1"/>
          <w:numId w:val="7"/>
        </w:numPr>
      </w:pPr>
      <w:r w:rsidRPr="00DB411C">
        <w:t>Examine factors contributing to poor performance on Day 12 and address potential issues (e.g., technical errors, low traffic).</w:t>
      </w:r>
    </w:p>
    <w:p w:rsidR="00DB411C" w:rsidRPr="00DB411C" w:rsidRDefault="00DB411C" w:rsidP="00DB411C">
      <w:pPr>
        <w:numPr>
          <w:ilvl w:val="0"/>
          <w:numId w:val="7"/>
        </w:numPr>
      </w:pPr>
      <w:r w:rsidRPr="00DB411C">
        <w:rPr>
          <w:b/>
          <w:bCs/>
        </w:rPr>
        <w:t>Monitor Daily Trends:</w:t>
      </w:r>
    </w:p>
    <w:p w:rsidR="00DB411C" w:rsidRPr="00DB411C" w:rsidRDefault="00DB411C" w:rsidP="00DB411C">
      <w:pPr>
        <w:numPr>
          <w:ilvl w:val="1"/>
          <w:numId w:val="7"/>
        </w:numPr>
      </w:pPr>
      <w:r w:rsidRPr="00DB411C">
        <w:t>Continuously track cart conversion rates to identify trends and refine strategies.</w:t>
      </w:r>
    </w:p>
    <w:p w:rsidR="00DB411C" w:rsidRPr="00DB411C" w:rsidRDefault="00DB411C" w:rsidP="00DB411C">
      <w:r w:rsidRPr="00DB411C">
        <w:pict>
          <v:rect id="_x0000_i1031" style="width:0;height:1.5pt" o:hralign="center" o:hrstd="t" o:hr="t" fillcolor="#a0a0a0" stroked="f"/>
        </w:pict>
      </w:r>
    </w:p>
    <w:p w:rsidR="00DB411C" w:rsidRPr="00DB411C" w:rsidRDefault="00DB411C" w:rsidP="00DB411C">
      <w:pPr>
        <w:rPr>
          <w:b/>
          <w:bCs/>
        </w:rPr>
      </w:pPr>
      <w:r w:rsidRPr="00DB411C">
        <w:rPr>
          <w:b/>
          <w:bCs/>
        </w:rPr>
        <w:t>7. Conclusion</w:t>
      </w:r>
    </w:p>
    <w:p w:rsidR="00DB411C" w:rsidRPr="00DB411C" w:rsidRDefault="00DB411C" w:rsidP="00DB411C">
      <w:r w:rsidRPr="00DB411C">
        <w:t>This analysis demonstrates the effectiveness of Group B’s approach in driving cart conversions. By adopting Group B’s strategies and addressing underperforming areas, significant improvements can be achieved in overall cart creation rates.</w:t>
      </w:r>
    </w:p>
    <w:p w:rsidR="006507EE" w:rsidRDefault="006507EE"/>
    <w:sectPr w:rsidR="006507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D0A01"/>
    <w:multiLevelType w:val="multilevel"/>
    <w:tmpl w:val="03E8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311F00"/>
    <w:multiLevelType w:val="multilevel"/>
    <w:tmpl w:val="FEB02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2356C7"/>
    <w:multiLevelType w:val="multilevel"/>
    <w:tmpl w:val="AA506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76A0E"/>
    <w:multiLevelType w:val="multilevel"/>
    <w:tmpl w:val="E9DC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4B5A88"/>
    <w:multiLevelType w:val="multilevel"/>
    <w:tmpl w:val="99AE3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0E771D"/>
    <w:multiLevelType w:val="multilevel"/>
    <w:tmpl w:val="B4E66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FD4C6F"/>
    <w:multiLevelType w:val="multilevel"/>
    <w:tmpl w:val="24C6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3"/>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06"/>
    <w:rsid w:val="000C0F06"/>
    <w:rsid w:val="006507EE"/>
    <w:rsid w:val="00DB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AB874-F3A8-46D9-977E-3ECB9184A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332178">
      <w:bodyDiv w:val="1"/>
      <w:marLeft w:val="0"/>
      <w:marRight w:val="0"/>
      <w:marTop w:val="0"/>
      <w:marBottom w:val="0"/>
      <w:divBdr>
        <w:top w:val="none" w:sz="0" w:space="0" w:color="auto"/>
        <w:left w:val="none" w:sz="0" w:space="0" w:color="auto"/>
        <w:bottom w:val="none" w:sz="0" w:space="0" w:color="auto"/>
        <w:right w:val="none" w:sz="0" w:space="0" w:color="auto"/>
      </w:divBdr>
      <w:divsChild>
        <w:div w:id="327487722">
          <w:marLeft w:val="0"/>
          <w:marRight w:val="0"/>
          <w:marTop w:val="0"/>
          <w:marBottom w:val="0"/>
          <w:divBdr>
            <w:top w:val="none" w:sz="0" w:space="0" w:color="auto"/>
            <w:left w:val="none" w:sz="0" w:space="0" w:color="auto"/>
            <w:bottom w:val="none" w:sz="0" w:space="0" w:color="auto"/>
            <w:right w:val="none" w:sz="0" w:space="0" w:color="auto"/>
          </w:divBdr>
        </w:div>
        <w:div w:id="1921061009">
          <w:marLeft w:val="0"/>
          <w:marRight w:val="0"/>
          <w:marTop w:val="0"/>
          <w:marBottom w:val="0"/>
          <w:divBdr>
            <w:top w:val="none" w:sz="0" w:space="0" w:color="auto"/>
            <w:left w:val="none" w:sz="0" w:space="0" w:color="auto"/>
            <w:bottom w:val="none" w:sz="0" w:space="0" w:color="auto"/>
            <w:right w:val="none" w:sz="0" w:space="0" w:color="auto"/>
          </w:divBdr>
        </w:div>
        <w:div w:id="896471275">
          <w:marLeft w:val="0"/>
          <w:marRight w:val="0"/>
          <w:marTop w:val="0"/>
          <w:marBottom w:val="0"/>
          <w:divBdr>
            <w:top w:val="none" w:sz="0" w:space="0" w:color="auto"/>
            <w:left w:val="none" w:sz="0" w:space="0" w:color="auto"/>
            <w:bottom w:val="none" w:sz="0" w:space="0" w:color="auto"/>
            <w:right w:val="none" w:sz="0" w:space="0" w:color="auto"/>
          </w:divBdr>
        </w:div>
        <w:div w:id="804203327">
          <w:marLeft w:val="0"/>
          <w:marRight w:val="0"/>
          <w:marTop w:val="0"/>
          <w:marBottom w:val="0"/>
          <w:divBdr>
            <w:top w:val="none" w:sz="0" w:space="0" w:color="auto"/>
            <w:left w:val="none" w:sz="0" w:space="0" w:color="auto"/>
            <w:bottom w:val="none" w:sz="0" w:space="0" w:color="auto"/>
            <w:right w:val="none" w:sz="0" w:space="0" w:color="auto"/>
          </w:divBdr>
        </w:div>
        <w:div w:id="1360814904">
          <w:marLeft w:val="0"/>
          <w:marRight w:val="0"/>
          <w:marTop w:val="0"/>
          <w:marBottom w:val="0"/>
          <w:divBdr>
            <w:top w:val="none" w:sz="0" w:space="0" w:color="auto"/>
            <w:left w:val="none" w:sz="0" w:space="0" w:color="auto"/>
            <w:bottom w:val="none" w:sz="0" w:space="0" w:color="auto"/>
            <w:right w:val="none" w:sz="0" w:space="0" w:color="auto"/>
          </w:divBdr>
        </w:div>
        <w:div w:id="1273322991">
          <w:marLeft w:val="0"/>
          <w:marRight w:val="0"/>
          <w:marTop w:val="0"/>
          <w:marBottom w:val="0"/>
          <w:divBdr>
            <w:top w:val="none" w:sz="0" w:space="0" w:color="auto"/>
            <w:left w:val="none" w:sz="0" w:space="0" w:color="auto"/>
            <w:bottom w:val="none" w:sz="0" w:space="0" w:color="auto"/>
            <w:right w:val="none" w:sz="0" w:space="0" w:color="auto"/>
          </w:divBdr>
        </w:div>
        <w:div w:id="305664653">
          <w:marLeft w:val="0"/>
          <w:marRight w:val="0"/>
          <w:marTop w:val="0"/>
          <w:marBottom w:val="0"/>
          <w:divBdr>
            <w:top w:val="none" w:sz="0" w:space="0" w:color="auto"/>
            <w:left w:val="none" w:sz="0" w:space="0" w:color="auto"/>
            <w:bottom w:val="none" w:sz="0" w:space="0" w:color="auto"/>
            <w:right w:val="none" w:sz="0" w:space="0" w:color="auto"/>
          </w:divBdr>
        </w:div>
      </w:divsChild>
    </w:div>
    <w:div w:id="1049258879">
      <w:bodyDiv w:val="1"/>
      <w:marLeft w:val="0"/>
      <w:marRight w:val="0"/>
      <w:marTop w:val="0"/>
      <w:marBottom w:val="0"/>
      <w:divBdr>
        <w:top w:val="none" w:sz="0" w:space="0" w:color="auto"/>
        <w:left w:val="none" w:sz="0" w:space="0" w:color="auto"/>
        <w:bottom w:val="none" w:sz="0" w:space="0" w:color="auto"/>
        <w:right w:val="none" w:sz="0" w:space="0" w:color="auto"/>
      </w:divBdr>
      <w:divsChild>
        <w:div w:id="1268466468">
          <w:marLeft w:val="0"/>
          <w:marRight w:val="0"/>
          <w:marTop w:val="0"/>
          <w:marBottom w:val="0"/>
          <w:divBdr>
            <w:top w:val="none" w:sz="0" w:space="0" w:color="auto"/>
            <w:left w:val="none" w:sz="0" w:space="0" w:color="auto"/>
            <w:bottom w:val="none" w:sz="0" w:space="0" w:color="auto"/>
            <w:right w:val="none" w:sz="0" w:space="0" w:color="auto"/>
          </w:divBdr>
        </w:div>
        <w:div w:id="1787773783">
          <w:marLeft w:val="0"/>
          <w:marRight w:val="0"/>
          <w:marTop w:val="0"/>
          <w:marBottom w:val="0"/>
          <w:divBdr>
            <w:top w:val="none" w:sz="0" w:space="0" w:color="auto"/>
            <w:left w:val="none" w:sz="0" w:space="0" w:color="auto"/>
            <w:bottom w:val="none" w:sz="0" w:space="0" w:color="auto"/>
            <w:right w:val="none" w:sz="0" w:space="0" w:color="auto"/>
          </w:divBdr>
        </w:div>
        <w:div w:id="884801678">
          <w:marLeft w:val="0"/>
          <w:marRight w:val="0"/>
          <w:marTop w:val="0"/>
          <w:marBottom w:val="0"/>
          <w:divBdr>
            <w:top w:val="none" w:sz="0" w:space="0" w:color="auto"/>
            <w:left w:val="none" w:sz="0" w:space="0" w:color="auto"/>
            <w:bottom w:val="none" w:sz="0" w:space="0" w:color="auto"/>
            <w:right w:val="none" w:sz="0" w:space="0" w:color="auto"/>
          </w:divBdr>
        </w:div>
        <w:div w:id="869877895">
          <w:marLeft w:val="0"/>
          <w:marRight w:val="0"/>
          <w:marTop w:val="0"/>
          <w:marBottom w:val="0"/>
          <w:divBdr>
            <w:top w:val="none" w:sz="0" w:space="0" w:color="auto"/>
            <w:left w:val="none" w:sz="0" w:space="0" w:color="auto"/>
            <w:bottom w:val="none" w:sz="0" w:space="0" w:color="auto"/>
            <w:right w:val="none" w:sz="0" w:space="0" w:color="auto"/>
          </w:divBdr>
        </w:div>
        <w:div w:id="1797331853">
          <w:marLeft w:val="0"/>
          <w:marRight w:val="0"/>
          <w:marTop w:val="0"/>
          <w:marBottom w:val="0"/>
          <w:divBdr>
            <w:top w:val="none" w:sz="0" w:space="0" w:color="auto"/>
            <w:left w:val="none" w:sz="0" w:space="0" w:color="auto"/>
            <w:bottom w:val="none" w:sz="0" w:space="0" w:color="auto"/>
            <w:right w:val="none" w:sz="0" w:space="0" w:color="auto"/>
          </w:divBdr>
        </w:div>
        <w:div w:id="1194225084">
          <w:marLeft w:val="0"/>
          <w:marRight w:val="0"/>
          <w:marTop w:val="0"/>
          <w:marBottom w:val="0"/>
          <w:divBdr>
            <w:top w:val="none" w:sz="0" w:space="0" w:color="auto"/>
            <w:left w:val="none" w:sz="0" w:space="0" w:color="auto"/>
            <w:bottom w:val="none" w:sz="0" w:space="0" w:color="auto"/>
            <w:right w:val="none" w:sz="0" w:space="0" w:color="auto"/>
          </w:divBdr>
        </w:div>
        <w:div w:id="1265067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Madina</dc:creator>
  <cp:keywords/>
  <dc:description/>
  <cp:lastModifiedBy>Madina</cp:lastModifiedBy>
  <cp:revision>2</cp:revision>
  <dcterms:created xsi:type="dcterms:W3CDTF">2024-12-28T14:57:00Z</dcterms:created>
  <dcterms:modified xsi:type="dcterms:W3CDTF">2024-12-28T15:00:00Z</dcterms:modified>
</cp:coreProperties>
</file>