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Pokémon TCG AI Battle Challenge</w:t>
      </w:r>
    </w:p>
    <w:p>
      <w:pPr>
        <w:pStyle w:val="Heading1"/>
      </w:pPr>
      <w:r>
        <w:t>1. Overview</w:t>
      </w:r>
    </w:p>
    <w:p>
      <w:r>
        <w:t>The Pokémon TCG AI Battle Challenge is a Kaggle competition hosted by The Pokémon Company. The primary goal of the competition is to explore and enhance the performance of AI Training Agents within the Pokémon Trading Card Game (TCG). The research focuses on training AI for competitive play in a dynamic system where probability, unknown elements (like the opponent's hidden cards), and long-term strategic planning are critical determinants of success.</w:t>
        <w:br/>
        <w:br/>
      </w:r>
      <w:r>
        <w:t xml:space="preserve">The challenge is uniquely split into two required categories: the </w:t>
      </w:r>
      <w:r>
        <w:rPr>
          <w:i/>
        </w:rPr>
        <w:t>Simulation Category</w:t>
      </w:r>
      <w:r>
        <w:t xml:space="preserve"> and the </w:t>
      </w:r>
      <w:r>
        <w:rPr>
          <w:i/>
        </w:rPr>
        <w:t>Strategy Category</w:t>
      </w:r>
      <w:r>
        <w:t>.</w:t>
      </w:r>
    </w:p>
    <w:p>
      <w:pPr>
        <w:pStyle w:val="Heading1"/>
      </w:pPr>
      <w:r>
        <w:t>2. Simulation Category Challenge</w:t>
      </w:r>
    </w:p>
    <w:p>
      <w:r>
        <w:t>In the Simulation Category, participants are tasked with building and training an AI Agent to play the Pokémon TCG. Battles are run on the cabt Engine, a battle simulator built for kaggle-environments.</w:t>
        <w:br/>
        <w:br/>
      </w:r>
      <w:r>
        <w:rPr>
          <w:b/>
        </w:rPr>
        <w:t>Key Challenges:</w:t>
        <w:br/>
      </w:r>
    </w:p>
    <w:p>
      <w:pPr>
        <w:pStyle w:val="ListBullet"/>
      </w:pPr>
      <w:r>
        <w:t>Imperfect Information: Not knowing what cards an opponent holds or what is in the prize pool presents a core obstacle.</w:t>
      </w:r>
    </w:p>
    <w:p>
      <w:pPr>
        <w:pStyle w:val="ListBullet"/>
      </w:pPr>
      <w:r>
        <w:t>Complex Variables: Dealing with randomness, such as card draws and coin tosses.</w:t>
      </w:r>
    </w:p>
    <w:p>
      <w:pPr>
        <w:pStyle w:val="ListBullet"/>
      </w:pPr>
      <w:r>
        <w:t>Strategic Depth: Formulating gameplay approaches while considering various Pokémon types and thousands of different card combinations.</w:t>
      </w:r>
    </w:p>
    <w:p>
      <w:pPr>
        <w:pStyle w:val="ListBullet"/>
      </w:pPr>
      <w:r>
        <w:t>Adaptability: Winning requires forward thinking, real-time adaptation, and optimal decision-making. No two games are alike.</w:t>
      </w:r>
    </w:p>
    <w:p>
      <w:r>
        <w:br/>
        <w:t>Agents compete on a ladder system, playing matches against other submissions to update their Skill Rating (using a system based on μ and σ). Teams can submit up to 5 agents per day.</w:t>
      </w:r>
    </w:p>
    <w:p>
      <w:pPr>
        <w:pStyle w:val="Heading1"/>
      </w:pPr>
      <w:r>
        <w:t>3. Strategy Category Challenge</w:t>
      </w:r>
    </w:p>
    <w:p>
      <w:r>
        <w:t>The Strategy Category focuses on analyzing, explaining, and documenting the systems and strategies developed for the AI Agent. While the Simulation Category evaluates win rate and performance, the Strategy Category evaluates the strategic logic and reasoning behind the agent.</w:t>
        <w:br/>
        <w:br/>
      </w:r>
      <w:r>
        <w:rPr>
          <w:b/>
        </w:rPr>
        <w:t>Key Deliverables &amp; Challenges:</w:t>
        <w:br/>
      </w:r>
    </w:p>
    <w:p>
      <w:pPr>
        <w:pStyle w:val="ListBullet"/>
      </w:pPr>
      <w:r>
        <w:t>Project Report (Writeup): Participants must submit a Kaggle Writeup (up to 2000 words) detailing their approach, intentional deck construction, tested hypotheses, and overall strategic logic.</w:t>
      </w:r>
    </w:p>
    <w:p>
      <w:pPr>
        <w:pStyle w:val="ListBullet"/>
      </w:pPr>
      <w:r>
        <w:t>Evaluation Metrics: Submissions are judged on Model Score (70%), Deck Score (20%), and Report Score. The judges look for technical soundness, originality, consistency, and how well the strategy avoids over-reliance on specific initial states.</w:t>
      </w:r>
    </w:p>
    <w:p>
      <w:pPr>
        <w:pStyle w:val="ListBullet"/>
      </w:pPr>
      <w:r>
        <w:t>Communication: Participants must clearly communicate their strategic understanding of the game’s mechanics in a way others can learn from, showing that building a good AI involves more than just black-box optimization.</w:t>
      </w:r>
    </w:p>
    <w:p>
      <w:pPr>
        <w:pStyle w:val="Heading1"/>
      </w:pPr>
      <w:r>
        <w:t>4. Tournament Progression</w:t>
      </w:r>
    </w:p>
    <w:p>
      <w:r>
        <w:t>Top teams that perform well across both the Strategy and Simulation categories advance to a Second Round, which is held as an in-person event in Tokyo, featuring Best-of-Three (BO3) formats and an expanded card pool.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