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8"/>
        </w:rPr>
        <w:t>BANK LOAN PORTFOLIO</w:t>
      </w:r>
    </w:p>
    <w:p>
      <w:pPr>
        <w:jc w:val="center"/>
      </w:pPr>
      <w:r>
        <w:rPr>
          <w:rFonts w:ascii="Aptos Display" w:hAnsi="Aptos Display"/>
          <w:b/>
          <w:color w:val="2F75B5"/>
          <w:sz w:val="44"/>
        </w:rPr>
        <w:t>&amp; CREDIT RISK ANALYSIS</w:t>
      </w:r>
    </w:p>
    <w:p>
      <w:pPr>
        <w:spacing w:before="240"/>
        <w:jc w:val="center"/>
      </w:pPr>
      <w:r>
        <w:rPr>
          <w:rFonts w:ascii="Aptos" w:hAnsi="Aptos"/>
          <w:b/>
          <w:color w:val="222222"/>
          <w:sz w:val="28"/>
        </w:rPr>
        <w:t>Excel Data Analysis Project</w:t>
      </w:r>
    </w:p>
    <w:p>
      <w:pPr>
        <w:jc w:val="center"/>
      </w:pPr>
      <w:r>
        <w:rPr>
          <w:rFonts w:ascii="Aptos" w:hAnsi="Aptos"/>
          <w:color w:val="666666"/>
          <w:sz w:val="22"/>
        </w:rPr>
        <w:t>Documentation &amp; Analysis Report</w:t>
      </w:r>
    </w:p>
    <w:p>
      <w:pPr>
        <w:spacing w:before="440"/>
        <w:jc w:val="center"/>
      </w:pPr>
      <w:r>
        <w:rPr>
          <w:rFonts w:ascii="Aptos" w:hAnsi="Aptos"/>
          <w:i/>
          <w:color w:val="666666"/>
          <w:sz w:val="23"/>
        </w:rPr>
        <w:t>Dataset: Self-Generated Synthetic Loan Portfolio</w:t>
      </w:r>
    </w:p>
    <w:p>
      <w:pPr>
        <w:spacing w:before="400"/>
        <w:jc w:val="center"/>
      </w:pPr>
      <w:r>
        <w:rPr>
          <w:rFonts w:ascii="Aptos" w:hAnsi="Aptos"/>
          <w:color w:val="2F75B5"/>
          <w:sz w:val="20"/>
        </w:rPr>
        <w:t>Analysis Period: 2023–2025  •  500 Loan Records</w:t>
      </w:r>
    </w:p>
    <w:p>
      <w:pPr>
        <w:sectPr>
          <w:headerReference w:type="default" r:id="rId9"/>
          <w:footerReference w:type="default" r:id="rId10"/>
          <w:pgSz w:w="11909" w:h="16834"/>
          <w:pgMar w:top="1080" w:right="1152" w:bottom="1008" w:left="1152" w:header="720" w:footer="720" w:gutter="0"/>
          <w:cols w:space="720"/>
          <w:docGrid w:linePitch="360"/>
          <w:vAlign w:val="center"/>
        </w:sectPr>
      </w:pPr>
    </w:p>
    <w:p>
      <w:pPr>
        <w:pStyle w:val="Heading1"/>
        <w:spacing w:before="200" w:after="100"/>
      </w:pPr>
      <w:r>
        <w:t>Contents</w:t>
      </w:r>
    </w:p>
    <w:p>
      <w:pPr>
        <w:spacing w:after="60"/>
      </w:pPr>
      <w:r>
        <w:rPr>
          <w:rFonts w:ascii="Aptos" w:hAnsi="Aptos"/>
          <w:color w:val="222222"/>
          <w:sz w:val="21"/>
        </w:rPr>
        <w:t>1. Project Overview</w:t>
      </w:r>
    </w:p>
    <w:p>
      <w:pPr>
        <w:spacing w:after="60"/>
      </w:pPr>
      <w:r>
        <w:rPr>
          <w:rFonts w:ascii="Aptos" w:hAnsi="Aptos"/>
          <w:color w:val="222222"/>
          <w:sz w:val="21"/>
        </w:rPr>
        <w:t>2. Business Problem</w:t>
      </w:r>
    </w:p>
    <w:p>
      <w:pPr>
        <w:spacing w:after="60"/>
      </w:pPr>
      <w:r>
        <w:rPr>
          <w:rFonts w:ascii="Aptos" w:hAnsi="Aptos"/>
          <w:color w:val="222222"/>
          <w:sz w:val="21"/>
        </w:rPr>
        <w:t>3. Project Objectives</w:t>
      </w:r>
    </w:p>
    <w:p>
      <w:pPr>
        <w:spacing w:after="60"/>
      </w:pPr>
      <w:r>
        <w:rPr>
          <w:rFonts w:ascii="Aptos" w:hAnsi="Aptos"/>
          <w:color w:val="222222"/>
          <w:sz w:val="21"/>
        </w:rPr>
        <w:t>4. Business Questions</w:t>
      </w:r>
    </w:p>
    <w:p>
      <w:pPr>
        <w:spacing w:after="60"/>
      </w:pPr>
      <w:r>
        <w:rPr>
          <w:rFonts w:ascii="Aptos" w:hAnsi="Aptos"/>
          <w:color w:val="222222"/>
          <w:sz w:val="21"/>
        </w:rPr>
        <w:t>5. Project Scope</w:t>
      </w:r>
    </w:p>
    <w:p>
      <w:pPr>
        <w:spacing w:after="60"/>
      </w:pPr>
      <w:r>
        <w:rPr>
          <w:rFonts w:ascii="Aptos" w:hAnsi="Aptos"/>
          <w:color w:val="222222"/>
          <w:sz w:val="21"/>
        </w:rPr>
        <w:t>6. Dataset Description</w:t>
      </w:r>
    </w:p>
    <w:p>
      <w:pPr>
        <w:spacing w:after="60"/>
      </w:pPr>
      <w:r>
        <w:rPr>
          <w:rFonts w:ascii="Aptos" w:hAnsi="Aptos"/>
          <w:color w:val="222222"/>
          <w:sz w:val="21"/>
        </w:rPr>
        <w:t>7. Data Dictionary</w:t>
      </w:r>
    </w:p>
    <w:p>
      <w:pPr>
        <w:spacing w:after="60"/>
      </w:pPr>
      <w:r>
        <w:rPr>
          <w:rFonts w:ascii="Aptos" w:hAnsi="Aptos"/>
          <w:color w:val="222222"/>
          <w:sz w:val="21"/>
        </w:rPr>
        <w:t>8. Data Cleaning</w:t>
      </w:r>
    </w:p>
    <w:p>
      <w:pPr>
        <w:spacing w:after="60"/>
      </w:pPr>
      <w:r>
        <w:rPr>
          <w:rFonts w:ascii="Aptos" w:hAnsi="Aptos"/>
          <w:color w:val="222222"/>
          <w:sz w:val="21"/>
        </w:rPr>
        <w:t>9. Data Preparation</w:t>
      </w:r>
    </w:p>
    <w:p>
      <w:pPr>
        <w:spacing w:after="60"/>
      </w:pPr>
      <w:r>
        <w:rPr>
          <w:rFonts w:ascii="Aptos" w:hAnsi="Aptos"/>
          <w:color w:val="222222"/>
          <w:sz w:val="21"/>
        </w:rPr>
        <w:t>10. Exploratory Data Analysis</w:t>
      </w:r>
    </w:p>
    <w:p>
      <w:pPr>
        <w:spacing w:after="60"/>
      </w:pPr>
      <w:r>
        <w:rPr>
          <w:rFonts w:ascii="Aptos" w:hAnsi="Aptos"/>
          <w:color w:val="222222"/>
          <w:sz w:val="21"/>
        </w:rPr>
        <w:t>11. Key Performance Indicators (KPIs)</w:t>
      </w:r>
    </w:p>
    <w:p>
      <w:pPr>
        <w:spacing w:after="60"/>
      </w:pPr>
      <w:r>
        <w:rPr>
          <w:rFonts w:ascii="Aptos" w:hAnsi="Aptos"/>
          <w:color w:val="222222"/>
          <w:sz w:val="21"/>
        </w:rPr>
        <w:t>12. Risk Analysis Methodology</w:t>
      </w:r>
    </w:p>
    <w:p>
      <w:pPr>
        <w:spacing w:after="60"/>
      </w:pPr>
      <w:r>
        <w:rPr>
          <w:rFonts w:ascii="Aptos" w:hAnsi="Aptos"/>
          <w:color w:val="222222"/>
          <w:sz w:val="21"/>
        </w:rPr>
        <w:t>13. PivotTable Analysis</w:t>
      </w:r>
    </w:p>
    <w:p>
      <w:pPr>
        <w:spacing w:after="60"/>
      </w:pPr>
      <w:r>
        <w:rPr>
          <w:rFonts w:ascii="Aptos" w:hAnsi="Aptos"/>
          <w:color w:val="222222"/>
          <w:sz w:val="21"/>
        </w:rPr>
        <w:t>14. Dashboard Design</w:t>
      </w:r>
    </w:p>
    <w:p>
      <w:pPr>
        <w:spacing w:after="60"/>
      </w:pPr>
      <w:r>
        <w:rPr>
          <w:rFonts w:ascii="Aptos" w:hAnsi="Aptos"/>
          <w:color w:val="222222"/>
          <w:sz w:val="21"/>
        </w:rPr>
        <w:t>15. Key Findings</w:t>
      </w:r>
    </w:p>
    <w:p>
      <w:pPr>
        <w:spacing w:after="60"/>
      </w:pPr>
      <w:r>
        <w:rPr>
          <w:rFonts w:ascii="Aptos" w:hAnsi="Aptos"/>
          <w:color w:val="222222"/>
          <w:sz w:val="21"/>
        </w:rPr>
        <w:t>16. Business Insights</w:t>
      </w:r>
    </w:p>
    <w:p>
      <w:pPr>
        <w:spacing w:after="60"/>
      </w:pPr>
      <w:r>
        <w:rPr>
          <w:rFonts w:ascii="Aptos" w:hAnsi="Aptos"/>
          <w:color w:val="222222"/>
          <w:sz w:val="21"/>
        </w:rPr>
        <w:t>17. Recommendations</w:t>
      </w:r>
    </w:p>
    <w:p>
      <w:pPr>
        <w:spacing w:after="60"/>
      </w:pPr>
      <w:r>
        <w:rPr>
          <w:rFonts w:ascii="Aptos" w:hAnsi="Aptos"/>
          <w:color w:val="222222"/>
          <w:sz w:val="21"/>
        </w:rPr>
        <w:t>18. Conclusion</w:t>
      </w:r>
    </w:p>
    <w:p>
      <w:pPr>
        <w:spacing w:after="60"/>
      </w:pPr>
      <w:r>
        <w:rPr>
          <w:rFonts w:ascii="Aptos" w:hAnsi="Aptos"/>
          <w:color w:val="222222"/>
          <w:sz w:val="21"/>
        </w:rPr>
        <w:t>19. Tools &amp; Skills Used</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Project note</w:t>
            </w:r>
          </w:p>
          <w:p>
            <w:pPr>
              <w:spacing w:after="0"/>
            </w:pPr>
            <w:r>
              <w:rPr>
                <w:rFonts w:ascii="Aptos" w:hAnsi="Aptos"/>
                <w:color w:val="222222"/>
                <w:sz w:val="19"/>
              </w:rPr>
              <w:t>This report documents a portfolio-style Excel analysis built from a self-generated synthetic dataset. It is intended for learning, portfolio presentation, and interview discussion—not for real customer credit decisions.</w:t>
            </w:r>
          </w:p>
        </w:tc>
      </w:tr>
    </w:tbl>
    <w:p>
      <w:pPr>
        <w:spacing w:after="20"/>
      </w:pPr>
    </w:p>
    <w:p>
      <w:r>
        <w:br w:type="page"/>
      </w:r>
    </w:p>
    <w:p>
      <w:pPr>
        <w:pStyle w:val="Heading1"/>
        <w:spacing w:before="200" w:after="100"/>
      </w:pPr>
      <w:r>
        <w:t>1. Project Overview</w:t>
      </w:r>
    </w:p>
    <w:p>
      <w:pPr>
        <w:pStyle w:val="BodyText"/>
        <w:spacing w:after="120" w:line="269" w:lineRule="auto"/>
      </w:pPr>
      <w:r>
        <w:t>Bank Loan Portfolio &amp; Credit Risk Analysis is an Excel-based data analysis project focused on understanding a synthetic bank loan portfolio. The project examines loan volume, loan amounts, customer financial characteristics, loan status, and default indicators to identify portfolio patterns and support structured credit-risk analysis.</w:t>
      </w:r>
    </w:p>
    <w:p>
      <w:pPr>
        <w:pStyle w:val="BodyText"/>
        <w:spacing w:after="120" w:line="269" w:lineRule="auto"/>
      </w:pPr>
      <w:r>
        <w:t>The analysis combines data preparation, quality checks, formula-based analysis, risk segmentation, PivotTables, charts, and an Excel dashboard. The final output is designed to demonstrate practical spreadsheet analysis skills and the ability to turn loan-level records into clear business information.</w:t>
      </w:r>
    </w:p>
    <w:p>
      <w:pPr>
        <w:pStyle w:val="Heading1"/>
        <w:spacing w:before="200" w:after="100"/>
      </w:pPr>
      <w:r>
        <w:t>2. Business Problem</w:t>
      </w:r>
    </w:p>
    <w:p>
      <w:pPr>
        <w:pStyle w:val="BodyText"/>
        <w:spacing w:after="120" w:line="269" w:lineRule="auto"/>
      </w:pPr>
      <w:r>
        <w:t>Banks manage loan portfolios containing customers with different income levels, credit scores, debt-to-income ratios, loan amounts, employment types, purposes, and repayment statuses. Without structured analysis, it can be difficult to understand how the portfolio is distributed and where default indicators are concentrated.</w:t>
      </w:r>
    </w:p>
    <w:p>
      <w:pPr>
        <w:pStyle w:val="BodyText"/>
        <w:spacing w:after="120" w:line="269" w:lineRule="auto"/>
      </w:pPr>
      <w:r>
        <w:t>This project addresses that analytical need by organizing loan-level data into measurable KPIs, segmenting the portfolio into meaningful risk groups, and presenting the results through PivotTables and a dashboard. The analysis focuses on portfolio monitoring and pattern identification rather than real-world credit approval decisions.</w:t>
      </w:r>
    </w:p>
    <w:p>
      <w:pPr>
        <w:pStyle w:val="Heading1"/>
        <w:spacing w:before="200" w:after="100"/>
      </w:pPr>
      <w:r>
        <w:t>3. Project Objectives</w:t>
      </w:r>
    </w:p>
    <w:p>
      <w:pPr>
        <w:pStyle w:val="ListBullet"/>
        <w:spacing w:after="60" w:line="259" w:lineRule="auto"/>
      </w:pPr>
      <w:r>
        <w:t>Analyze the overall structure and size of the loan portfolio.</w:t>
      </w:r>
    </w:p>
    <w:p>
      <w:pPr>
        <w:pStyle w:val="ListBullet"/>
        <w:spacing w:after="60" w:line="259" w:lineRule="auto"/>
      </w:pPr>
      <w:r>
        <w:t>Calculate key portfolio KPIs including total loan amount, number of loans, average loan amount, and default rate.</w:t>
      </w:r>
    </w:p>
    <w:p>
      <w:pPr>
        <w:pStyle w:val="ListBullet"/>
        <w:spacing w:after="60" w:line="259" w:lineRule="auto"/>
      </w:pPr>
      <w:r>
        <w:t>Analyze loan distribution across loan purpose, employment type, and region.</w:t>
      </w:r>
    </w:p>
    <w:p>
      <w:pPr>
        <w:pStyle w:val="ListBullet"/>
        <w:spacing w:after="60" w:line="259" w:lineRule="auto"/>
      </w:pPr>
      <w:r>
        <w:t>Segment loans using credit score and debt-to-income ratio bands.</w:t>
      </w:r>
    </w:p>
    <w:p>
      <w:pPr>
        <w:pStyle w:val="ListBullet"/>
        <w:spacing w:after="60" w:line="259" w:lineRule="auto"/>
      </w:pPr>
      <w:r>
        <w:t>Examine default patterns across the selected risk segments.</w:t>
      </w:r>
    </w:p>
    <w:p>
      <w:pPr>
        <w:pStyle w:val="ListBullet"/>
        <w:spacing w:after="60" w:line="259" w:lineRule="auto"/>
      </w:pPr>
      <w:r>
        <w:t>Analyze the distribution of Active, Closed, Overdue, and Defaulted loan statuses.</w:t>
      </w:r>
    </w:p>
    <w:p>
      <w:pPr>
        <w:pStyle w:val="ListBullet"/>
        <w:spacing w:after="60" w:line="259" w:lineRule="auto"/>
      </w:pPr>
      <w:r>
        <w:t>Review monthly loan volume and total loan amount over the 2023–2025 period.</w:t>
      </w:r>
    </w:p>
    <w:p>
      <w:pPr>
        <w:pStyle w:val="ListBullet"/>
        <w:spacing w:after="60" w:line="259" w:lineRule="auto"/>
      </w:pPr>
      <w:r>
        <w:t>Build PivotTables and charts that summarize the portfolio from multiple business perspectives.</w:t>
      </w:r>
    </w:p>
    <w:p>
      <w:pPr>
        <w:pStyle w:val="ListBullet"/>
        <w:spacing w:after="60" w:line="259" w:lineRule="auto"/>
      </w:pPr>
      <w:r>
        <w:t>Create an Excel dashboard that communicates the most important portfolio and risk measures clearly.</w:t>
      </w:r>
    </w:p>
    <w:p>
      <w:pPr>
        <w:pStyle w:val="Heading1"/>
        <w:spacing w:before="200" w:after="100"/>
      </w:pPr>
      <w:r>
        <w:t>4. Business Questions</w:t>
      </w:r>
    </w:p>
    <w:p>
      <w:pPr>
        <w:pStyle w:val="ListBullet"/>
        <w:spacing w:after="60" w:line="259" w:lineRule="auto"/>
      </w:pPr>
      <w:r>
        <w:t>What is the total loan amount and total number of loans in the portfolio?</w:t>
      </w:r>
    </w:p>
    <w:p>
      <w:pPr>
        <w:pStyle w:val="ListBullet"/>
        <w:spacing w:after="60" w:line="259" w:lineRule="auto"/>
      </w:pPr>
      <w:r>
        <w:t>What is the average loan amount and average interest rate?</w:t>
      </w:r>
    </w:p>
    <w:p>
      <w:pPr>
        <w:pStyle w:val="ListBullet"/>
        <w:spacing w:after="60" w:line="259" w:lineRule="auto"/>
      </w:pPr>
      <w:r>
        <w:t>What is the overall default rate?</w:t>
      </w:r>
    </w:p>
    <w:p>
      <w:pPr>
        <w:pStyle w:val="ListBullet"/>
        <w:spacing w:after="60" w:line="259" w:lineRule="auto"/>
      </w:pPr>
      <w:r>
        <w:t>How are loans distributed across different loan purposes?</w:t>
      </w:r>
    </w:p>
    <w:p>
      <w:pPr>
        <w:pStyle w:val="ListBullet"/>
        <w:spacing w:after="60" w:line="259" w:lineRule="auto"/>
      </w:pPr>
      <w:r>
        <w:t>Which loan purposes show higher default rates within this synthetic dataset?</w:t>
      </w:r>
    </w:p>
    <w:p>
      <w:pPr>
        <w:pStyle w:val="ListBullet"/>
        <w:spacing w:after="60" w:line="259" w:lineRule="auto"/>
      </w:pPr>
      <w:r>
        <w:t>How does default risk vary by employment type?</w:t>
      </w:r>
    </w:p>
    <w:p>
      <w:pPr>
        <w:pStyle w:val="ListBullet"/>
        <w:spacing w:after="60" w:line="259" w:lineRule="auto"/>
      </w:pPr>
      <w:r>
        <w:t>How does default risk vary across regions?</w:t>
      </w:r>
    </w:p>
    <w:p>
      <w:pPr>
        <w:pStyle w:val="ListBullet"/>
        <w:spacing w:after="60" w:line="259" w:lineRule="auto"/>
      </w:pPr>
      <w:r>
        <w:t>How does default risk differ across credit score bands?</w:t>
      </w:r>
    </w:p>
    <w:p>
      <w:pPr>
        <w:pStyle w:val="ListBullet"/>
        <w:spacing w:after="60" w:line="259" w:lineRule="auto"/>
      </w:pPr>
      <w:r>
        <w:t>How does default risk differ across debt-to-income bands?</w:t>
      </w:r>
    </w:p>
    <w:p>
      <w:pPr>
        <w:pStyle w:val="ListBullet"/>
        <w:spacing w:after="60" w:line="259" w:lineRule="auto"/>
      </w:pPr>
      <w:r>
        <w:t>What is the distribution of Active, Closed, Overdue, and Defaulted loans?</w:t>
      </w:r>
    </w:p>
    <w:p>
      <w:pPr>
        <w:pStyle w:val="ListBullet"/>
        <w:spacing w:after="60" w:line="259" w:lineRule="auto"/>
      </w:pPr>
      <w:r>
        <w:t>How does monthly loan volume change during the analysis period?</w:t>
      </w:r>
    </w:p>
    <w:p>
      <w:pPr>
        <w:pStyle w:val="ListBullet"/>
        <w:spacing w:after="60" w:line="259" w:lineRule="auto"/>
      </w:pPr>
      <w:r>
        <w:t>Which segments should be examined more closely when monitoring portfolio risk?</w:t>
      </w:r>
    </w:p>
    <w:p>
      <w:pPr>
        <w:pStyle w:val="Heading1"/>
        <w:spacing w:before="200" w:after="100"/>
      </w:pPr>
      <w:r>
        <w:t>5. Project Scope</w:t>
      </w:r>
    </w:p>
    <w:p>
      <w:pPr>
        <w:pStyle w:val="BodyText"/>
        <w:spacing w:after="120" w:line="269" w:lineRule="auto"/>
      </w:pPr>
      <w:r>
        <w:t>The scope of the project is limited to analysis of a self-generated synthetic bank loan portfolio using Microsoft Excel. It covers loan characteristics, customer financial attributes, loan status, default indicators, risk segmentation, portfolio trends, and dashboard reporting.</w:t>
      </w:r>
    </w:p>
    <w:p>
      <w:pPr>
        <w:pStyle w:val="BodyText"/>
        <w:spacing w:after="120" w:line="269" w:lineRule="auto"/>
      </w:pPr>
      <w:r>
        <w:t>The analysis period is 2023 to 2025. The project includes data generation, data preparation, data-quality validation, KPI calculation, exploratory analysis, PivotTable analysis, risk segmentation, chart creation, and dashboard development.</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Scope limitation</w:t>
            </w:r>
          </w:p>
          <w:p>
            <w:pPr>
              <w:spacing w:after="0"/>
            </w:pPr>
            <w:r>
              <w:rPr>
                <w:rFonts w:ascii="Aptos" w:hAnsi="Aptos"/>
                <w:color w:val="222222"/>
                <w:sz w:val="19"/>
              </w:rPr>
              <w:t>The dataset is synthetic and self-generated for educational and portfolio purposes. The results should not be interpreted as actual banking performance, customer risk scores, or production credit-policy recommendations.</w:t>
            </w:r>
          </w:p>
        </w:tc>
      </w:tr>
    </w:tbl>
    <w:p>
      <w:pPr>
        <w:spacing w:after="20"/>
      </w:pPr>
    </w:p>
    <w:p>
      <w:pPr>
        <w:pStyle w:val="Heading1"/>
        <w:spacing w:before="200" w:after="100"/>
      </w:pPr>
      <w:r>
        <w:t>6. Dataset Description</w:t>
      </w:r>
    </w:p>
    <w:p>
      <w:pPr>
        <w:pStyle w:val="BodyText"/>
        <w:spacing w:after="120" w:line="269" w:lineRule="auto"/>
      </w:pPr>
      <w:r>
        <w:t>The dataset contains 500 synthetic loan records covering the period from 2023 through 2025. Each row represents one loan record. The original dataset contains 14 fields, with two additional derived fields created during analysis for risk segmentation.</w:t>
      </w:r>
    </w:p>
    <w:tbl>
      <w:tblPr>
        <w:tblW w:type="auto" w:w="0"/>
        <w:jc w:val="center"/>
        <w:tblLook w:firstColumn="1" w:firstRow="1" w:lastColumn="0" w:lastRow="0" w:noHBand="0" w:noVBand="1" w:val="04A0"/>
      </w:tblPr>
      <w:tblGrid>
        <w:gridCol w:w="2401"/>
        <w:gridCol w:w="2401"/>
        <w:gridCol w:w="2401"/>
        <w:gridCol w:w="2401"/>
      </w:tblGrid>
      <w:tr>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Loan Records</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Original Fields</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Derived Fields</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Period</w:t>
            </w:r>
          </w:p>
        </w:tc>
      </w:tr>
      <w:tr>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500</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14</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2</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2023–2025</w:t>
            </w:r>
          </w:p>
        </w:tc>
      </w:tr>
    </w:tbl>
    <w:p>
      <w:pPr>
        <w:pStyle w:val="BodyText"/>
        <w:spacing w:after="120" w:line="269" w:lineRule="auto"/>
      </w:pPr>
      <w:r>
        <w:t>The original fields capture application date, customer age, employment type, annual income, credit score, loan amount, interest rate, loan term, loan purpose, debt-to-income ratio, region, loan status, and default flag. The derived fields are Credit_Score_Band and DTI_Band.</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Data source</w:t>
            </w:r>
          </w:p>
          <w:p>
            <w:pPr>
              <w:spacing w:after="0"/>
            </w:pPr>
            <w:r>
              <w:rPr>
                <w:rFonts w:ascii="Aptos" w:hAnsi="Aptos"/>
                <w:color w:val="222222"/>
                <w:sz w:val="19"/>
              </w:rPr>
              <w:t>Self-generated synthetic data. No real customer records or confidential bank information were used.</w:t>
            </w:r>
          </w:p>
        </w:tc>
      </w:tr>
    </w:tbl>
    <w:p>
      <w:pPr>
        <w:spacing w:after="20"/>
      </w:pPr>
    </w:p>
    <w:p>
      <w:pPr>
        <w:pStyle w:val="Heading1"/>
        <w:spacing w:before="200" w:after="100"/>
      </w:pPr>
      <w:r>
        <w:t>7. Data Dictionary</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Column</w:t>
            </w:r>
          </w:p>
        </w:tc>
        <w:tc>
          <w:tcPr>
            <w:tcW w:type="dxa" w:w="32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Description</w:t>
            </w:r>
          </w:p>
        </w:tc>
        <w:tc>
          <w:tcPr>
            <w:tcW w:type="dxa" w:w="32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Data Type</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Loan_ID</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Unique identifier assigned to each loan record.</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Application_Date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Date on which the loan application was recorded.</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Date</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Customer_Age</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Age of the customer.</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Integer</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Employment_Type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Customer employment category.</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Annual_Income</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Customer annual income in Indian Rupees.</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Numeric</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Credit_Score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Customer credit score.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Integer</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Loan_Amount</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 amount recorded for the application.</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Numeric</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Interest_Rate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Interest rate associated with the loan.</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Numeric</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Loan_Term_Months</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 repayment period in months.</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Integer</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Loan_Purpose</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Purpose for which the loan was taken.</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Debt_to_Income</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Debt-to-income ratio of the customer.</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Percentage</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Region</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Geographic region associated with the loan.</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Loan_Status</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Status of the loan record.</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Default_Flag</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Indicator showing whether the record is marked as defaulted.</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Binary (0/1)</w:t>
            </w:r>
          </w:p>
        </w:tc>
      </w:tr>
      <w:tr>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Credit_Score_Band</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Derived credit-score category used for risk segmentation.</w:t>
            </w:r>
          </w:p>
        </w:tc>
        <w:tc>
          <w:tcPr>
            <w:tcW w:type="dxa" w:w="32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Text</w:t>
            </w:r>
          </w:p>
        </w:tc>
      </w:tr>
      <w:tr>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DTI_Band</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Derived debt-to-income category used for risk segmentation.</w:t>
            </w:r>
          </w:p>
        </w:tc>
        <w:tc>
          <w:tcPr>
            <w:tcW w:type="dxa" w:w="32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Text</w:t>
            </w:r>
          </w:p>
        </w:tc>
      </w:tr>
    </w:tbl>
    <w:p>
      <w:pPr>
        <w:pStyle w:val="Heading1"/>
        <w:spacing w:before="200" w:after="100"/>
      </w:pPr>
      <w:r>
        <w:t>8. Data Cleaning</w:t>
      </w:r>
    </w:p>
    <w:p>
      <w:pPr>
        <w:pStyle w:val="BodyText"/>
        <w:spacing w:after="120" w:line="269" w:lineRule="auto"/>
      </w:pPr>
      <w:r>
        <w:t>The Working Data sheet was created as the analysis copy of the Raw Data sheet. Data-quality checks were then performed before the analysis tables and PivotTables were built.</w:t>
      </w:r>
    </w:p>
    <w:tbl>
      <w:tblPr>
        <w:tblStyle w:val="TableGrid"/>
        <w:tblW w:type="auto" w:w="0"/>
        <w:jc w:val="center"/>
        <w:tblLook w:firstColumn="1" w:firstRow="1" w:lastColumn="0" w:lastRow="0" w:noHBand="0" w:noVBand="1" w:val="04A0"/>
      </w:tblPr>
      <w:tblGrid>
        <w:gridCol w:w="4802"/>
        <w:gridCol w:w="4802"/>
      </w:tblGrid>
      <w:tr>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Check</w:t>
            </w:r>
          </w:p>
        </w:tc>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Result</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Duplicate Loan IDs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Checked for duplicate identifiers; the loan IDs were unique.</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Missing Values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Checked the required fields for blanks; no missing records were identified in the prepared dataset.</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Numeric Ranges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Validated customer age, income, credit score, loan amount, and DTI against the defined synthetic ranges.</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Categorical Values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Checked employment type, loan purpose, region, and loan status against the expected categories.</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Default Flag</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Validated that Default_Flag contains binary 0/1 values.</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Dates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Validated application dates and used the 2023–2025 period for monthly analysis.</w:t>
            </w:r>
          </w:p>
        </w:tc>
      </w:tr>
    </w:tbl>
    <w:p>
      <w:pPr>
        <w:pStyle w:val="Heading1"/>
        <w:spacing w:before="200" w:after="100"/>
      </w:pPr>
      <w:r>
        <w:t>9. Data Preparation</w:t>
      </w:r>
    </w:p>
    <w:p>
      <w:pPr>
        <w:pStyle w:val="BodyText"/>
        <w:spacing w:after="120" w:line="269" w:lineRule="auto"/>
      </w:pPr>
      <w:r>
        <w:t>After validation, the data was prepared for analysis in the Working Data sheet. The Raw Data sheet was preserved as the source copy, while the Working Data sheet was used for calculated fields and analysis.</w:t>
      </w:r>
    </w:p>
    <w:p>
      <w:pPr>
        <w:pStyle w:val="ListNumber"/>
        <w:spacing w:after="60"/>
      </w:pPr>
      <w:r>
        <w:t>Preserve the Raw Data sheet as the original synthetic dataset.</w:t>
      </w:r>
    </w:p>
    <w:p>
      <w:pPr>
        <w:pStyle w:val="ListNumber"/>
        <w:spacing w:after="60"/>
      </w:pPr>
      <w:r>
        <w:t>Create the Working Data sheet as the analysis copy.</w:t>
      </w:r>
    </w:p>
    <w:p>
      <w:pPr>
        <w:pStyle w:val="ListNumber"/>
        <w:spacing w:after="60"/>
      </w:pPr>
      <w:r>
        <w:t>Freeze generated formula results to stable values so the dataset does not change when the workbook recalculates.</w:t>
      </w:r>
    </w:p>
    <w:p>
      <w:pPr>
        <w:pStyle w:val="ListNumber"/>
        <w:spacing w:after="60"/>
      </w:pPr>
      <w:r>
        <w:t>Create Credit_Score_Band to group credit scores into Poor, Fair, Good, and Excellent.</w:t>
      </w:r>
    </w:p>
    <w:p>
      <w:pPr>
        <w:pStyle w:val="ListNumber"/>
        <w:spacing w:after="60"/>
      </w:pPr>
      <w:r>
        <w:t>Create DTI_Band to group DTI into Low, Medium, and High.</w:t>
      </w:r>
    </w:p>
    <w:p>
      <w:pPr>
        <w:pStyle w:val="ListNumber"/>
        <w:spacing w:after="60"/>
      </w:pPr>
      <w:r>
        <w:t>Use the prepared data for formulas, PivotTables, charts, and dashboard reporting.</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Risk segmentation logic</w:t>
            </w:r>
          </w:p>
          <w:p>
            <w:pPr>
              <w:spacing w:after="0"/>
            </w:pPr>
            <w:r>
              <w:rPr>
                <w:rFonts w:ascii="Aptos" w:hAnsi="Aptos"/>
                <w:color w:val="222222"/>
                <w:sz w:val="19"/>
              </w:rPr>
              <w:t>Credit score bands: Poor &lt; 580; Fair 580–669; Good 670–739; Excellent ≥ 740. DTI bands: Low &lt; 20%; Medium 20%–39%; High ≥ 40%.</w:t>
            </w:r>
          </w:p>
        </w:tc>
      </w:tr>
    </w:tbl>
    <w:p>
      <w:pPr>
        <w:spacing w:after="20"/>
      </w:pPr>
    </w:p>
    <w:p>
      <w:pPr>
        <w:pStyle w:val="Heading1"/>
        <w:spacing w:before="200" w:after="100"/>
      </w:pPr>
      <w:r>
        <w:t>10. Exploratory Data Analysis</w:t>
      </w:r>
    </w:p>
    <w:p>
      <w:pPr>
        <w:pStyle w:val="BodyText"/>
        <w:spacing w:after="120" w:line="269" w:lineRule="auto"/>
      </w:pPr>
      <w:r>
        <w:t>Exploratory analysis was performed through formula-based summary tables and PivotTables. The analysis was designed to examine portfolio size, loan distribution, loan status, default patterns, risk segmentation, regional distribution, employment type, loan purpose, and monthly activity.</w:t>
      </w:r>
    </w:p>
    <w:p>
      <w:pPr>
        <w:pStyle w:val="ListBullet"/>
        <w:spacing w:after="60" w:line="259" w:lineRule="auto"/>
      </w:pPr>
      <w:r>
        <w:t>Loan purpose analysis: loan count, total loan amount, defaulted loans, default rate, and average loan amount.</w:t>
      </w:r>
    </w:p>
    <w:p>
      <w:pPr>
        <w:pStyle w:val="ListBullet"/>
        <w:spacing w:after="60" w:line="259" w:lineRule="auto"/>
      </w:pPr>
      <w:r>
        <w:t>Employment analysis: loan count, defaulted loans, and default rate by employment type.</w:t>
      </w:r>
    </w:p>
    <w:p>
      <w:pPr>
        <w:pStyle w:val="ListBullet"/>
        <w:spacing w:after="60" w:line="259" w:lineRule="auto"/>
      </w:pPr>
      <w:r>
        <w:t>Regional analysis: loan count, total loan amount, defaulted loans, and default rate by region.</w:t>
      </w:r>
    </w:p>
    <w:p>
      <w:pPr>
        <w:pStyle w:val="ListBullet"/>
        <w:spacing w:after="60" w:line="259" w:lineRule="auto"/>
      </w:pPr>
      <w:r>
        <w:t>Credit score analysis: loan count, defaulted loans, and default rate by credit score band.</w:t>
      </w:r>
    </w:p>
    <w:p>
      <w:pPr>
        <w:pStyle w:val="ListBullet"/>
        <w:spacing w:after="60" w:line="259" w:lineRule="auto"/>
      </w:pPr>
      <w:r>
        <w:t>DTI analysis: loan count, defaulted loans, and default rate by DTI band.</w:t>
      </w:r>
    </w:p>
    <w:p>
      <w:pPr>
        <w:pStyle w:val="ListBullet"/>
        <w:spacing w:after="60" w:line="259" w:lineRule="auto"/>
      </w:pPr>
      <w:r>
        <w:t>Loan status analysis: Active, Closed, Overdue, and Defaulted distribution.</w:t>
      </w:r>
    </w:p>
    <w:p>
      <w:pPr>
        <w:pStyle w:val="ListBullet"/>
        <w:spacing w:after="60" w:line="259" w:lineRule="auto"/>
      </w:pPr>
      <w:r>
        <w:t>Monthly analysis: monthly loan count and total loan amount for 2023–2025.</w:t>
      </w:r>
    </w:p>
    <w:p>
      <w:pPr>
        <w:pStyle w:val="Heading1"/>
        <w:spacing w:before="200" w:after="100"/>
      </w:pPr>
      <w:r>
        <w:t>11. Key Performance Indicators (KPIs)</w:t>
      </w:r>
    </w:p>
    <w:p>
      <w:pPr>
        <w:pStyle w:val="BodyText"/>
        <w:spacing w:after="120" w:line="269" w:lineRule="auto"/>
      </w:pPr>
      <w:r>
        <w:t>The Analysis sheet contains a portfolio KPI section used as the numerical foundation for the dashboard. The KPIs are calculated directly from the Working Data sheet.</w:t>
      </w:r>
    </w:p>
    <w:tbl>
      <w:tblPr>
        <w:tblStyle w:val="TableGrid"/>
        <w:tblW w:type="auto" w:w="0"/>
        <w:jc w:val="center"/>
        <w:tblLook w:firstColumn="1" w:firstRow="1" w:lastColumn="0" w:lastRow="0" w:noHBand="0" w:noVBand="1" w:val="04A0"/>
      </w:tblPr>
      <w:tblGrid>
        <w:gridCol w:w="4802"/>
        <w:gridCol w:w="4802"/>
      </w:tblGrid>
      <w:tr>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KPI</w:t>
            </w:r>
          </w:p>
        </w:tc>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Calculation</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Total Loan Amount</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SUM of Loan_Amount</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Total Number of Loans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COUNT of Loan_ID</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Loan Amount</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of Loan_Amount</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Average Interest Rate</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AVERAGE of Interest_Rate</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Credit Score</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of Credit_Score</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Average Annual Income</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AVERAGE of Annual_Income</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DTI</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AVERAGE of Debt_to_Income</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Default Rate</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AVERAGE of Default_Flag</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Defaulted Loans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COUNT/SUM of Default_Flag = 1</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Active / Closed / Overdue Loans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COUNTIF by Loan_Status</w:t>
            </w:r>
          </w:p>
        </w:tc>
      </w:tr>
    </w:tbl>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Portfolio snapshot</w:t>
            </w:r>
          </w:p>
          <w:p>
            <w:pPr>
              <w:spacing w:after="0"/>
            </w:pPr>
            <w:r>
              <w:rPr>
                <w:rFonts w:ascii="Aptos" w:hAnsi="Aptos"/>
                <w:color w:val="222222"/>
                <w:sz w:val="19"/>
              </w:rPr>
              <w:t>The final prepared dataset contains 500 loans and a total loan amount of ₹50,98,68,608. The Default_Flag identifies 148 defaulted records, giving a synthetic default rate of 29.6%.</w:t>
            </w:r>
          </w:p>
        </w:tc>
      </w:tr>
    </w:tbl>
    <w:p>
      <w:pPr>
        <w:spacing w:after="20"/>
      </w:pPr>
    </w:p>
    <w:p>
      <w:pPr>
        <w:pStyle w:val="Heading1"/>
        <w:spacing w:before="200" w:after="100"/>
      </w:pPr>
      <w:r>
        <w:t>12. Risk Analysis Methodology</w:t>
      </w:r>
    </w:p>
    <w:p>
      <w:pPr>
        <w:pStyle w:val="BodyText"/>
        <w:spacing w:after="120" w:line="269" w:lineRule="auto"/>
      </w:pPr>
      <w:r>
        <w:t>The risk analysis uses descriptive segmentation rather than a predictive credit-scoring model. The objective is to compare default indicators across defined groups and identify patterns within the synthetic portfolio.</w:t>
      </w:r>
    </w:p>
    <w:p>
      <w:pPr>
        <w:pStyle w:val="Heading2"/>
        <w:spacing w:before="120" w:after="100"/>
      </w:pPr>
      <w:r>
        <w:t>12.1 Credit Score Segmentation</w:t>
      </w:r>
    </w:p>
    <w:p>
      <w:pPr>
        <w:pStyle w:val="BodyText"/>
        <w:spacing w:after="120" w:line="269" w:lineRule="auto"/>
      </w:pPr>
      <w:r>
        <w:t>Credit scores are grouped into four bands: Poor, Fair, Good, and Excellent. Each band is evaluated using loan count, defaulted loans, and default rate.</w:t>
      </w:r>
    </w:p>
    <w:p>
      <w:pPr>
        <w:pStyle w:val="Heading2"/>
        <w:spacing w:before="120" w:after="100"/>
      </w:pPr>
      <w:r>
        <w:t>12.2 DTI Segmentation</w:t>
      </w:r>
    </w:p>
    <w:p>
      <w:pPr>
        <w:pStyle w:val="BodyText"/>
        <w:spacing w:after="120" w:line="269" w:lineRule="auto"/>
      </w:pPr>
      <w:r>
        <w:t>Debt-to-income ratio is grouped into Low, Medium, and High bands. These groups are compared using the same default-related measures.</w:t>
      </w:r>
    </w:p>
    <w:p>
      <w:pPr>
        <w:pStyle w:val="Heading2"/>
        <w:spacing w:before="120" w:after="100"/>
      </w:pPr>
      <w:r>
        <w:t>12.3 Default Rate</w:t>
      </w:r>
    </w:p>
    <w:p>
      <w:pPr>
        <w:pStyle w:val="BodyText"/>
        <w:spacing w:after="120" w:line="269" w:lineRule="auto"/>
      </w:pPr>
      <w:r>
        <w:t>Default rate is calculated as the number of records with Default_Flag = 1 divided by the relevant number of loans in the group. Because the dataset is synthetic, this rate describes the generated dataset and is not an estimate of real-world bank default probability.</w:t>
      </w:r>
    </w:p>
    <w:p>
      <w:pPr>
        <w:pStyle w:val="Heading2"/>
        <w:spacing w:before="120" w:after="100"/>
      </w:pPr>
      <w:r>
        <w:t>12.4 Synthetic Default Logic</w:t>
      </w:r>
    </w:p>
    <w:p>
      <w:pPr>
        <w:pStyle w:val="BodyText"/>
        <w:spacing w:after="120" w:line="269" w:lineRule="auto"/>
      </w:pPr>
      <w:r>
        <w:t>The synthetic Default_Flag was generated using a rule-based random process that gives higher default probability when selected risk characteristics—such as lower credit score, higher DTI, and larger loan amount—meet the defined synthetic conditions. This is a data-generation mechanism, not a validated credit-risk model.</w:t>
      </w:r>
    </w:p>
    <w:p>
      <w:pPr>
        <w:pStyle w:val="Heading1"/>
        <w:spacing w:before="200" w:after="100"/>
      </w:pPr>
      <w:r>
        <w:t>13. PivotTable Analysis</w:t>
      </w:r>
    </w:p>
    <w:p>
      <w:pPr>
        <w:pStyle w:val="BodyText"/>
        <w:spacing w:after="120" w:line="269" w:lineRule="auto"/>
      </w:pPr>
      <w:r>
        <w:t>PivotTables were used to summarize the prepared dataset from multiple business perspectives. The workbook contains dedicated PivotTable sheets for portfolio status, loan purpose, employment type, region, credit score band, DTI band, monthly volume, status amount, purpose amount, and regional status.</w:t>
      </w:r>
    </w:p>
    <w:p>
      <w:pPr>
        <w:pStyle w:val="ListBullet"/>
        <w:spacing w:after="60" w:line="259" w:lineRule="auto"/>
      </w:pPr>
      <w:r>
        <w:t>Pivot Analysis — Loan Status</w:t>
      </w:r>
    </w:p>
    <w:p>
      <w:pPr>
        <w:pStyle w:val="ListBullet"/>
        <w:spacing w:after="60" w:line="259" w:lineRule="auto"/>
      </w:pPr>
      <w:r>
        <w:t>Pivot Loan Purpose Analysis — Loan Purpose</w:t>
      </w:r>
    </w:p>
    <w:p>
      <w:pPr>
        <w:pStyle w:val="ListBullet"/>
        <w:spacing w:after="60" w:line="259" w:lineRule="auto"/>
      </w:pPr>
      <w:r>
        <w:t>Pivot Employment — Employment Type</w:t>
      </w:r>
    </w:p>
    <w:p>
      <w:pPr>
        <w:pStyle w:val="ListBullet"/>
        <w:spacing w:after="60" w:line="259" w:lineRule="auto"/>
      </w:pPr>
      <w:r>
        <w:t>Pivot Region — Region</w:t>
      </w:r>
    </w:p>
    <w:p>
      <w:pPr>
        <w:pStyle w:val="ListBullet"/>
        <w:spacing w:after="60" w:line="259" w:lineRule="auto"/>
      </w:pPr>
      <w:r>
        <w:t>Pivot Credit Score — Credit Score Band</w:t>
      </w:r>
    </w:p>
    <w:p>
      <w:pPr>
        <w:pStyle w:val="ListBullet"/>
        <w:spacing w:after="60" w:line="259" w:lineRule="auto"/>
      </w:pPr>
      <w:r>
        <w:t>Pivot DTI — DTI Band</w:t>
      </w:r>
    </w:p>
    <w:p>
      <w:pPr>
        <w:pStyle w:val="ListBullet"/>
        <w:spacing w:after="60" w:line="259" w:lineRule="auto"/>
      </w:pPr>
      <w:r>
        <w:t>Pivot Monthly — Monthly Loan Volume</w:t>
      </w:r>
    </w:p>
    <w:p>
      <w:pPr>
        <w:pStyle w:val="ListBullet"/>
        <w:spacing w:after="60" w:line="259" w:lineRule="auto"/>
      </w:pPr>
      <w:r>
        <w:t>Pivot Status Amount — Status and Loan Amount</w:t>
      </w:r>
    </w:p>
    <w:p>
      <w:pPr>
        <w:pStyle w:val="ListBullet"/>
        <w:spacing w:after="60" w:line="259" w:lineRule="auto"/>
      </w:pPr>
      <w:r>
        <w:t>Pivot Purpose Amount — Purpose and Loan Amount</w:t>
      </w:r>
    </w:p>
    <w:p>
      <w:pPr>
        <w:pStyle w:val="ListBullet"/>
        <w:spacing w:after="60" w:line="259" w:lineRule="auto"/>
      </w:pPr>
      <w:r>
        <w:t>Pivot Region Status — Region and Loan Status</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Validation</w:t>
            </w:r>
          </w:p>
          <w:p>
            <w:pPr>
              <w:spacing w:after="0"/>
            </w:pPr>
            <w:r>
              <w:rPr>
                <w:rFonts w:ascii="Aptos" w:hAnsi="Aptos"/>
                <w:color w:val="222222"/>
                <w:sz w:val="19"/>
              </w:rPr>
              <w:t>The PivotTable totals were checked against the Analysis sheet. Core portfolio totals reconcile to 500 loans and ₹50,98,68,608 in total loan amount.</w:t>
            </w:r>
          </w:p>
        </w:tc>
      </w:tr>
    </w:tbl>
    <w:p>
      <w:pPr>
        <w:spacing w:after="20"/>
      </w:pPr>
    </w:p>
    <w:p>
      <w:pPr>
        <w:pStyle w:val="Heading1"/>
        <w:spacing w:before="200" w:after="100"/>
      </w:pPr>
      <w:r>
        <w:t>14. Dashboard Design</w:t>
      </w:r>
    </w:p>
    <w:p>
      <w:pPr>
        <w:pStyle w:val="BodyText"/>
        <w:spacing w:after="120" w:line="269" w:lineRule="auto"/>
      </w:pPr>
      <w:r>
        <w:t>The Dashboard sheet provides a concise presentation layer for the analysis. It brings the most important portfolio KPIs, supporting tables, and charts together on a single page.</w:t>
      </w:r>
    </w:p>
    <w:p>
      <w:pPr>
        <w:pStyle w:val="ListBullet"/>
        <w:spacing w:after="60" w:line="259" w:lineRule="auto"/>
      </w:pPr>
      <w:r>
        <w:t>Portfolio title and subtitle identifying the analysis and synthetic dataset.</w:t>
      </w:r>
    </w:p>
    <w:p>
      <w:pPr>
        <w:pStyle w:val="ListBullet"/>
        <w:spacing w:after="60" w:line="259" w:lineRule="auto"/>
      </w:pPr>
      <w:r>
        <w:t>KPI cards for total loan amount, total loans, average loan amount, default rate, defaulted loans, active loans, overdue loans, and closed loans.</w:t>
      </w:r>
    </w:p>
    <w:p>
      <w:pPr>
        <w:pStyle w:val="ListBullet"/>
        <w:spacing w:after="60" w:line="259" w:lineRule="auto"/>
      </w:pPr>
      <w:r>
        <w:t>Loan status distribution table.</w:t>
      </w:r>
    </w:p>
    <w:p>
      <w:pPr>
        <w:pStyle w:val="ListBullet"/>
        <w:spacing w:after="60" w:line="259" w:lineRule="auto"/>
      </w:pPr>
      <w:r>
        <w:t>Loan purpose distribution table.</w:t>
      </w:r>
    </w:p>
    <w:p>
      <w:pPr>
        <w:pStyle w:val="ListBullet"/>
        <w:spacing w:after="60" w:line="259" w:lineRule="auto"/>
      </w:pPr>
      <w:r>
        <w:t>Credit score default-rate table.</w:t>
      </w:r>
    </w:p>
    <w:p>
      <w:pPr>
        <w:pStyle w:val="ListBullet"/>
        <w:spacing w:after="60" w:line="259" w:lineRule="auto"/>
      </w:pPr>
      <w:r>
        <w:t>DTI default-rate table.</w:t>
      </w:r>
    </w:p>
    <w:p>
      <w:pPr>
        <w:pStyle w:val="ListBullet"/>
        <w:spacing w:after="60" w:line="259" w:lineRule="auto"/>
      </w:pPr>
      <w:r>
        <w:t>Loan Status Distribution chart.</w:t>
      </w:r>
    </w:p>
    <w:p>
      <w:pPr>
        <w:pStyle w:val="ListBullet"/>
        <w:spacing w:after="60" w:line="259" w:lineRule="auto"/>
      </w:pPr>
      <w:r>
        <w:t>Loan Volume by Purpose chart.</w:t>
      </w:r>
    </w:p>
    <w:p>
      <w:pPr>
        <w:pStyle w:val="ListBullet"/>
        <w:spacing w:after="60" w:line="259" w:lineRule="auto"/>
      </w:pPr>
      <w:r>
        <w:t>Default Rate by Credit Score Band chart.</w:t>
      </w:r>
    </w:p>
    <w:p>
      <w:pPr>
        <w:pStyle w:val="ListBullet"/>
        <w:spacing w:after="60" w:line="259" w:lineRule="auto"/>
      </w:pPr>
      <w:r>
        <w:t>Default Rate by DTI Band chart.</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Dashboard principle</w:t>
            </w:r>
          </w:p>
          <w:p>
            <w:pPr>
              <w:spacing w:after="0"/>
            </w:pPr>
            <w:r>
              <w:rPr>
                <w:rFonts w:ascii="Aptos" w:hAnsi="Aptos"/>
                <w:color w:val="222222"/>
                <w:sz w:val="19"/>
              </w:rPr>
              <w:t>The dashboard is designed for quick interpretation: high-level KPIs appear first, followed by supporting distributions and risk-segmentation visuals.</w:t>
            </w:r>
          </w:p>
        </w:tc>
      </w:tr>
    </w:tbl>
    <w:p>
      <w:pPr>
        <w:spacing w:after="20"/>
      </w:pPr>
    </w:p>
    <w:p>
      <w:pPr>
        <w:pStyle w:val="Heading1"/>
        <w:spacing w:before="200" w:after="100"/>
      </w:pPr>
      <w:r>
        <w:t>15. Key Findings</w:t>
      </w:r>
    </w:p>
    <w:tbl>
      <w:tblPr>
        <w:tblW w:type="auto" w:w="0"/>
        <w:jc w:val="center"/>
        <w:tblLook w:firstColumn="1" w:firstRow="1" w:lastColumn="0" w:lastRow="0" w:noHBand="0" w:noVBand="1" w:val="04A0"/>
      </w:tblPr>
      <w:tblGrid>
        <w:gridCol w:w="2401"/>
        <w:gridCol w:w="2401"/>
        <w:gridCol w:w="2401"/>
        <w:gridCol w:w="2401"/>
      </w:tblGrid>
      <w:tr>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Loans</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Loan Amount</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Defaulted</w:t>
            </w:r>
          </w:p>
        </w:tc>
        <w:tc>
          <w:tcPr>
            <w:tcW w:type="dxa" w:w="2401"/>
            <w:shd w:fill="17365D"/>
            <w:vAlign w:val="center"/>
            <w:tcMar>
              <w:top w:w="80" w:type="dxa"/>
              <w:start w:w="100" w:type="dxa"/>
              <w:bottom w:w="80" w:type="dxa"/>
              <w:end w:w="100" w:type="dxa"/>
            </w:tcMar>
          </w:tcPr>
          <w:p>
            <w:pPr>
              <w:jc w:val="center"/>
            </w:pPr>
            <w:r/>
            <w:r>
              <w:rPr>
                <w:rFonts w:ascii="Aptos" w:hAnsi="Aptos"/>
                <w:b/>
                <w:color w:val="FFFFFF"/>
                <w:sz w:val="17"/>
              </w:rPr>
              <w:t>Default Rate</w:t>
            </w:r>
          </w:p>
        </w:tc>
      </w:tr>
      <w:tr>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500</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₹50.99 Cr</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148</w:t>
            </w:r>
          </w:p>
        </w:tc>
        <w:tc>
          <w:tcPr>
            <w:tcW w:type="dxa" w:w="2401"/>
            <w:shd w:fill="EEF5FB"/>
            <w:vAlign w:val="center"/>
            <w:tcMar>
              <w:top w:w="80" w:type="dxa"/>
              <w:start w:w="100" w:type="dxa"/>
              <w:bottom w:w="80" w:type="dxa"/>
              <w:end w:w="100" w:type="dxa"/>
            </w:tcMar>
          </w:tcPr>
          <w:p>
            <w:pPr>
              <w:jc w:val="center"/>
            </w:pPr>
            <w:r/>
            <w:r>
              <w:rPr>
                <w:rFonts w:ascii="Aptos" w:hAnsi="Aptos"/>
                <w:b/>
                <w:color w:val="17365D"/>
                <w:sz w:val="24"/>
              </w:rPr>
              <w:t>29.6%</w:t>
            </w:r>
          </w:p>
        </w:tc>
      </w:tr>
    </w:tbl>
    <w:p>
      <w:pPr>
        <w:pStyle w:val="ListBullet"/>
        <w:spacing w:after="60" w:line="259" w:lineRule="auto"/>
      </w:pPr>
      <w:r>
        <w:t>The analyzed portfolio contains 500 synthetic loan records.</w:t>
      </w:r>
    </w:p>
    <w:p>
      <w:pPr>
        <w:pStyle w:val="ListBullet"/>
        <w:spacing w:after="60" w:line="259" w:lineRule="auto"/>
      </w:pPr>
      <w:r>
        <w:t>The total loan amount across the dataset is ₹50,98,68,608, approximately ₹50.99 crore.</w:t>
      </w:r>
    </w:p>
    <w:p>
      <w:pPr>
        <w:pStyle w:val="ListBullet"/>
        <w:spacing w:after="60" w:line="259" w:lineRule="auto"/>
      </w:pPr>
      <w:r>
        <w:t>The dataset contains 148 records with Default_Flag = 1, corresponding to a synthetic default rate of 29.6%.</w:t>
      </w:r>
    </w:p>
    <w:p>
      <w:pPr>
        <w:pStyle w:val="ListBullet"/>
        <w:spacing w:after="60" w:line="259" w:lineRule="auto"/>
      </w:pPr>
      <w:r>
        <w:t>The monthly analysis covers 36 months from 2023 through 2025, and the monthly loan counts reconcile to the overall total of 500.</w:t>
      </w:r>
    </w:p>
    <w:p>
      <w:pPr>
        <w:pStyle w:val="ListBullet"/>
        <w:spacing w:after="60" w:line="259" w:lineRule="auto"/>
      </w:pPr>
      <w:r>
        <w:t>The analysis includes multiple risk views, allowing default indicators to be compared by loan purpose, employment type, region, credit score band, and DTI band.</w:t>
      </w:r>
    </w:p>
    <w:p>
      <w:pPr>
        <w:pStyle w:val="Heading1"/>
        <w:spacing w:before="200" w:after="100"/>
      </w:pPr>
      <w:r>
        <w:t>16. Business Insights</w:t>
      </w:r>
    </w:p>
    <w:p>
      <w:pPr>
        <w:pStyle w:val="BodyText"/>
        <w:spacing w:after="120" w:line="269" w:lineRule="auto"/>
      </w:pPr>
      <w:r>
        <w:t>The analysis framework supports several practical portfolio-monitoring observations. These observations should be interpreted as patterns in the synthetic dataset rather than real banking conclusions.</w:t>
      </w:r>
    </w:p>
    <w:p>
      <w:pPr>
        <w:pStyle w:val="ListBullet"/>
        <w:spacing w:after="60" w:line="259" w:lineRule="auto"/>
      </w:pPr>
      <w:r>
        <w:t>Portfolio monitoring benefits from combining volume measures with risk measures. A segment with many loans may require a different monitoring approach from a smaller segment with a higher observed default rate.</w:t>
      </w:r>
    </w:p>
    <w:p>
      <w:pPr>
        <w:pStyle w:val="ListBullet"/>
        <w:spacing w:after="60" w:line="259" w:lineRule="auto"/>
      </w:pPr>
      <w:r>
        <w:t>Credit score segmentation provides a simple way to compare default indicators across customer credit-quality groups.</w:t>
      </w:r>
    </w:p>
    <w:p>
      <w:pPr>
        <w:pStyle w:val="ListBullet"/>
        <w:spacing w:after="60" w:line="259" w:lineRule="auto"/>
      </w:pPr>
      <w:r>
        <w:t>DTI segmentation adds a second financial-risk perspective and helps examine whether higher debt burden is associated with different default patterns in the generated data.</w:t>
      </w:r>
    </w:p>
    <w:p>
      <w:pPr>
        <w:pStyle w:val="ListBullet"/>
        <w:spacing w:after="60" w:line="259" w:lineRule="auto"/>
      </w:pPr>
      <w:r>
        <w:t>Loan purpose, employment type, and region provide useful dimensions for portfolio reporting and can reveal concentration patterns that are not visible in overall KPIs.</w:t>
      </w:r>
    </w:p>
    <w:p>
      <w:pPr>
        <w:pStyle w:val="ListBullet"/>
        <w:spacing w:after="60" w:line="259" w:lineRule="auto"/>
      </w:pPr>
      <w:r>
        <w:t>Monthly analysis provides a time-based view of portfolio activity and can help identify periods of higher or lower loan origination volume.</w:t>
      </w:r>
    </w:p>
    <w:p>
      <w:pPr>
        <w:pStyle w:val="Heading1"/>
        <w:spacing w:before="200" w:after="100"/>
      </w:pPr>
      <w:r>
        <w:t>17. Recommendations</w:t>
      </w:r>
    </w:p>
    <w:p>
      <w:pPr>
        <w:pStyle w:val="BodyText"/>
        <w:spacing w:after="120" w:line="269" w:lineRule="auto"/>
      </w:pPr>
      <w:r>
        <w:t>Based on the analytical structure of this project, the following recommendations describe ways a bank analyst could use similar reporting in a real analytical environment. They are not recommendations for real customers based on this synthetic dataset.</w:t>
      </w:r>
    </w:p>
    <w:p>
      <w:pPr>
        <w:pStyle w:val="ListBullet"/>
        <w:spacing w:after="60" w:line="259" w:lineRule="auto"/>
      </w:pPr>
      <w:r>
        <w:t>Monitor default rates by credit score and DTI bands rather than relying only on an overall portfolio default rate.</w:t>
      </w:r>
    </w:p>
    <w:p>
      <w:pPr>
        <w:pStyle w:val="ListBullet"/>
        <w:spacing w:after="60" w:line="259" w:lineRule="auto"/>
      </w:pPr>
      <w:r>
        <w:t>Review portfolio concentration by loan purpose, region, and employment type to understand where exposure is concentrated.</w:t>
      </w:r>
    </w:p>
    <w:p>
      <w:pPr>
        <w:pStyle w:val="ListBullet"/>
        <w:spacing w:after="60" w:line="259" w:lineRule="auto"/>
      </w:pPr>
      <w:r>
        <w:t>Track monthly loan volume and loan amount to identify changes in portfolio activity over time.</w:t>
      </w:r>
    </w:p>
    <w:p>
      <w:pPr>
        <w:pStyle w:val="ListBullet"/>
        <w:spacing w:after="60" w:line="259" w:lineRule="auto"/>
      </w:pPr>
      <w:r>
        <w:t>Use standardized KPI definitions so that portfolio reports remain consistent across reporting periods.</w:t>
      </w:r>
    </w:p>
    <w:p>
      <w:pPr>
        <w:pStyle w:val="ListBullet"/>
        <w:spacing w:after="60" w:line="259" w:lineRule="auto"/>
      </w:pPr>
      <w:r>
        <w:t>For production use, supplement descriptive Excel analysis with validated historical data, approved credit-risk methodologies, governance controls, and appropriate statistical or machine-learning models.</w:t>
      </w:r>
    </w:p>
    <w:p>
      <w:pPr>
        <w:pStyle w:val="Heading1"/>
        <w:spacing w:before="200" w:after="100"/>
      </w:pPr>
      <w:r>
        <w:t>18. Conclusion</w:t>
      </w:r>
    </w:p>
    <w:p>
      <w:pPr>
        <w:pStyle w:val="BodyText"/>
        <w:spacing w:after="120" w:line="269" w:lineRule="auto"/>
      </w:pPr>
      <w:r>
        <w:t>This project demonstrates an end-to-end Excel workflow for analyzing a synthetic bank loan portfolio. Starting from raw loan-level records, the project applies data-quality checks, prepares analytical fields, calculates KPIs, builds risk-segmentation tables, creates PivotTables, and presents the results through a dashboard.</w:t>
      </w:r>
    </w:p>
    <w:p>
      <w:pPr>
        <w:pStyle w:val="BodyText"/>
        <w:spacing w:after="120" w:line="269" w:lineRule="auto"/>
      </w:pPr>
      <w:r>
        <w:t>The final workbook provides a structured way to understand portfolio size, loan distribution, loan status, and default indicators. The project also demonstrates practical Excel skills that can be discussed in a data-analysis portfolio or interview setting.</w:t>
      </w:r>
    </w:p>
    <w:tbl>
      <w:tblPr>
        <w:tblW w:type="auto" w:w="0"/>
        <w:jc w:val="center"/>
        <w:tblLook w:firstColumn="1" w:firstRow="1" w:lastColumn="0" w:lastRow="0" w:noHBand="0" w:noVBand="1" w:val="04A0"/>
      </w:tblPr>
      <w:tblGrid>
        <w:gridCol w:w="9605"/>
      </w:tblGrid>
      <w:tr>
        <w:tc>
          <w:tcPr>
            <w:tcW w:type="dxa" w:w="9605"/>
            <w:shd w:fill="EEF5FB"/>
            <w:tcMar>
              <w:top w:w="130" w:type="dxa"/>
              <w:start w:w="160" w:type="dxa"/>
              <w:bottom w:w="130" w:type="dxa"/>
              <w:end w:w="160" w:type="dxa"/>
            </w:tcMar>
          </w:tcPr>
          <w:p>
            <w:r>
              <w:rPr>
                <w:rFonts w:ascii="Aptos" w:hAnsi="Aptos"/>
                <w:b/>
                <w:color w:val="17365D"/>
                <w:sz w:val="21"/>
              </w:rPr>
              <w:t>Final note</w:t>
            </w:r>
          </w:p>
          <w:p>
            <w:pPr>
              <w:spacing w:after="0"/>
            </w:pPr>
            <w:r>
              <w:rPr>
                <w:rFonts w:ascii="Aptos" w:hAnsi="Aptos"/>
                <w:color w:val="222222"/>
                <w:sz w:val="19"/>
              </w:rPr>
              <w:t>Because the underlying data is self-generated synthetic data, the purpose of the project is to demonstrate analytical methodology and Excel capability—not to claim real banking experience or real-world credit-risk performance.</w:t>
            </w:r>
          </w:p>
        </w:tc>
      </w:tr>
    </w:tbl>
    <w:p>
      <w:pPr>
        <w:spacing w:after="20"/>
      </w:pPr>
    </w:p>
    <w:p>
      <w:pPr>
        <w:pStyle w:val="Heading1"/>
        <w:spacing w:before="200" w:after="100"/>
      </w:pPr>
      <w:r>
        <w:t>19. Tools &amp; Skills Used</w:t>
      </w:r>
    </w:p>
    <w:tbl>
      <w:tblPr>
        <w:tblStyle w:val="TableGrid"/>
        <w:tblW w:type="auto" w:w="0"/>
        <w:jc w:val="center"/>
        <w:tblLook w:firstColumn="1" w:firstRow="1" w:lastColumn="0" w:lastRow="0" w:noHBand="0" w:noVBand="1" w:val="04A0"/>
      </w:tblPr>
      <w:tblGrid>
        <w:gridCol w:w="4802"/>
        <w:gridCol w:w="4802"/>
      </w:tblGrid>
      <w:tr>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Tool / Skill</w:t>
            </w:r>
          </w:p>
        </w:tc>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Application in Project</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Microsoft Excel</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Workbook design, formulas, formatting, PivotTables, charts, dashboard</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Data Cleaning</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Duplicate checks, missing-value checks, category validation, range validation</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Data Preparation</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Working Data structure, derived risk bands, stable analysis values</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Data Analysis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COUNTIF, SUMIF, SUMIFS, COUNTIFS, AVERAGE, INDEX/MATCH, percentage calculations</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Risk Analysis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Credit score segmentation, DTI segmentation, default-rate analysis</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PivotTables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Multi-dimensional portfolio summaries and reconciliation</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Data Visualization</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Charts, KPI cards, supporting tables, dashboard layout</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Business Analysis</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Business questions, findings, insights, recommendations, documentation</w:t>
            </w:r>
          </w:p>
        </w:tc>
      </w:tr>
    </w:tbl>
    <w:p>
      <w:r>
        <w:br w:type="page"/>
      </w:r>
    </w:p>
    <w:p>
      <w:pPr>
        <w:pStyle w:val="Heading1"/>
        <w:spacing w:before="200" w:after="100"/>
      </w:pPr>
      <w:r>
        <w:t>Appendix: Workbook Structure</w:t>
      </w:r>
    </w:p>
    <w:p>
      <w:pPr>
        <w:pStyle w:val="BodyText"/>
        <w:spacing w:after="120" w:line="269" w:lineRule="auto"/>
      </w:pPr>
      <w:r>
        <w:t>The Excel workbook is organized into separate layers so that raw data, working data, analysis, PivotTables, and presentation remain distinguishable.</w:t>
      </w:r>
    </w:p>
    <w:tbl>
      <w:tblPr>
        <w:tblStyle w:val="TableGrid"/>
        <w:tblW w:type="auto" w:w="0"/>
        <w:jc w:val="center"/>
        <w:tblLook w:firstColumn="1" w:firstRow="1" w:lastColumn="0" w:lastRow="0" w:noHBand="0" w:noVBand="1" w:val="04A0"/>
      </w:tblPr>
      <w:tblGrid>
        <w:gridCol w:w="4802"/>
        <w:gridCol w:w="4802"/>
      </w:tblGrid>
      <w:tr>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Workbook Sheet</w:t>
            </w:r>
          </w:p>
        </w:tc>
        <w:tc>
          <w:tcPr>
            <w:tcW w:type="dxa" w:w="4802"/>
            <w:vAlign w:val="center"/>
            <w:tcMar>
              <w:top w:w="80" w:type="dxa"/>
              <w:start w:w="100" w:type="dxa"/>
              <w:bottom w:w="80" w:type="dxa"/>
              <w:end w:w="100" w:type="dxa"/>
            </w:tcMar>
            <w:shd w:fill="17365D"/>
          </w:tcPr>
          <w:p>
            <w:pPr>
              <w:jc w:val="center"/>
            </w:pPr>
            <w:r>
              <w:rPr>
                <w:rFonts w:ascii="Aptos" w:hAnsi="Aptos"/>
                <w:b/>
                <w:color w:val="FFFFFF"/>
                <w:sz w:val="17"/>
              </w:rPr>
            </w:r>
            <w:r>
              <w:rPr>
                <w:rFonts w:ascii="Aptos" w:hAnsi="Aptos"/>
                <w:b/>
                <w:color w:val="FFFFFF"/>
                <w:sz w:val="17"/>
              </w:rPr>
              <w:t>Purpose</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Raw Data</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Original synthetic loan dataset; preserved as the source layer.</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Working Data</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Prepared dataset used for validation and derived risk fields.</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Analysis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Formula-based KPIs, risk summaries, segmentation, status, and monthly analysis.</w:t>
            </w:r>
          </w:p>
        </w:tc>
      </w:tr>
      <w:tr>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Dashboard</w:t>
            </w:r>
          </w:p>
        </w:tc>
        <w:tc>
          <w:tcPr>
            <w:tcW w:type="dxa" w:w="4802"/>
            <w:vAlign w:val="center"/>
            <w:tcMar>
              <w:top w:w="80" w:type="dxa"/>
              <w:start w:w="100" w:type="dxa"/>
              <w:bottom w:w="80" w:type="dxa"/>
              <w:end w:w="100" w:type="dxa"/>
            </w:tcMar>
            <w:shd w:fill="EEF5FB"/>
          </w:tcPr>
          <w:p>
            <w:pPr>
              <w:jc w:val="left"/>
            </w:pPr>
            <w:r>
              <w:rPr>
                <w:rFonts w:ascii="Aptos" w:hAnsi="Aptos"/>
                <w:sz w:val="17"/>
              </w:rPr>
            </w:r>
            <w:r>
              <w:rPr>
                <w:rFonts w:ascii="Aptos" w:hAnsi="Aptos"/>
                <w:b w:val="0"/>
                <w:color w:val="222222"/>
                <w:sz w:val="17"/>
              </w:rPr>
              <w:t>Presentation layer containing KPI cards, tables, and charts.</w:t>
            </w:r>
          </w:p>
        </w:tc>
      </w:tr>
      <w:tr>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PivotTable Sheets</w:t>
            </w:r>
          </w:p>
        </w:tc>
        <w:tc>
          <w:tcPr>
            <w:tcW w:type="dxa" w:w="4802"/>
            <w:vAlign w:val="center"/>
            <w:tcMar>
              <w:top w:w="80" w:type="dxa"/>
              <w:start w:w="100" w:type="dxa"/>
              <w:bottom w:w="80" w:type="dxa"/>
              <w:end w:w="100" w:type="dxa"/>
            </w:tcMar>
          </w:tcPr>
          <w:p>
            <w:pPr>
              <w:jc w:val="left"/>
            </w:pPr>
            <w:r>
              <w:rPr>
                <w:rFonts w:ascii="Aptos" w:hAnsi="Aptos"/>
                <w:sz w:val="17"/>
              </w:rPr>
            </w:r>
            <w:r>
              <w:rPr>
                <w:rFonts w:ascii="Aptos" w:hAnsi="Aptos"/>
                <w:b w:val="0"/>
                <w:color w:val="222222"/>
                <w:sz w:val="17"/>
              </w:rPr>
              <w:t>Dedicated summaries for status, purpose, employment, region, credit score, DTI, monthly volume, amount, and regional status.</w:t>
            </w:r>
          </w:p>
        </w:tc>
      </w:tr>
    </w:tbl>
    <w:p>
      <w:pPr>
        <w:pStyle w:val="BodyText"/>
        <w:spacing w:after="120" w:line="269" w:lineRule="auto"/>
      </w:pPr>
      <w:r>
        <w:t>End of Documentation</w:t>
      </w:r>
    </w:p>
    <w:sectPr w:rsidR="00FC693F" w:rsidRPr="0006063C" w:rsidSect="00034616">
      <w:pgSz w:w="11909" w:h="16834"/>
      <w:pgMar w:top="1080" w:right="1152" w:bottom="1008" w:left="1152"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Excel Data Analysis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Bank Loan Portfolio &amp; Credit Risk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