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A61F" w14:textId="4049F402" w:rsidR="00045E8C" w:rsidRPr="00CF3A42" w:rsidRDefault="002F0BD4">
      <w:pPr>
        <w:pStyle w:val="Heading1"/>
        <w:rPr>
          <w:rFonts w:ascii="Platinolintino" w:hAnsi="Platinolintino"/>
          <w:color w:val="000000" w:themeColor="text1"/>
          <w:sz w:val="34"/>
          <w:szCs w:val="40"/>
        </w:rPr>
      </w:pPr>
      <w:r w:rsidRPr="00CF3A42">
        <w:rPr>
          <w:rFonts w:ascii="Platinolintino" w:hAnsi="Platinolintino"/>
          <w:color w:val="000000" w:themeColor="text1"/>
          <w:sz w:val="34"/>
          <w:szCs w:val="40"/>
        </w:rPr>
        <w:t>Name: Syed Najiullah</w:t>
      </w:r>
    </w:p>
    <w:p w14:paraId="7E37F77F" w14:textId="74E9A8A5" w:rsidR="00E53979" w:rsidRPr="00CF3A42" w:rsidRDefault="00000000">
      <w:pPr>
        <w:pStyle w:val="Heading1"/>
        <w:rPr>
          <w:rFonts w:ascii="Platinolintino" w:hAnsi="Platinolintino"/>
          <w:color w:val="000000" w:themeColor="text1"/>
        </w:rPr>
      </w:pPr>
      <w:r w:rsidRPr="00CF3A42">
        <w:rPr>
          <w:rFonts w:ascii="Platinolintino" w:hAnsi="Platinolintino"/>
          <w:color w:val="000000" w:themeColor="text1"/>
        </w:rPr>
        <w:t>VGG16 Architecture – Simple &amp; Formal Explanation</w:t>
      </w:r>
    </w:p>
    <w:p w14:paraId="441EBC39" w14:textId="6F0C4A0C"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t xml:space="preserve"> Introduction</w:t>
      </w:r>
    </w:p>
    <w:p w14:paraId="6C7B6CD0" w14:textId="71D6AB8E" w:rsidR="00D63402" w:rsidRPr="00CF3A42" w:rsidRDefault="00000000">
      <w:pPr>
        <w:rPr>
          <w:rFonts w:ascii="Platinolintino" w:hAnsi="Platinolintino"/>
          <w:color w:val="000000" w:themeColor="text1"/>
        </w:rPr>
      </w:pPr>
      <w:r w:rsidRPr="00CF3A42">
        <w:rPr>
          <w:rFonts w:ascii="Platinolintino" w:hAnsi="Platinolintino"/>
          <w:color w:val="000000" w:themeColor="text1"/>
        </w:rPr>
        <w:t>VGG16 is a Convolutional Neural Network (CNN) architecture developed by the Visual Geometry Group (VGG) at the University of Oxford. It is widely known for its simplicity, uniform design, and strong performance on image classification tasks. The '16' in VGG16 refers to the 16 layers that contain learnable parameters.</w:t>
      </w:r>
    </w:p>
    <w:p w14:paraId="0CFADB93" w14:textId="655F650A" w:rsidR="00E53979" w:rsidRDefault="00000000">
      <w:pPr>
        <w:pStyle w:val="Heading2"/>
        <w:rPr>
          <w:rFonts w:ascii="Platinolintino" w:hAnsi="Platinolintino"/>
          <w:color w:val="000000" w:themeColor="text1"/>
        </w:rPr>
      </w:pPr>
      <w:r w:rsidRPr="00CF3A42">
        <w:rPr>
          <w:rFonts w:ascii="Platinolintino" w:hAnsi="Platinolintino"/>
          <w:color w:val="000000" w:themeColor="text1"/>
        </w:rPr>
        <w:t>Key Characteristics of VGG16</w:t>
      </w:r>
    </w:p>
    <w:p w14:paraId="7C1D115B" w14:textId="022FCCBE" w:rsidR="002856C8" w:rsidRPr="002856C8" w:rsidRDefault="002856C8" w:rsidP="002856C8">
      <w:r w:rsidRPr="00D63402">
        <w:rPr>
          <w:rFonts w:ascii="Platinolintino" w:hAnsi="Platinolintino"/>
          <w:color w:val="000000" w:themeColor="text1"/>
        </w:rPr>
        <w:drawing>
          <wp:inline distT="0" distB="0" distL="0" distR="0" wp14:anchorId="7ECE5216" wp14:editId="7206C69E">
            <wp:extent cx="5486400" cy="3526155"/>
            <wp:effectExtent l="0" t="0" r="0" b="0"/>
            <wp:docPr id="21214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4958" name=""/>
                    <pic:cNvPicPr/>
                  </pic:nvPicPr>
                  <pic:blipFill>
                    <a:blip r:embed="rId6"/>
                    <a:stretch>
                      <a:fillRect/>
                    </a:stretch>
                  </pic:blipFill>
                  <pic:spPr>
                    <a:xfrm>
                      <a:off x="0" y="0"/>
                      <a:ext cx="5486400" cy="3526155"/>
                    </a:xfrm>
                    <a:prstGeom prst="rect">
                      <a:avLst/>
                    </a:prstGeom>
                  </pic:spPr>
                </pic:pic>
              </a:graphicData>
            </a:graphic>
          </wp:inline>
        </w:drawing>
      </w:r>
    </w:p>
    <w:p w14:paraId="0EC6410A"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Uses only 3×3 convolution filters throughout the network.</w:t>
      </w:r>
    </w:p>
    <w:p w14:paraId="66B9DDAB"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Organized into five sequential convolutional blocks.</w:t>
      </w:r>
    </w:p>
    <w:p w14:paraId="0379DC71"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Uses ReLU activation after every convolution layer.</w:t>
      </w:r>
    </w:p>
    <w:p w14:paraId="750A7D11"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Uses Max Pooling to reduce spatial dimensions after each block.</w:t>
      </w:r>
    </w:p>
    <w:p w14:paraId="2E6CE0D9"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Includes three fully connected layers at the end.</w:t>
      </w:r>
    </w:p>
    <w:p w14:paraId="21FABF6C"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Designed for image sizes of 224×224×3.</w:t>
      </w:r>
    </w:p>
    <w:p w14:paraId="2B8E5CDD" w14:textId="2C3A8494"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lastRenderedPageBreak/>
        <w:t>Architecture Overview</w:t>
      </w:r>
    </w:p>
    <w:p w14:paraId="0F8D60D5"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The VGG16 architecture consists of the following stages:</w:t>
      </w:r>
      <w:r w:rsidRPr="00CF3A42">
        <w:rPr>
          <w:rFonts w:ascii="Platinolintino" w:hAnsi="Platinolintino"/>
          <w:color w:val="000000" w:themeColor="text1"/>
        </w:rPr>
        <w:br/>
        <w:t>• Block 1: Two 3×3 convolution layers with 64 filters each, followed by Max Pooling.</w:t>
      </w:r>
      <w:r w:rsidRPr="00CF3A42">
        <w:rPr>
          <w:rFonts w:ascii="Platinolintino" w:hAnsi="Platinolintino"/>
          <w:color w:val="000000" w:themeColor="text1"/>
        </w:rPr>
        <w:br/>
        <w:t>• Block 2: Two 3×3 convolution layers with 128 filters each, followed by Max Pooling.</w:t>
      </w:r>
      <w:r w:rsidRPr="00CF3A42">
        <w:rPr>
          <w:rFonts w:ascii="Platinolintino" w:hAnsi="Platinolintino"/>
          <w:color w:val="000000" w:themeColor="text1"/>
        </w:rPr>
        <w:br/>
        <w:t>• Block 3: Three 3×3 convolution layers with 256 filters, followed by Max Pooling.</w:t>
      </w:r>
      <w:r w:rsidRPr="00CF3A42">
        <w:rPr>
          <w:rFonts w:ascii="Platinolintino" w:hAnsi="Platinolintino"/>
          <w:color w:val="000000" w:themeColor="text1"/>
        </w:rPr>
        <w:br/>
        <w:t>• Block 4: Three 3×3 convolution layers with 512 filters, followed by Max Pooling.</w:t>
      </w:r>
      <w:r w:rsidRPr="00CF3A42">
        <w:rPr>
          <w:rFonts w:ascii="Platinolintino" w:hAnsi="Platinolintino"/>
          <w:color w:val="000000" w:themeColor="text1"/>
        </w:rPr>
        <w:br/>
        <w:t>• Block 5: Three 3×3 convolution layers with 512 filters, followed by Max Pooling.</w:t>
      </w:r>
    </w:p>
    <w:p w14:paraId="3DC876FD" w14:textId="6BD3CD44"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t>Fully Connected Layers</w:t>
      </w:r>
    </w:p>
    <w:p w14:paraId="4E8996CF"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After the convolutional blocks, VGG16 includes three fully connected layers:</w:t>
      </w:r>
      <w:r w:rsidRPr="00CF3A42">
        <w:rPr>
          <w:rFonts w:ascii="Platinolintino" w:hAnsi="Platinolintino"/>
          <w:color w:val="000000" w:themeColor="text1"/>
        </w:rPr>
        <w:br/>
        <w:t>• Fully Connected Layer with 4096 neurons</w:t>
      </w:r>
      <w:r w:rsidRPr="00CF3A42">
        <w:rPr>
          <w:rFonts w:ascii="Platinolintino" w:hAnsi="Platinolintino"/>
          <w:color w:val="000000" w:themeColor="text1"/>
        </w:rPr>
        <w:br/>
        <w:t>• Fully Connected Layer with 4096 neurons</w:t>
      </w:r>
      <w:r w:rsidRPr="00CF3A42">
        <w:rPr>
          <w:rFonts w:ascii="Platinolintino" w:hAnsi="Platinolintino"/>
          <w:color w:val="000000" w:themeColor="text1"/>
        </w:rPr>
        <w:br/>
        <w:t>• Output Layer with Softmax activation for classification</w:t>
      </w:r>
    </w:p>
    <w:p w14:paraId="0F6B674F" w14:textId="50CD073A"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t>Total Parameters</w:t>
      </w:r>
    </w:p>
    <w:p w14:paraId="2666E897"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VGG16 contains approximately 138 million parameters, making it a large and computationally expensive model.</w:t>
      </w:r>
    </w:p>
    <w:p w14:paraId="54F5A6BF" w14:textId="00EEFAC5"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t>Advantages of VGG16</w:t>
      </w:r>
    </w:p>
    <w:p w14:paraId="6F0AC892"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Simple and consistent architecture.</w:t>
      </w:r>
    </w:p>
    <w:p w14:paraId="0BBD8B6B"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Strong performance on image classification tasks.</w:t>
      </w:r>
    </w:p>
    <w:p w14:paraId="019A3D73"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Excellent for transfer learning.</w:t>
      </w:r>
    </w:p>
    <w:p w14:paraId="15341363"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Easy to understand and modify.</w:t>
      </w:r>
    </w:p>
    <w:p w14:paraId="09D86FB2" w14:textId="22AA435A" w:rsidR="00E53979" w:rsidRPr="00CF3A42" w:rsidRDefault="00000000">
      <w:pPr>
        <w:pStyle w:val="Heading2"/>
        <w:rPr>
          <w:rFonts w:ascii="Platinolintino" w:hAnsi="Platinolintino"/>
          <w:color w:val="000000" w:themeColor="text1"/>
        </w:rPr>
      </w:pPr>
      <w:r w:rsidRPr="00CF3A42">
        <w:rPr>
          <w:rFonts w:ascii="Platinolintino" w:hAnsi="Platinolintino"/>
          <w:color w:val="000000" w:themeColor="text1"/>
        </w:rPr>
        <w:t>Disadvantages of VGG16</w:t>
      </w:r>
    </w:p>
    <w:p w14:paraId="4F41BD84"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Very large model size.</w:t>
      </w:r>
    </w:p>
    <w:p w14:paraId="28105BD7"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High memory and computational requirements.</w:t>
      </w:r>
    </w:p>
    <w:p w14:paraId="16A01209" w14:textId="77777777" w:rsidR="00E53979" w:rsidRPr="00CF3A42" w:rsidRDefault="00000000">
      <w:pPr>
        <w:rPr>
          <w:rFonts w:ascii="Platinolintino" w:hAnsi="Platinolintino"/>
          <w:color w:val="000000" w:themeColor="text1"/>
        </w:rPr>
      </w:pPr>
      <w:r w:rsidRPr="00CF3A42">
        <w:rPr>
          <w:rFonts w:ascii="Platinolintino" w:hAnsi="Platinolintino"/>
          <w:color w:val="000000" w:themeColor="text1"/>
        </w:rPr>
        <w:t>• Slower training compared to modern architectures like ResNet.</w:t>
      </w:r>
    </w:p>
    <w:p w14:paraId="15E0AF53" w14:textId="583604EB" w:rsidR="002A47E3" w:rsidRPr="00CF3A42" w:rsidRDefault="002A47E3" w:rsidP="002A47E3">
      <w:pPr>
        <w:pStyle w:val="Heading2"/>
        <w:rPr>
          <w:rFonts w:ascii="Platinolintino" w:hAnsi="Platinolintino"/>
          <w:color w:val="000000" w:themeColor="text1"/>
        </w:rPr>
      </w:pPr>
      <w:r>
        <w:rPr>
          <w:rFonts w:ascii="Platinolintino" w:hAnsi="Platinolintino"/>
          <w:color w:val="000000" w:themeColor="text1"/>
        </w:rPr>
        <w:lastRenderedPageBreak/>
        <w:t>C</w:t>
      </w:r>
      <w:r>
        <w:rPr>
          <w:rFonts w:ascii="Platinolintino" w:hAnsi="Platinolintino" w:hint="eastAsia"/>
          <w:color w:val="000000" w:themeColor="text1"/>
        </w:rPr>
        <w:t>o</w:t>
      </w:r>
      <w:r>
        <w:rPr>
          <w:rFonts w:ascii="Platinolintino" w:hAnsi="Platinolintino"/>
          <w:color w:val="000000" w:themeColor="text1"/>
        </w:rPr>
        <w:t xml:space="preserve">de using </w:t>
      </w:r>
      <w:proofErr w:type="spellStart"/>
      <w:r>
        <w:rPr>
          <w:rFonts w:ascii="Platinolintino" w:hAnsi="Platinolintino"/>
          <w:color w:val="000000" w:themeColor="text1"/>
        </w:rPr>
        <w:t>pytorch</w:t>
      </w:r>
      <w:proofErr w:type="spellEnd"/>
    </w:p>
    <w:p w14:paraId="67B2C4A3" w14:textId="33B15D5E" w:rsidR="00E53979" w:rsidRDefault="00183F48">
      <w:pPr>
        <w:rPr>
          <w:rFonts w:ascii="Platinolintino" w:hAnsi="Platinolintino"/>
          <w:color w:val="000000" w:themeColor="text1"/>
        </w:rPr>
      </w:pPr>
      <w:r w:rsidRPr="00183F48">
        <w:rPr>
          <w:rFonts w:ascii="Platinolintino" w:hAnsi="Platinolintino"/>
          <w:color w:val="000000" w:themeColor="text1"/>
        </w:rPr>
        <w:drawing>
          <wp:inline distT="0" distB="0" distL="0" distR="0" wp14:anchorId="3657C068" wp14:editId="10EDE2F8">
            <wp:extent cx="5486400" cy="6585585"/>
            <wp:effectExtent l="0" t="0" r="0" b="5715"/>
            <wp:docPr id="4754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6215" name=""/>
                    <pic:cNvPicPr/>
                  </pic:nvPicPr>
                  <pic:blipFill>
                    <a:blip r:embed="rId7"/>
                    <a:stretch>
                      <a:fillRect/>
                    </a:stretch>
                  </pic:blipFill>
                  <pic:spPr>
                    <a:xfrm>
                      <a:off x="0" y="0"/>
                      <a:ext cx="5486400" cy="6585585"/>
                    </a:xfrm>
                    <a:prstGeom prst="rect">
                      <a:avLst/>
                    </a:prstGeom>
                  </pic:spPr>
                </pic:pic>
              </a:graphicData>
            </a:graphic>
          </wp:inline>
        </w:drawing>
      </w:r>
    </w:p>
    <w:p w14:paraId="6BC84C8B" w14:textId="362DDA76" w:rsidR="00183F48" w:rsidRDefault="00183F48">
      <w:pPr>
        <w:rPr>
          <w:rFonts w:ascii="Platinolintino" w:hAnsi="Platinolintino"/>
          <w:color w:val="000000" w:themeColor="text1"/>
        </w:rPr>
      </w:pPr>
      <w:r w:rsidRPr="00183F48">
        <w:rPr>
          <w:rFonts w:ascii="Platinolintino" w:hAnsi="Platinolintino"/>
          <w:color w:val="000000" w:themeColor="text1"/>
        </w:rPr>
        <w:lastRenderedPageBreak/>
        <w:drawing>
          <wp:inline distT="0" distB="0" distL="0" distR="0" wp14:anchorId="1822A6EE" wp14:editId="046AA592">
            <wp:extent cx="5258534" cy="7421011"/>
            <wp:effectExtent l="0" t="0" r="0" b="8890"/>
            <wp:docPr id="8431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8932" name=""/>
                    <pic:cNvPicPr/>
                  </pic:nvPicPr>
                  <pic:blipFill>
                    <a:blip r:embed="rId8"/>
                    <a:stretch>
                      <a:fillRect/>
                    </a:stretch>
                  </pic:blipFill>
                  <pic:spPr>
                    <a:xfrm>
                      <a:off x="0" y="0"/>
                      <a:ext cx="5258534" cy="7421011"/>
                    </a:xfrm>
                    <a:prstGeom prst="rect">
                      <a:avLst/>
                    </a:prstGeom>
                  </pic:spPr>
                </pic:pic>
              </a:graphicData>
            </a:graphic>
          </wp:inline>
        </w:drawing>
      </w:r>
    </w:p>
    <w:p w14:paraId="6934939A" w14:textId="7E527CCA" w:rsidR="00183F48" w:rsidRDefault="00183F48">
      <w:pPr>
        <w:rPr>
          <w:rFonts w:ascii="Platinolintino" w:hAnsi="Platinolintino"/>
          <w:color w:val="000000" w:themeColor="text1"/>
        </w:rPr>
      </w:pPr>
      <w:r w:rsidRPr="00183F48">
        <w:rPr>
          <w:rFonts w:ascii="Platinolintino" w:hAnsi="Platinolintino"/>
          <w:color w:val="000000" w:themeColor="text1"/>
        </w:rPr>
        <w:lastRenderedPageBreak/>
        <w:drawing>
          <wp:inline distT="0" distB="0" distL="0" distR="0" wp14:anchorId="3D8A4D04" wp14:editId="7DB96133">
            <wp:extent cx="4105848" cy="4391638"/>
            <wp:effectExtent l="0" t="0" r="9525" b="9525"/>
            <wp:docPr id="180889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6892" name=""/>
                    <pic:cNvPicPr/>
                  </pic:nvPicPr>
                  <pic:blipFill>
                    <a:blip r:embed="rId9"/>
                    <a:stretch>
                      <a:fillRect/>
                    </a:stretch>
                  </pic:blipFill>
                  <pic:spPr>
                    <a:xfrm>
                      <a:off x="0" y="0"/>
                      <a:ext cx="4105848" cy="4391638"/>
                    </a:xfrm>
                    <a:prstGeom prst="rect">
                      <a:avLst/>
                    </a:prstGeom>
                  </pic:spPr>
                </pic:pic>
              </a:graphicData>
            </a:graphic>
          </wp:inline>
        </w:drawing>
      </w:r>
    </w:p>
    <w:p w14:paraId="739DBB17" w14:textId="77777777" w:rsidR="00183F48" w:rsidRPr="00CF3A42" w:rsidRDefault="00183F48">
      <w:pPr>
        <w:rPr>
          <w:rFonts w:ascii="Platinolintino" w:hAnsi="Platinolintino"/>
          <w:color w:val="000000" w:themeColor="text1"/>
        </w:rPr>
      </w:pPr>
    </w:p>
    <w:sectPr w:rsidR="00183F48" w:rsidRPr="00CF3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tinolinti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451239">
    <w:abstractNumId w:val="8"/>
  </w:num>
  <w:num w:numId="2" w16cid:durableId="1795902537">
    <w:abstractNumId w:val="6"/>
  </w:num>
  <w:num w:numId="3" w16cid:durableId="768886876">
    <w:abstractNumId w:val="5"/>
  </w:num>
  <w:num w:numId="4" w16cid:durableId="722220683">
    <w:abstractNumId w:val="4"/>
  </w:num>
  <w:num w:numId="5" w16cid:durableId="15541501">
    <w:abstractNumId w:val="7"/>
  </w:num>
  <w:num w:numId="6" w16cid:durableId="709066628">
    <w:abstractNumId w:val="3"/>
  </w:num>
  <w:num w:numId="7" w16cid:durableId="948702015">
    <w:abstractNumId w:val="2"/>
  </w:num>
  <w:num w:numId="8" w16cid:durableId="1905799959">
    <w:abstractNumId w:val="1"/>
  </w:num>
  <w:num w:numId="9" w16cid:durableId="130365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8C"/>
    <w:rsid w:val="0006063C"/>
    <w:rsid w:val="0015074B"/>
    <w:rsid w:val="00183F48"/>
    <w:rsid w:val="00274A98"/>
    <w:rsid w:val="002856C8"/>
    <w:rsid w:val="0029639D"/>
    <w:rsid w:val="002A47E3"/>
    <w:rsid w:val="002F0BD4"/>
    <w:rsid w:val="00326F90"/>
    <w:rsid w:val="00400F51"/>
    <w:rsid w:val="00435706"/>
    <w:rsid w:val="00AA1D8D"/>
    <w:rsid w:val="00B47730"/>
    <w:rsid w:val="00CB0664"/>
    <w:rsid w:val="00CF3A42"/>
    <w:rsid w:val="00D63402"/>
    <w:rsid w:val="00E539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38124"/>
  <w14:defaultImageDpi w14:val="300"/>
  <w15:docId w15:val="{63BDFB08-A666-4DAF-9B4E-209A5A77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Najiullah</cp:lastModifiedBy>
  <cp:revision>10</cp:revision>
  <dcterms:created xsi:type="dcterms:W3CDTF">2013-12-23T23:15:00Z</dcterms:created>
  <dcterms:modified xsi:type="dcterms:W3CDTF">2025-11-17T13:05:00Z</dcterms:modified>
  <cp:category/>
</cp:coreProperties>
</file>