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0"/>
        </w:rPr>
        <w:t>WEEK 2 INTERNSHIP REPORT</w:t>
      </w:r>
    </w:p>
    <w:p>
      <w:pPr>
        <w:jc w:val="center"/>
      </w:pPr>
      <w:r>
        <w:rPr>
          <w:b/>
          <w:color w:val="2F75B5"/>
          <w:sz w:val="36"/>
        </w:rPr>
        <w:t>Data Wrangling &amp; Processing</w:t>
      </w:r>
    </w:p>
    <w:p>
      <w:pPr>
        <w:jc w:val="center"/>
      </w:pPr>
      <w:r>
        <w:rPr>
          <w:b/>
        </w:rPr>
        <w:t>Junior Data Analyst – Financial Analytics with Python</w:t>
      </w:r>
    </w:p>
    <w:p>
      <w:pPr>
        <w:jc w:val="center"/>
      </w:pPr>
      <w:r>
        <w:t>Analysis and Prediction of an Indian Stock's Market Performance Using Historical Market and Economic Data</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sz w:val="18"/>
              </w:rPr>
              <w:t>Project Item</w:t>
            </w:r>
          </w:p>
        </w:tc>
        <w:tc>
          <w:tcPr>
            <w:tcW w:type="dxa" w:w="5040"/>
            <w:shd w:fill="17365D"/>
          </w:tcPr>
          <w:p>
            <w:r>
              <w:rPr>
                <w:b/>
                <w:color w:val="FFFFFF"/>
                <w:sz w:val="18"/>
              </w:rPr>
              <w:t>Details</w:t>
            </w:r>
          </w:p>
        </w:tc>
      </w:tr>
      <w:tr>
        <w:tc>
          <w:tcPr>
            <w:tcW w:type="dxa" w:w="5040"/>
          </w:tcPr>
          <w:p>
            <w:r>
              <w:rPr>
                <w:sz w:val="18"/>
              </w:rPr>
              <w:t>Selected stock</w:t>
            </w:r>
          </w:p>
        </w:tc>
        <w:tc>
          <w:tcPr>
            <w:tcW w:type="dxa" w:w="5040"/>
          </w:tcPr>
          <w:p>
            <w:r>
              <w:rPr>
                <w:sz w:val="18"/>
              </w:rPr>
              <w:t>Infosys Limited (NSE: INFY)</w:t>
            </w:r>
          </w:p>
        </w:tc>
      </w:tr>
      <w:tr>
        <w:tc>
          <w:tcPr>
            <w:tcW w:type="dxa" w:w="5040"/>
            <w:shd w:fill="F7F9FC"/>
          </w:tcPr>
          <w:p>
            <w:r>
              <w:rPr>
                <w:sz w:val="18"/>
              </w:rPr>
              <w:t>Market source</w:t>
            </w:r>
          </w:p>
        </w:tc>
        <w:tc>
          <w:tcPr>
            <w:tcW w:type="dxa" w:w="5040"/>
            <w:shd w:fill="F7F9FC"/>
          </w:tcPr>
          <w:p>
            <w:r>
              <w:rPr>
                <w:sz w:val="18"/>
              </w:rPr>
              <w:t>NSE historical daily equity data</w:t>
            </w:r>
          </w:p>
        </w:tc>
      </w:tr>
      <w:tr>
        <w:tc>
          <w:tcPr>
            <w:tcW w:type="dxa" w:w="5040"/>
          </w:tcPr>
          <w:p>
            <w:r>
              <w:rPr>
                <w:sz w:val="18"/>
              </w:rPr>
              <w:t>Economic source</w:t>
            </w:r>
          </w:p>
        </w:tc>
        <w:tc>
          <w:tcPr>
            <w:tcW w:type="dxa" w:w="5040"/>
          </w:tcPr>
          <w:p>
            <w:r>
              <w:rPr>
                <w:sz w:val="18"/>
              </w:rPr>
              <w:t>RBI DBIE: Repo Rate, CPI Inflation, USD/INR</w:t>
            </w:r>
          </w:p>
        </w:tc>
      </w:tr>
      <w:tr>
        <w:tc>
          <w:tcPr>
            <w:tcW w:type="dxa" w:w="5040"/>
            <w:shd w:fill="F7F9FC"/>
          </w:tcPr>
          <w:p>
            <w:r>
              <w:rPr>
                <w:sz w:val="18"/>
              </w:rPr>
              <w:t>Environment</w:t>
            </w:r>
          </w:p>
        </w:tc>
        <w:tc>
          <w:tcPr>
            <w:tcW w:type="dxa" w:w="5040"/>
            <w:shd w:fill="F7F9FC"/>
          </w:tcPr>
          <w:p>
            <w:r>
              <w:rPr>
                <w:sz w:val="18"/>
              </w:rPr>
              <w:t>Python / Google Colab</w:t>
            </w:r>
          </w:p>
        </w:tc>
      </w:tr>
      <w:tr>
        <w:tc>
          <w:tcPr>
            <w:tcW w:type="dxa" w:w="5040"/>
          </w:tcPr>
          <w:p>
            <w:r>
              <w:rPr>
                <w:sz w:val="18"/>
              </w:rPr>
              <w:t>Libraries</w:t>
            </w:r>
          </w:p>
        </w:tc>
        <w:tc>
          <w:tcPr>
            <w:tcW w:type="dxa" w:w="5040"/>
          </w:tcPr>
          <w:p>
            <w:r>
              <w:rPr>
                <w:sz w:val="18"/>
              </w:rPr>
              <w:t>Pandas, NumPy</w:t>
            </w:r>
          </w:p>
        </w:tc>
      </w:tr>
      <w:tr>
        <w:tc>
          <w:tcPr>
            <w:tcW w:type="dxa" w:w="5040"/>
            <w:shd w:fill="F7F9FC"/>
          </w:tcPr>
          <w:p>
            <w:r>
              <w:rPr>
                <w:sz w:val="18"/>
              </w:rPr>
              <w:t>Final dataset</w:t>
            </w:r>
          </w:p>
        </w:tc>
        <w:tc>
          <w:tcPr>
            <w:tcW w:type="dxa" w:w="5040"/>
            <w:shd w:fill="F7F9FC"/>
          </w:tcPr>
          <w:p>
            <w:r>
              <w:rPr>
                <w:sz w:val="18"/>
              </w:rPr>
              <w:t>1,413 rows × 25 columns</w:t>
            </w:r>
          </w:p>
        </w:tc>
      </w:tr>
    </w:tbl>
    <w:p/>
    <w:p>
      <w:pPr>
        <w:jc w:val="center"/>
      </w:pPr>
      <w:r>
        <w:rPr>
          <w:i/>
        </w:rPr>
        <w:t>Prepared for YuvaIntern Week 2 submission</w:t>
      </w:r>
    </w:p>
    <w:p>
      <w:r>
        <w:br w:type="page"/>
      </w:r>
    </w:p>
    <w:p>
      <w:pPr>
        <w:pStyle w:val="Heading1"/>
      </w:pPr>
      <w:r>
        <w:t>1. Executive Summary</w:t>
      </w:r>
    </w:p>
    <w:p>
      <w:r>
        <w:t>Week 2 converted the Week 1 project plan into an implemented financial-data preparation workflow. The selected company was Infosys Limited (INFY). Daily NSE market observations were combined with three macroeconomic indicators from the Reserve Bank of India (RBI): Policy Repo Rate, CPI Inflation and USD/INR Exchange Rate. The work was completed in Python using Pandas in Google Colab. The objective was to acquire, inspect, clean, transform, validate and integrate heterogeneous public datasets so that they could be used reliably in later exploratory analysis and predictive modelling.</w:t>
      </w:r>
    </w:p>
    <w:p>
      <w:r>
        <w:t>The INFY source files for 2021–2025 and 2026 were combined into 1,413 observations. Dates were standardized, numeric fields were converted from text to numbers, and missing-value and duplicate checks were performed. Seven financial features were created: Daily Return, Price Change, Daily Range, Open-Close Change, 7-day Moving Average, 30-day Moving Average and 30-day rolling Volatility. A key data-integrity issue was discovered in CPI because some months appeared as Provisional and Final. The issue was investigated and resolved by retaining one value per month, preferring Final.</w:t>
      </w:r>
    </w:p>
    <w:p>
      <w:r>
        <w:t>After frequency-aware merging, the final analysis-ready dataset contained exactly 1,413 rows and 25 columns. USD/INR and Repo Rate have complete coverage. CPI has 173 missing values because the available CPI series ends in December 2025 while INFY continues into September 2026. These unavailable values were left missing rather than fabricated. The final file is ready for Week 3 EDA and Week 4 modelling.</w:t>
      </w:r>
    </w:p>
    <w:p>
      <w:pPr>
        <w:pStyle w:val="Heading1"/>
      </w:pPr>
      <w:r>
        <w:t>2. Week 2 Objective and Deliverables</w:t>
      </w:r>
    </w:p>
    <w:p>
      <w:r>
        <w:t>The YuvaIntern Week 2 task requires a DOC report explaining data cleaning and preparation, including missing-value handling, outlier detection, normalization, annotated Python code, data structuring and challenges. The following table maps those requirements to the work completed.</w:t>
      </w:r>
    </w:p>
    <w:p>
      <w:pPr>
        <w:pStyle w:val="Heading1"/>
      </w:pPr>
      <w:r>
        <w:t>3. Data Sources</w:t>
      </w:r>
    </w:p>
    <w:p>
      <w:r>
        <w:t>Primary public sources identified in Week 1 were used. NSE supplied company-level market data and RBI DBIE supplied the selected macroeconomic indicators. Using primary sources improves traceability and reproducibility.</w:t>
      </w:r>
    </w:p>
    <w:p>
      <w:pPr>
        <w:pStyle w:val="Heading1"/>
      </w:pPr>
      <w:r>
        <w:t>4. Data Acquisition and Initial Inspection</w:t>
      </w:r>
    </w:p>
    <w:p>
      <w:r>
        <w:t>Two NSE CSV files were downloaded for the required period and combined. The combined raw dataset contained 1,413 rows and 15 original columns. The original fields included Date, Open, High, Low, Close, Average Price, traded quantity, turnover, number of trades and deliverable quantity.</w:t>
      </w:r>
    </w:p>
    <w:p>
      <w:r>
        <w:t>Initial assessment was performed before transformation because financial data can contain text-formatted numbers, inconsistent dates, duplicate records and reporting-frequency differences.</w:t>
      </w:r>
    </w:p>
    <w:p>
      <w:pPr>
        <w:pStyle w:val="Heading1"/>
      </w:pPr>
      <w:r>
        <w:t>5. INFY Data Cleaning and Transformation</w:t>
      </w:r>
    </w:p>
    <w:p>
      <w:r>
        <w:t>Column whitespace was removed and Date was converted to Pandas datetime. The data were sorted chronologically because returns, rolling calculations and time-series joins depend on order.</w:t>
      </w:r>
    </w:p>
    <w:p>
      <w:r>
        <w:t>Several numerical columns were initially read as strings because the exported file contained comma separators. The commas were removed and fields were converted to numeric values. The original INFY columns contained zero missing values and zero duplicate complete rows.</w:t>
      </w:r>
    </w:p>
    <w:p>
      <w:pPr>
        <w:pStyle w:val="Heading1"/>
      </w:pPr>
      <w:r>
        <w:t>6. Financial Feature Engineering</w:t>
      </w:r>
    </w:p>
    <w:p>
      <w:r>
        <w:t>Seven derived features were created to support trend, return and risk analysis. The first return/change values and the initial rolling-window values are expected structural NaNs because the required previous observation or window is not yet available.</w:t>
      </w:r>
    </w:p>
    <w:p>
      <w:pPr>
        <w:pStyle w:val="Heading1"/>
      </w:pPr>
      <w:r>
        <w:t>7. RBI Data Cleaning</w:t>
      </w:r>
    </w:p>
    <w:p>
      <w:r>
        <w:t>The Repo Rate Excel report contained multi-row headings, so the effective date and Repo columns were extracted, converted and sorted. The final cleaned Repo series contained 71 observations.</w:t>
      </w:r>
    </w:p>
    <w:p>
      <w:r>
        <w:t>The CPI report contained Combined Inflation for the General Index and a Provisional/Final status. The initial extraction contained 274 records. Validation found 130 duplicate months (260 rows). Inspection showed the duplicate months represented Provisional and Final records. One record per month was retained, preferring Final, resulting in 144 unique months from January 2014 through December 2025.</w:t>
      </w:r>
    </w:p>
    <w:p>
      <w:r>
        <w:t>The RBI Daily Exchange Rate report contained several currencies. Only the US Dollar column was retained. The cleaned USD/INR series contained 6,787 observations from 25 August 1998 through 22 September 2026 with zero missing Date or USD_INR values.</w:t>
      </w:r>
    </w:p>
    <w:p>
      <w:pPr>
        <w:pStyle w:val="Heading1"/>
      </w:pPr>
      <w:r>
        <w:t>8. Data Structuring and Frequency Alignment</w:t>
      </w:r>
    </w:p>
    <w:p>
      <w:r>
        <w:t>The datasets have different frequencies: INFY and USD/INR are daily, Repo Rate changes on policy dates, and CPI is monthly. A direct exact-date merge would therefore be inappropriate. The latest available value on or before each INFY trading date was attached for USD/INR and Repo Rate using a backward time-series merge. CPI was joined using calendar month.</w:t>
      </w:r>
    </w:p>
    <w:p>
      <w:pPr>
        <w:pStyle w:val="Heading1"/>
      </w:pPr>
      <w:r>
        <w:t>9. Merge Validation and Data Integrity</w:t>
      </w:r>
    </w:p>
    <w:p>
      <w:r>
        <w:t>An initial merge produced 2,631 rows instead of the expected 1,413. This was treated as a data-integrity warning. Duplicate-key checks showed zero duplicate dates in INFY, USD/INR and Repo Rate, but CPI contained duplicate months. After resolving the CPI Provisional/Final issue, the merge was rebuilt from clean copies.</w:t>
      </w:r>
    </w:p>
    <w:p>
      <w:r>
        <w:t>The final merged dataset contains 1,413 rows and 25 columns with zero duplicate dates. USD/INR and Repo Rate have zero missing values. CPI has 173 missing values because its source coverage ends in December 2025. These values were intentionally not invented or forward-filled.</w:t>
      </w:r>
    </w:p>
    <w:p>
      <w:pPr>
        <w:pStyle w:val="Heading1"/>
      </w:pPr>
      <w:r>
        <w:t>10. Outlier Detection and Normalization</w:t>
      </w:r>
    </w:p>
    <w:p>
      <w:r>
        <w:t>Financial extremes may represent genuine market events, so valid extreme observations should not automatically be deleted. An IQR-based screening method was prepared to flag unusual Daily_Return values for review during EDA. It is a screening method, not an automatic deletion rule.</w:t>
      </w:r>
    </w:p>
    <w:p>
      <w:r>
        <w:t>Normalization was not applied to the Week 2 master dataset because prices, trading quantities, rates and exchange rates have meaningful original units. Scaling can be applied later to selected predictors during Week 4 machine-learning preparation if required by the model.</w:t>
      </w:r>
    </w:p>
    <w:p>
      <w:pPr>
        <w:pStyle w:val="Heading1"/>
      </w:pPr>
      <w:r>
        <w:t>11. Challenges and Resolutions</w:t>
      </w:r>
    </w:p>
    <w:p>
      <w:r>
        <w:t>The main challenges were text-formatted numeric fields, complex RBI Excel headers, duplicate CPI Provisional/Final months, different reporting frequencies, and the first merge producing too many rows. Each issue was investigated and resolved before the final dataset was saved. The most important validation lesson was that row counts and key uniqueness must be checked after multi-source joins.</w:t>
      </w:r>
    </w:p>
    <w:p>
      <w:pPr>
        <w:pStyle w:val="Heading1"/>
      </w:pPr>
      <w:r>
        <w:t>12. Final Outcome and Next Step</w:t>
      </w:r>
    </w:p>
    <w:p>
      <w:r>
        <w:t>Week 2 successfully produced a validated analysis-ready financial dataset. The final dataset contains 1,413 INFY trading observations and 25 columns, including market variables, seven engineered financial features and three aligned RBI indicators. The dataset is now ready for Week 3 exploratory analysis: descriptive statistics, price and volume trends, return distributions, volatility, correlations and visualizations. Week 4 will use the prepared dataset for target selection, time-series splitting and a simple Scikit-learn model.</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sz w:val="18"/>
              </w:rPr>
              <w:t>Requirement</w:t>
            </w:r>
          </w:p>
        </w:tc>
        <w:tc>
          <w:tcPr>
            <w:tcW w:type="dxa" w:w="5040"/>
            <w:shd w:fill="17365D"/>
          </w:tcPr>
          <w:p>
            <w:r>
              <w:rPr>
                <w:b/>
                <w:color w:val="FFFFFF"/>
                <w:sz w:val="18"/>
              </w:rPr>
              <w:t>Implementation</w:t>
            </w:r>
          </w:p>
        </w:tc>
      </w:tr>
      <w:tr>
        <w:tc>
          <w:tcPr>
            <w:tcW w:type="dxa" w:w="5040"/>
          </w:tcPr>
          <w:p>
            <w:r>
              <w:rPr>
                <w:sz w:val="18"/>
              </w:rPr>
              <w:t>Data importation</w:t>
            </w:r>
          </w:p>
        </w:tc>
        <w:tc>
          <w:tcPr>
            <w:tcW w:type="dxa" w:w="5040"/>
          </w:tcPr>
          <w:p>
            <w:r>
              <w:rPr>
                <w:sz w:val="18"/>
              </w:rPr>
              <w:t>Imported NSE CSV and RBI Excel files with Pandas.</w:t>
            </w:r>
          </w:p>
        </w:tc>
      </w:tr>
      <w:tr>
        <w:tc>
          <w:tcPr>
            <w:tcW w:type="dxa" w:w="5040"/>
            <w:shd w:fill="F7F9FC"/>
          </w:tcPr>
          <w:p>
            <w:r>
              <w:rPr>
                <w:sz w:val="18"/>
              </w:rPr>
              <w:t>Initial assessment</w:t>
            </w:r>
          </w:p>
        </w:tc>
        <w:tc>
          <w:tcPr>
            <w:tcW w:type="dxa" w:w="5040"/>
            <w:shd w:fill="F7F9FC"/>
          </w:tcPr>
          <w:p>
            <w:r>
              <w:rPr>
                <w:sz w:val="18"/>
              </w:rPr>
              <w:t>Checked shape, columns, data types, missing values and duplicates.</w:t>
            </w:r>
          </w:p>
        </w:tc>
      </w:tr>
      <w:tr>
        <w:tc>
          <w:tcPr>
            <w:tcW w:type="dxa" w:w="5040"/>
          </w:tcPr>
          <w:p>
            <w:r>
              <w:rPr>
                <w:sz w:val="18"/>
              </w:rPr>
              <w:t>Data cleaning</w:t>
            </w:r>
          </w:p>
        </w:tc>
        <w:tc>
          <w:tcPr>
            <w:tcW w:type="dxa" w:w="5040"/>
          </w:tcPr>
          <w:p>
            <w:r>
              <w:rPr>
                <w:sz w:val="18"/>
              </w:rPr>
              <w:t>Standardized dates, numeric fields and RBI report structures.</w:t>
            </w:r>
          </w:p>
        </w:tc>
      </w:tr>
      <w:tr>
        <w:tc>
          <w:tcPr>
            <w:tcW w:type="dxa" w:w="5040"/>
            <w:shd w:fill="F7F9FC"/>
          </w:tcPr>
          <w:p>
            <w:r>
              <w:rPr>
                <w:sz w:val="18"/>
              </w:rPr>
              <w:t>Missing values</w:t>
            </w:r>
          </w:p>
        </w:tc>
        <w:tc>
          <w:tcPr>
            <w:tcW w:type="dxa" w:w="5040"/>
            <w:shd w:fill="F7F9FC"/>
          </w:tcPr>
          <w:p>
            <w:r>
              <w:rPr>
                <w:sz w:val="18"/>
              </w:rPr>
              <w:t>Verified source completeness; retained unavailable CPI values as missing.</w:t>
            </w:r>
          </w:p>
        </w:tc>
      </w:tr>
      <w:tr>
        <w:tc>
          <w:tcPr>
            <w:tcW w:type="dxa" w:w="5040"/>
          </w:tcPr>
          <w:p>
            <w:r>
              <w:rPr>
                <w:sz w:val="18"/>
              </w:rPr>
              <w:t>Duplicates</w:t>
            </w:r>
          </w:p>
        </w:tc>
        <w:tc>
          <w:tcPr>
            <w:tcW w:type="dxa" w:w="5040"/>
          </w:tcPr>
          <w:p>
            <w:r>
              <w:rPr>
                <w:sz w:val="18"/>
              </w:rPr>
              <w:t>Checked keys and resolved CPI Provisional/Final duplicate months.</w:t>
            </w:r>
          </w:p>
        </w:tc>
      </w:tr>
      <w:tr>
        <w:tc>
          <w:tcPr>
            <w:tcW w:type="dxa" w:w="5040"/>
            <w:shd w:fill="F7F9FC"/>
          </w:tcPr>
          <w:p>
            <w:r>
              <w:rPr>
                <w:sz w:val="18"/>
              </w:rPr>
              <w:t>Outliers</w:t>
            </w:r>
          </w:p>
        </w:tc>
        <w:tc>
          <w:tcPr>
            <w:tcW w:type="dxa" w:w="5040"/>
            <w:shd w:fill="F7F9FC"/>
          </w:tcPr>
          <w:p>
            <w:r>
              <w:rPr>
                <w:sz w:val="18"/>
              </w:rPr>
              <w:t>Documented IQR screening; did not automatically delete valid extremes.</w:t>
            </w:r>
          </w:p>
        </w:tc>
      </w:tr>
      <w:tr>
        <w:tc>
          <w:tcPr>
            <w:tcW w:type="dxa" w:w="5040"/>
          </w:tcPr>
          <w:p>
            <w:r>
              <w:rPr>
                <w:sz w:val="18"/>
              </w:rPr>
              <w:t>Normalization</w:t>
            </w:r>
          </w:p>
        </w:tc>
        <w:tc>
          <w:tcPr>
            <w:tcW w:type="dxa" w:w="5040"/>
          </w:tcPr>
          <w:p>
            <w:r>
              <w:rPr>
                <w:sz w:val="18"/>
              </w:rPr>
              <w:t>Not applied to master dataset; reserved for model features if needed.</w:t>
            </w:r>
          </w:p>
        </w:tc>
      </w:tr>
      <w:tr>
        <w:tc>
          <w:tcPr>
            <w:tcW w:type="dxa" w:w="5040"/>
            <w:shd w:fill="F7F9FC"/>
          </w:tcPr>
          <w:p>
            <w:r>
              <w:rPr>
                <w:sz w:val="18"/>
              </w:rPr>
              <w:t>Data structuring</w:t>
            </w:r>
          </w:p>
        </w:tc>
        <w:tc>
          <w:tcPr>
            <w:tcW w:type="dxa" w:w="5040"/>
            <w:shd w:fill="F7F9FC"/>
          </w:tcPr>
          <w:p>
            <w:r>
              <w:rPr>
                <w:sz w:val="18"/>
              </w:rPr>
              <w:t>Created financial features and integrated different frequencies.</w:t>
            </w:r>
          </w:p>
        </w:tc>
      </w:tr>
      <w:tr>
        <w:tc>
          <w:tcPr>
            <w:tcW w:type="dxa" w:w="5040"/>
          </w:tcPr>
          <w:p>
            <w:r>
              <w:rPr>
                <w:sz w:val="18"/>
              </w:rPr>
              <w:t>Validation</w:t>
            </w:r>
          </w:p>
        </w:tc>
        <w:tc>
          <w:tcPr>
            <w:tcW w:type="dxa" w:w="5040"/>
          </w:tcPr>
          <w:p>
            <w:r>
              <w:rPr>
                <w:sz w:val="18"/>
              </w:rPr>
              <w:t>Confirmed final row count, unique dates and missing-value status.</w:t>
            </w:r>
          </w:p>
        </w:tc>
      </w:tr>
    </w:tbl>
    <w:p/>
    <w:p>
      <w:pPr>
        <w:pStyle w:val="Heading1"/>
      </w:pPr>
      <w:r>
        <w:t>Appendix A – Core Import and Cleaning Code</w:t>
      </w:r>
    </w:p>
    <w:p>
      <w:pPr>
        <w:pStyle w:val="Code"/>
        <w:ind w:left="216"/>
      </w:pPr>
      <w:r>
        <w:t>df1 = pd.read_csv('/content/INFY_NSE_2021_2025_Raw.csv.csv')</w:t>
        <w:br/>
        <w:t>df2 = pd.read_csv('/content/INFY_NSE_2026_Raw.csv.csv')</w:t>
        <w:br/>
        <w:t>df = pd.concat([df1, df2], ignore_index=True)</w:t>
        <w:br/>
        <w:t>df.columns = df.columns.str.strip()</w:t>
        <w:br/>
        <w:t>df['Date'] = pd.to_datetime(df['Date'], format='%d-%b-%Y')</w:t>
      </w:r>
    </w:p>
    <w:p>
      <w:pPr>
        <w:pStyle w:val="Heading1"/>
      </w:pPr>
      <w:r>
        <w:t>Appendix B – Feature Engineering Code</w:t>
      </w:r>
    </w:p>
    <w:p>
      <w:pPr>
        <w:pStyle w:val="Code"/>
        <w:ind w:left="216"/>
      </w:pPr>
      <w:r>
        <w:t>df['Daily_Return'] = df['Close Price'].pct_change()</w:t>
        <w:br/>
        <w:t>df['Price_Change'] = df['Close Price'].diff()</w:t>
        <w:br/>
        <w:t>df['Daily_Range'] = df['High Price'] - df['Low Price']</w:t>
        <w:br/>
        <w:t>df['Open_Close_Change'] = df['Close Price'] - df['Open Price']</w:t>
        <w:br/>
        <w:t>df['MA_7'] = df['Close Price'].rolling(7).mean()</w:t>
        <w:br/>
        <w:t>df['MA_30'] = df['Close Price'].rolling(30).mean()</w:t>
        <w:br/>
        <w:t>df['Volatility_30'] = df['Daily_Return'].rolling(30).std()</w:t>
      </w:r>
    </w:p>
    <w:p>
      <w:pPr>
        <w:pStyle w:val="Heading1"/>
      </w:pPr>
      <w:r>
        <w:t>Appendix C – Merge and Validation Code</w:t>
      </w:r>
    </w:p>
    <w:p>
      <w:pPr>
        <w:pStyle w:val="Code"/>
        <w:ind w:left="216"/>
      </w:pPr>
      <w:r>
        <w:t>merged_final = pd.merge_asof(nse.sort_values('Date'), fx.sort_values('Date'), on='Date', direction='backward')</w:t>
        <w:br/>
        <w:t>merged_final = pd.merge_asof(merged_final.sort_values('Date'), repo.sort_values('Date'), on='Date', direction='backward')</w:t>
        <w:br/>
        <w:t>merged_final['Month'] = merged_final['Date'].dt.to_period('M')</w:t>
        <w:br/>
        <w:t>cpi_unique['Month'] = cpi_unique['Month'].dt.to_period('M')</w:t>
        <w:br/>
        <w:t>merged_final = merged_final.merge(cpi_unique[['Month','CPI_Inflation']], on='Month', how='left', validate='many_to_one').drop(columns=['Month'])</w:t>
        <w:br/>
        <w:t>print(merged_final.shape)</w:t>
        <w:br/>
        <w:t>print(merged_final['Date'].duplicated().sum())</w:t>
      </w:r>
    </w:p>
    <w:p>
      <w:pPr>
        <w:pStyle w:val="Heading1"/>
      </w:pPr>
      <w:r>
        <w:t>Appendix D – Outlier Screening Code</w:t>
      </w:r>
    </w:p>
    <w:p>
      <w:pPr>
        <w:pStyle w:val="Code"/>
        <w:ind w:left="216"/>
      </w:pPr>
      <w:r>
        <w:t>Q1 = merged_final['Daily_Return'].quantile(.25)</w:t>
        <w:br/>
        <w:t>Q3 = merged_final['Daily_Return'].quantile(.75)</w:t>
        <w:br/>
        <w:t>IQR = Q3 - Q1</w:t>
        <w:br/>
        <w:t>lower, upper = Q1 - 1.5*IQR, Q3 + 1.5*IQR</w:t>
        <w:br/>
        <w:t>return_outliers = merged_final[(merged_final['Daily_Return'] &lt; lower) | (merged_final['Daily_Return'] &gt; upper)]</w:t>
      </w:r>
    </w:p>
    <w:p>
      <w:pPr>
        <w:pStyle w:val="Heading1"/>
      </w:pPr>
      <w:r>
        <w:t>13. Validation Summary</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sz w:val="18"/>
              </w:rPr>
              <w:t>Check</w:t>
            </w:r>
          </w:p>
        </w:tc>
        <w:tc>
          <w:tcPr>
            <w:tcW w:type="dxa" w:w="5040"/>
            <w:shd w:fill="17365D"/>
          </w:tcPr>
          <w:p>
            <w:r>
              <w:rPr>
                <w:b/>
                <w:color w:val="FFFFFF"/>
                <w:sz w:val="18"/>
              </w:rPr>
              <w:t>Result</w:t>
            </w:r>
          </w:p>
        </w:tc>
      </w:tr>
      <w:tr>
        <w:tc>
          <w:tcPr>
            <w:tcW w:type="dxa" w:w="5040"/>
          </w:tcPr>
          <w:p>
            <w:r>
              <w:rPr>
                <w:sz w:val="18"/>
              </w:rPr>
              <w:t>INFY rows</w:t>
            </w:r>
          </w:p>
        </w:tc>
        <w:tc>
          <w:tcPr>
            <w:tcW w:type="dxa" w:w="5040"/>
          </w:tcPr>
          <w:p>
            <w:r>
              <w:rPr>
                <w:sz w:val="18"/>
              </w:rPr>
              <w:t>1,413</w:t>
            </w:r>
          </w:p>
        </w:tc>
      </w:tr>
      <w:tr>
        <w:tc>
          <w:tcPr>
            <w:tcW w:type="dxa" w:w="5040"/>
            <w:shd w:fill="F7F9FC"/>
          </w:tcPr>
          <w:p>
            <w:r>
              <w:rPr>
                <w:sz w:val="18"/>
              </w:rPr>
              <w:t>Final merged rows</w:t>
            </w:r>
          </w:p>
        </w:tc>
        <w:tc>
          <w:tcPr>
            <w:tcW w:type="dxa" w:w="5040"/>
            <w:shd w:fill="F7F9FC"/>
          </w:tcPr>
          <w:p>
            <w:r>
              <w:rPr>
                <w:sz w:val="18"/>
              </w:rPr>
              <w:t>1,413</w:t>
            </w:r>
          </w:p>
        </w:tc>
      </w:tr>
      <w:tr>
        <w:tc>
          <w:tcPr>
            <w:tcW w:type="dxa" w:w="5040"/>
          </w:tcPr>
          <w:p>
            <w:r>
              <w:rPr>
                <w:sz w:val="18"/>
              </w:rPr>
              <w:t>Final columns</w:t>
            </w:r>
          </w:p>
        </w:tc>
        <w:tc>
          <w:tcPr>
            <w:tcW w:type="dxa" w:w="5040"/>
          </w:tcPr>
          <w:p>
            <w:r>
              <w:rPr>
                <w:sz w:val="18"/>
              </w:rPr>
              <w:t>25</w:t>
            </w:r>
          </w:p>
        </w:tc>
      </w:tr>
      <w:tr>
        <w:tc>
          <w:tcPr>
            <w:tcW w:type="dxa" w:w="5040"/>
            <w:shd w:fill="F7F9FC"/>
          </w:tcPr>
          <w:p>
            <w:r>
              <w:rPr>
                <w:sz w:val="18"/>
              </w:rPr>
              <w:t>Duplicate final dates</w:t>
            </w:r>
          </w:p>
        </w:tc>
        <w:tc>
          <w:tcPr>
            <w:tcW w:type="dxa" w:w="5040"/>
            <w:shd w:fill="F7F9FC"/>
          </w:tcPr>
          <w:p>
            <w:r>
              <w:rPr>
                <w:sz w:val="18"/>
              </w:rPr>
              <w:t>0</w:t>
            </w:r>
          </w:p>
        </w:tc>
      </w:tr>
      <w:tr>
        <w:tc>
          <w:tcPr>
            <w:tcW w:type="dxa" w:w="5040"/>
          </w:tcPr>
          <w:p>
            <w:r>
              <w:rPr>
                <w:sz w:val="18"/>
              </w:rPr>
              <w:t>USD/INR missing</w:t>
            </w:r>
          </w:p>
        </w:tc>
        <w:tc>
          <w:tcPr>
            <w:tcW w:type="dxa" w:w="5040"/>
          </w:tcPr>
          <w:p>
            <w:r>
              <w:rPr>
                <w:sz w:val="18"/>
              </w:rPr>
              <w:t>0</w:t>
            </w:r>
          </w:p>
        </w:tc>
      </w:tr>
      <w:tr>
        <w:tc>
          <w:tcPr>
            <w:tcW w:type="dxa" w:w="5040"/>
            <w:shd w:fill="F7F9FC"/>
          </w:tcPr>
          <w:p>
            <w:r>
              <w:rPr>
                <w:sz w:val="18"/>
              </w:rPr>
              <w:t>Repo Rate missing</w:t>
            </w:r>
          </w:p>
        </w:tc>
        <w:tc>
          <w:tcPr>
            <w:tcW w:type="dxa" w:w="5040"/>
            <w:shd w:fill="F7F9FC"/>
          </w:tcPr>
          <w:p>
            <w:r>
              <w:rPr>
                <w:sz w:val="18"/>
              </w:rPr>
              <w:t>0</w:t>
            </w:r>
          </w:p>
        </w:tc>
      </w:tr>
      <w:tr>
        <w:tc>
          <w:tcPr>
            <w:tcW w:type="dxa" w:w="5040"/>
          </w:tcPr>
          <w:p>
            <w:r>
              <w:rPr>
                <w:sz w:val="18"/>
              </w:rPr>
              <w:t>CPI missing</w:t>
            </w:r>
          </w:p>
        </w:tc>
        <w:tc>
          <w:tcPr>
            <w:tcW w:type="dxa" w:w="5040"/>
          </w:tcPr>
          <w:p>
            <w:r>
              <w:rPr>
                <w:sz w:val="18"/>
              </w:rPr>
              <w:t>173 (expected source-coverage gap)</w:t>
            </w:r>
          </w:p>
        </w:tc>
      </w:tr>
      <w:tr>
        <w:tc>
          <w:tcPr>
            <w:tcW w:type="dxa" w:w="5040"/>
            <w:shd w:fill="F7F9FC"/>
          </w:tcPr>
          <w:p>
            <w:r>
              <w:rPr>
                <w:sz w:val="18"/>
              </w:rPr>
              <w:t>Final file</w:t>
            </w:r>
          </w:p>
        </w:tc>
        <w:tc>
          <w:tcPr>
            <w:tcW w:type="dxa" w:w="5040"/>
            <w:shd w:fill="F7F9FC"/>
          </w:tcPr>
          <w:p>
            <w:r>
              <w:rPr>
                <w:sz w:val="18"/>
              </w:rPr>
              <w:t>INFY_RBI_Final_Merged_Dataset.csv</w:t>
            </w:r>
          </w:p>
        </w:tc>
      </w:tr>
    </w:tbl>
    <w:p/>
    <w:p>
      <w:pPr>
        <w:pStyle w:val="Heading1"/>
      </w:pPr>
      <w:r>
        <w:t>14. Output Files</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sz w:val="18"/>
              </w:rPr>
              <w:t>File</w:t>
            </w:r>
          </w:p>
        </w:tc>
        <w:tc>
          <w:tcPr>
            <w:tcW w:type="dxa" w:w="5040"/>
            <w:shd w:fill="17365D"/>
          </w:tcPr>
          <w:p>
            <w:r>
              <w:rPr>
                <w:b/>
                <w:color w:val="FFFFFF"/>
                <w:sz w:val="18"/>
              </w:rPr>
              <w:t>Purpose</w:t>
            </w:r>
          </w:p>
        </w:tc>
      </w:tr>
      <w:tr>
        <w:tc>
          <w:tcPr>
            <w:tcW w:type="dxa" w:w="5040"/>
          </w:tcPr>
          <w:p>
            <w:r>
              <w:rPr>
                <w:sz w:val="18"/>
              </w:rPr>
              <w:t>INFY_NSE_Cleaned.csv</w:t>
            </w:r>
          </w:p>
        </w:tc>
        <w:tc>
          <w:tcPr>
            <w:tcW w:type="dxa" w:w="5040"/>
          </w:tcPr>
          <w:p>
            <w:r>
              <w:rPr>
                <w:sz w:val="18"/>
              </w:rPr>
              <w:t>Cleaned base INFY market data</w:t>
            </w:r>
          </w:p>
        </w:tc>
      </w:tr>
      <w:tr>
        <w:tc>
          <w:tcPr>
            <w:tcW w:type="dxa" w:w="5040"/>
            <w:shd w:fill="F7F9FC"/>
          </w:tcPr>
          <w:p>
            <w:r>
              <w:rPr>
                <w:sz w:val="18"/>
              </w:rPr>
              <w:t>INFY_NSE_Feature_Engineered.csv</w:t>
            </w:r>
          </w:p>
        </w:tc>
        <w:tc>
          <w:tcPr>
            <w:tcW w:type="dxa" w:w="5040"/>
            <w:shd w:fill="F7F9FC"/>
          </w:tcPr>
          <w:p>
            <w:r>
              <w:rPr>
                <w:sz w:val="18"/>
              </w:rPr>
              <w:t>INFY data plus seven financial features</w:t>
            </w:r>
          </w:p>
        </w:tc>
      </w:tr>
      <w:tr>
        <w:tc>
          <w:tcPr>
            <w:tcW w:type="dxa" w:w="5040"/>
          </w:tcPr>
          <w:p>
            <w:r>
              <w:rPr>
                <w:sz w:val="18"/>
              </w:rPr>
              <w:t>RBI_Policy_Repo_Rate_Cleaned.csv</w:t>
            </w:r>
          </w:p>
        </w:tc>
        <w:tc>
          <w:tcPr>
            <w:tcW w:type="dxa" w:w="5040"/>
          </w:tcPr>
          <w:p>
            <w:r>
              <w:rPr>
                <w:sz w:val="18"/>
              </w:rPr>
              <w:t>Cleaned Repo Rate</w:t>
            </w:r>
          </w:p>
        </w:tc>
      </w:tr>
      <w:tr>
        <w:tc>
          <w:tcPr>
            <w:tcW w:type="dxa" w:w="5040"/>
            <w:shd w:fill="F7F9FC"/>
          </w:tcPr>
          <w:p>
            <w:r>
              <w:rPr>
                <w:sz w:val="18"/>
              </w:rPr>
              <w:t>RBI_CPI_Inflation_Cleaned.csv</w:t>
            </w:r>
          </w:p>
        </w:tc>
        <w:tc>
          <w:tcPr>
            <w:tcW w:type="dxa" w:w="5040"/>
            <w:shd w:fill="F7F9FC"/>
          </w:tcPr>
          <w:p>
            <w:r>
              <w:rPr>
                <w:sz w:val="18"/>
              </w:rPr>
              <w:t>Cleaned CPI</w:t>
            </w:r>
          </w:p>
        </w:tc>
      </w:tr>
      <w:tr>
        <w:tc>
          <w:tcPr>
            <w:tcW w:type="dxa" w:w="5040"/>
          </w:tcPr>
          <w:p>
            <w:r>
              <w:rPr>
                <w:sz w:val="18"/>
              </w:rPr>
              <w:t>RBI_USD_INR_Exchange_Rate_Cleaned.csv</w:t>
            </w:r>
          </w:p>
        </w:tc>
        <w:tc>
          <w:tcPr>
            <w:tcW w:type="dxa" w:w="5040"/>
          </w:tcPr>
          <w:p>
            <w:r>
              <w:rPr>
                <w:sz w:val="18"/>
              </w:rPr>
              <w:t>Cleaned USD/INR</w:t>
            </w:r>
          </w:p>
        </w:tc>
      </w:tr>
      <w:tr>
        <w:tc>
          <w:tcPr>
            <w:tcW w:type="dxa" w:w="5040"/>
            <w:shd w:fill="F7F9FC"/>
          </w:tcPr>
          <w:p>
            <w:r>
              <w:rPr>
                <w:sz w:val="18"/>
              </w:rPr>
              <w:t>INFY_RBI_Final_Merged_Dataset.csv</w:t>
            </w:r>
          </w:p>
        </w:tc>
        <w:tc>
          <w:tcPr>
            <w:tcW w:type="dxa" w:w="5040"/>
            <w:shd w:fill="F7F9FC"/>
          </w:tcPr>
          <w:p>
            <w:r>
              <w:rPr>
                <w:sz w:val="18"/>
              </w:rPr>
              <w:t>Final 1,413 × 25 analysis-ready dataset</w:t>
            </w:r>
          </w:p>
        </w:tc>
      </w:tr>
    </w:tbl>
    <w:p/>
    <w:p>
      <w:pPr>
        <w:pStyle w:val="Heading1"/>
      </w:pPr>
      <w:r>
        <w:t>15. References</w:t>
      </w:r>
    </w:p>
    <w:p>
      <w:pPr>
        <w:pStyle w:val="ListBullet"/>
      </w:pPr>
      <w:r>
        <w:t>NSE India – Security-wise Price Volume Archives / historical market data.</w:t>
      </w:r>
    </w:p>
    <w:p>
      <w:pPr>
        <w:pStyle w:val="ListBullet"/>
      </w:pPr>
      <w:r>
        <w:t>Infosys Investor Relations – historical share-price information.</w:t>
      </w:r>
    </w:p>
    <w:p>
      <w:pPr>
        <w:pStyle w:val="ListBullet"/>
      </w:pPr>
      <w:r>
        <w:t>Reserve Bank of India – Database on Indian Economy (DBIE).</w:t>
      </w:r>
    </w:p>
    <w:p>
      <w:pPr>
        <w:pStyle w:val="ListBullet"/>
      </w:pPr>
      <w:r>
        <w:t>RBI DBIE – Key Rates, Real Sector Indicators and External Sector Indicators.</w:t>
      </w:r>
    </w:p>
    <w:p>
      <w:pPr>
        <w:pStyle w:val="ListBullet"/>
      </w:pPr>
      <w:r>
        <w:t>Pandas documentation – time-series merging and data manipulation.</w:t>
      </w:r>
    </w:p>
    <w:p>
      <w:pPr>
        <w:pStyle w:val="Heading1"/>
      </w:pPr>
      <w:r>
        <w:t>16. YuvaIntern Portal Submission Description</w:t>
      </w:r>
    </w:p>
    <w:p>
      <w:r>
        <w:t>In Week 2, I completed the data wrangling and processing stage of my financial analytics project using Python and Pandas. I worked with historical Infosys (INFY) NSE market data and integrated it with three macroeconomic indicators from the Reserve Bank of India: Policy Repo Rate, CPI Inflation and USD/INR Exchange Rate. The raw datasets were imported into Google Colab and assessed for structure, data types, missing values and duplicate records. The INFY files for 2021–2025 and 2026 were combined into 1,413 observations. Dates were converted to datetime format, comma-formatted numerical fields were standardized, and the data were sorted chronologically.</w:t>
      </w:r>
    </w:p>
    <w:p>
      <w:r>
        <w:t>I created financial features including Daily Return, Price Change, Daily Range, Open-Close Change, 7-day Moving Average, 30-day Moving Average and 30-day rolling Volatility. The RBI datasets required additional processing because the exported reports contained structured headers and different frequencies. A major data-integrity issue was identified in the CPI data: many months appeared as both Provisional and Final observations. I investigated the duplicate keys and retained one value per month, preferring Final observations. I then aligned the daily and monthly datasets using time-aware merging.</w:t>
      </w:r>
    </w:p>
    <w:p>
      <w:r>
        <w:t>After validation, the final merged dataset contained exactly 1,413 rows and 25 columns, with zero duplicate dates. USD/INR and Repo Rate had complete coverage. CPI values after December 2025 remained missing because the available CPI source did not cover those later dates; I did not invent or incorrectly fill unavailable macroeconomic information. I also documented an IQR-based outlier-screening approach and explained why normalization was not applied to the master dataset at this stage. The completed Week 2 dataset provides a reliable foundation for Week 3 exploratory data analysis and Week 4 predictive modelling.</w:t>
      </w:r>
    </w:p>
    <w:p>
      <w:pPr>
        <w:jc w:val="center"/>
      </w:pPr>
      <w:r>
        <w:rPr>
          <w:b/>
          <w:color w:val="17365D"/>
        </w:rPr>
        <w:t>END OF WEEK 2 REPORT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