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JetBrains Mono" w:cs="JetBrains Mono" w:eastAsia="JetBrains Mono" w:hAnsi="JetBrains Mono"/>
          <w:b/>
          <w:bCs/>
          <w:caps/>
          <w:color w:val="111FDF"/>
          <w:spacing w:val="40"/>
          <w:sz w:val="18"/>
          <w:szCs w:val="18"/>
        </w:rPr>
        <w:t xml:space="preserve">OSINT TPRM  ·  Scoring Model</w:t>
      </w:r>
    </w:p>
    <w:p>
      <w:pPr>
        <w:spacing w:after="60"/>
      </w:pPr>
      <w:r>
        <w:rPr>
          <w:rFonts w:ascii="Fraunces" w:cs="Fraunces" w:eastAsia="Fraunces" w:hAnsi="Fraunces"/>
          <w:color w:val="0A0A1F"/>
          <w:sz w:val="46"/>
          <w:szCs w:val="46"/>
        </w:rPr>
        <w:t xml:space="preserve">UpGuard-Style Vendor Scoring</w:t>
      </w:r>
    </w:p>
    <w:p>
      <w:pPr>
        <w:spacing w:after="60"/>
      </w:pPr>
      <w:r>
        <w:rPr>
          <w:rFonts w:ascii="Inter Tight" w:cs="Inter Tight" w:eastAsia="Inter Tight" w:hAnsi="Inter Tight"/>
          <w:i/>
          <w:iCs/>
          <w:color w:val="4A4F6B"/>
          <w:sz w:val="22"/>
          <w:szCs w:val="22"/>
        </w:rPr>
        <w:t xml:space="preserve">A simplified, faithful version of UpGuard’s method — built to implement in a PoC, not to replicate the full platform.</w:t>
      </w:r>
    </w:p>
    <w:p>
      <w:pPr>
        <w:pBdr>
          <w:bottom w:val="single" w:color="D8DCEA" w:sz="6" w:space="1"/>
        </w:pBdr>
        <w:spacing w:after="140" w:before="60"/>
      </w:pPr>
    </w:p>
    <w:p>
      <w:pPr>
        <w:keepNext/>
        <w:spacing w:after="70" w:before="2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The model in one line</w:t>
      </w:r>
    </w:p>
    <w:p>
      <w:pPr>
        <w:spacing w:after="11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Start every vendor at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950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, subtract a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severity-weighted penalty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for each risk found in public data, group findings into weighted categories, and report a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separate confidence score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for how much evidence you actually had. Subtractive, not additive — this is the core difference from the first draft.</w:t>
      </w: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1 · Scale and grades</w:t>
      </w:r>
    </w:p>
    <w:p>
      <w:pPr>
        <w:spacing w:after="8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Score runs 0–950, mirroring UpGuard, with a letter grade for the headline. A vendor with no detected issues sits at 950 (Grade A); every finding pushes it down.</w:t>
      </w:r>
    </w:p>
    <w:tbl>
      <w:tblPr>
        <w:tblW w:type="dxa" w:w="9026"/>
        <w:tblBorders>
          <w:top w:val="single" w:color="D8DCEA" w:sz="2"/>
          <w:left w:val="none" w:color="FFFFFF" w:sz="0"/>
          <w:bottom w:val="single" w:color="D8DCEA" w:sz="2"/>
          <w:right w:val="none" w:color="FFFFFF" w:sz="0"/>
          <w:insideH w:val="single" w:color="D8DCEA" w:sz="2"/>
          <w:insideV w:val="single" w:color="E7EBF5" w:sz="2"/>
        </w:tblBorders>
        <w:tblLayout w:type="fixed"/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Score (0–950)</w:t>
            </w:r>
          </w:p>
        </w:tc>
        <w:tc>
          <w:tcPr>
            <w:tcW w:type="dxa" w:w="1500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Grade</w:t>
            </w:r>
          </w:p>
        </w:tc>
        <w:tc>
          <w:tcPr>
            <w:tcW w:type="dxa" w:w="4926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6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color w:val="0A0A1F"/>
                <w:sz w:val="18"/>
                <w:szCs w:val="18"/>
              </w:rPr>
              <w:t xml:space="preserve">801–950</w:t>
            </w:r>
          </w:p>
        </w:tc>
        <w:tc>
          <w:tcPr>
            <w:tcW w:type="dxa" w:w="15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A</w:t>
            </w:r>
          </w:p>
        </w:tc>
        <w:tc>
          <w:tcPr>
            <w:tcW w:type="dxa" w:w="49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Robust posture, few or no external issues</w:t>
            </w:r>
          </w:p>
        </w:tc>
      </w:tr>
      <w:tr>
        <w:tc>
          <w:tcPr>
            <w:tcW w:type="dxa" w:w="26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color w:val="0A0A1F"/>
                <w:sz w:val="18"/>
                <w:szCs w:val="18"/>
              </w:rPr>
              <w:t xml:space="preserve">601–800</w:t>
            </w:r>
          </w:p>
        </w:tc>
        <w:tc>
          <w:tcPr>
            <w:tcW w:type="dxa" w:w="15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B</w:t>
            </w:r>
          </w:p>
        </w:tc>
        <w:tc>
          <w:tcPr>
            <w:tcW w:type="dxa" w:w="49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Reasonable controls, some gaps</w:t>
            </w:r>
          </w:p>
        </w:tc>
      </w:tr>
      <w:tr>
        <w:tc>
          <w:tcPr>
            <w:tcW w:type="dxa" w:w="26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color w:val="0A0A1F"/>
                <w:sz w:val="18"/>
                <w:szCs w:val="18"/>
              </w:rPr>
              <w:t xml:space="preserve">401–600</w:t>
            </w:r>
          </w:p>
        </w:tc>
        <w:tc>
          <w:tcPr>
            <w:tcW w:type="dxa" w:w="15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C</w:t>
            </w:r>
          </w:p>
        </w:tc>
        <w:tc>
          <w:tcPr>
            <w:tcW w:type="dxa" w:w="49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Poor controls, serious issues to address</w:t>
            </w:r>
          </w:p>
        </w:tc>
      </w:tr>
      <w:tr>
        <w:tc>
          <w:tcPr>
            <w:tcW w:type="dxa" w:w="26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color w:val="0A0A1F"/>
                <w:sz w:val="18"/>
                <w:szCs w:val="18"/>
              </w:rPr>
              <w:t xml:space="preserve">201–400</w:t>
            </w:r>
          </w:p>
        </w:tc>
        <w:tc>
          <w:tcPr>
            <w:tcW w:type="dxa" w:w="15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D</w:t>
            </w:r>
          </w:p>
        </w:tc>
        <w:tc>
          <w:tcPr>
            <w:tcW w:type="dxa" w:w="49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Severe issues; should not handle sensitive data</w:t>
            </w:r>
          </w:p>
        </w:tc>
      </w:tr>
      <w:tr>
        <w:tc>
          <w:tcPr>
            <w:tcW w:type="dxa" w:w="26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color w:val="0A0A1F"/>
                <w:sz w:val="18"/>
                <w:szCs w:val="18"/>
              </w:rPr>
              <w:t xml:space="preserve">0–200</w:t>
            </w:r>
          </w:p>
        </w:tc>
        <w:tc>
          <w:tcPr>
            <w:tcW w:type="dxa" w:w="15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F</w:t>
            </w:r>
          </w:p>
        </w:tc>
        <w:tc>
          <w:tcPr>
            <w:tcW w:type="dxa" w:w="49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Little to no basic security investment</w:t>
            </w:r>
          </w:p>
        </w:tc>
      </w:tr>
    </w:tbl>
    <w:p>
      <w:pPr>
        <w:spacing w:after="70"/>
      </w:pP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2 · Severity penalties (the only points table you need)</w:t>
      </w:r>
    </w:p>
    <w:p>
      <w:pPr>
        <w:spacing w:after="8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Every signal you collect is either a pass (no penalty) or a fail at one of four severities. Fixed penalty per severity — no per-signal point tuning. These four numbers are the main lever; start here and calibrate later.</w:t>
      </w:r>
    </w:p>
    <w:tbl>
      <w:tblPr>
        <w:tblW w:type="dxa" w:w="9026"/>
        <w:tblBorders>
          <w:top w:val="single" w:color="D8DCEA" w:sz="2"/>
          <w:left w:val="none" w:color="FFFFFF" w:sz="0"/>
          <w:bottom w:val="single" w:color="D8DCEA" w:sz="2"/>
          <w:right w:val="none" w:color="FFFFFF" w:sz="0"/>
          <w:insideH w:val="single" w:color="D8DCEA" w:sz="2"/>
          <w:insideV w:val="single" w:color="E7EBF5" w:sz="2"/>
        </w:tblBorders>
        <w:tblLayout w:type="fixed"/>
      </w:tblPr>
      <w:tblGrid>
        <w:gridCol w:w="2100"/>
        <w:gridCol w:w="1700"/>
        <w:gridCol w:w="5226"/>
      </w:tblGrid>
      <w:tr>
        <w:trPr>
          <w:tblHeader/>
        </w:trPr>
        <w:tc>
          <w:tcPr>
            <w:tcW w:type="dxa" w:w="2100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Severity</w:t>
            </w:r>
          </w:p>
        </w:tc>
        <w:tc>
          <w:tcPr>
            <w:tcW w:type="dxa" w:w="1700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Penalty</w:t>
            </w:r>
          </w:p>
        </w:tc>
        <w:tc>
          <w:tcPr>
            <w:tcW w:type="dxa" w:w="5226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Assign it when…</w:t>
            </w:r>
          </w:p>
        </w:tc>
      </w:tr>
      <w:tr>
        <w:tc>
          <w:tcPr>
            <w:tcW w:type="dxa" w:w="21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0A0A1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0A0A1F"/>
                <w:sz w:val="18"/>
                <w:szCs w:val="18"/>
              </w:rPr>
              <w:t xml:space="preserve">−150</w:t>
            </w:r>
          </w:p>
        </w:tc>
        <w:tc>
          <w:tcPr>
            <w:tcW w:type="dxa" w:w="52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Actively dangerous &amp; confirmable — exposed database, malware/phishing blocklist, CVSS 9.0–10 CVE</w:t>
            </w:r>
          </w:p>
        </w:tc>
      </w:tr>
      <w:tr>
        <w:tc>
          <w:tcPr>
            <w:tcW w:type="dxa" w:w="21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0A0A1F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0A0A1F"/>
                <w:sz w:val="18"/>
                <w:szCs w:val="18"/>
              </w:rPr>
              <w:t xml:space="preserve">−70</w:t>
            </w:r>
          </w:p>
        </w:tc>
        <w:tc>
          <w:tcPr>
            <w:tcW w:type="dxa" w:w="52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Serious weakness — expired cert, exposed RDP/SMB, end-of-life software, CVSS 7.0–8.9</w:t>
            </w:r>
          </w:p>
        </w:tc>
      </w:tr>
      <w:tr>
        <w:tc>
          <w:tcPr>
            <w:tcW w:type="dxa" w:w="21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0A0A1F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0A0A1F"/>
                <w:sz w:val="18"/>
                <w:szCs w:val="18"/>
              </w:rPr>
              <w:t xml:space="preserve">−30</w:t>
            </w:r>
          </w:p>
        </w:tc>
        <w:tc>
          <w:tcPr>
            <w:tcW w:type="dxa" w:w="52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Meaningful gap — weak TLS, missing SPF/DMARC, CVSS 4.0–6.9</w:t>
            </w:r>
          </w:p>
        </w:tc>
      </w:tr>
      <w:tr>
        <w:tc>
          <w:tcPr>
            <w:tcW w:type="dxa" w:w="21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0A0A1F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0A0A1F"/>
                <w:sz w:val="18"/>
                <w:szCs w:val="18"/>
              </w:rPr>
              <w:t xml:space="preserve">−10</w:t>
            </w:r>
          </w:p>
        </w:tc>
        <w:tc>
          <w:tcPr>
            <w:tcW w:type="dxa" w:w="52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Minor hygiene — a missing security header, no DNSSEC, CVSS 0.1–3.9</w:t>
            </w:r>
          </w:p>
        </w:tc>
      </w:tr>
      <w:tr>
        <w:tc>
          <w:tcPr>
            <w:tcW w:type="dxa" w:w="21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6B7088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17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6B7088"/>
                <w:sz w:val="18"/>
                <w:szCs w:val="18"/>
              </w:rPr>
              <w:t xml:space="preserve">0</w:t>
            </w:r>
          </w:p>
        </w:tc>
        <w:tc>
          <w:tcPr>
            <w:tcW w:type="dxa" w:w="52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Cannot verify (unconfirmed adverse media, unproven open port) — record it, do not score it</w:t>
            </w:r>
          </w:p>
        </w:tc>
      </w:tr>
    </w:tbl>
    <w:p>
      <w:pPr>
        <w:spacing w:after="70"/>
      </w:pPr>
      <w:r>
        <w:rPr>
          <w:rFonts w:ascii="Inter Tight" w:cs="Inter Tight" w:eastAsia="Inter Tight" w:hAnsi="Inter Tight"/>
          <w:i/>
          <w:iCs/>
          <w:color w:val="6B7088"/>
          <w:sz w:val="19"/>
          <w:szCs w:val="19"/>
        </w:rPr>
        <w:t xml:space="preserve">For vulnerabilities, read severity straight off the CVSS band as shown — the same mapping UpGuard uses.</w:t>
      </w: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3 · Categories and example signals</w:t>
      </w:r>
    </w:p>
    <w:p>
      <w:pPr>
        <w:spacing w:after="8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Group signals into these six OSINT-collectable categories — aligned to where UpGuard puts most of its weight (encryption, website, vulnerabilities, attack surface, reputation). You don’t set category percentages: the weighting emerges from how many signals sit in each and how hard they are penalised.</w:t>
      </w:r>
    </w:p>
    <w:tbl>
      <w:tblPr>
        <w:tblW w:type="dxa" w:w="9026"/>
        <w:tblBorders>
          <w:top w:val="single" w:color="D8DCEA" w:sz="2"/>
          <w:left w:val="none" w:color="FFFFFF" w:sz="0"/>
          <w:bottom w:val="single" w:color="D8DCEA" w:sz="2"/>
          <w:right w:val="none" w:color="FFFFFF" w:sz="0"/>
          <w:insideH w:val="single" w:color="D8DCEA" w:sz="2"/>
          <w:insideV w:val="single" w:color="E7EBF5" w:sz="2"/>
        </w:tblBorders>
        <w:tblLayout w:type="fixed"/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Category</w:t>
            </w:r>
          </w:p>
        </w:tc>
        <w:tc>
          <w:tcPr>
            <w:tcW w:type="dxa" w:w="4826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Example public signals</w:t>
            </w:r>
          </w:p>
        </w:tc>
        <w:tc>
          <w:tcPr>
            <w:tcW w:type="dxa" w:w="2000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Typical severity</w:t>
            </w:r>
          </w:p>
        </w:tc>
      </w:tr>
      <w:tr>
        <w:tc>
          <w:tcPr>
            <w:tcW w:type="dxa" w:w="22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Encryption / TLS</w:t>
            </w:r>
          </w:p>
        </w:tc>
        <w:tc>
          <w:tcPr>
            <w:tcW w:type="dxa" w:w="48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SSL Labs grade, protocol/cipher strength, certificate validity &amp; expiry, HSTS</w:t>
            </w:r>
          </w:p>
        </w:tc>
        <w:tc>
          <w:tcPr>
            <w:tcW w:type="dxa" w:w="20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Low → Critical</w:t>
            </w:r>
          </w:p>
        </w:tc>
      </w:tr>
      <w:tr>
        <w:tc>
          <w:tcPr>
            <w:tcW w:type="dxa" w:w="22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Website security</w:t>
            </w:r>
          </w:p>
        </w:tc>
        <w:tc>
          <w:tcPr>
            <w:tcW w:type="dxa" w:w="48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Security headers (CSP, X-Frame-Options), cookie flags, exposed admin/login pages</w:t>
            </w:r>
          </w:p>
        </w:tc>
        <w:tc>
          <w:tcPr>
            <w:tcW w:type="dxa" w:w="20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Low → High</w:t>
            </w:r>
          </w:p>
        </w:tc>
      </w:tr>
      <w:tr>
        <w:tc>
          <w:tcPr>
            <w:tcW w:type="dxa" w:w="22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Vulnerability mgmt</w:t>
            </w:r>
          </w:p>
        </w:tc>
        <w:tc>
          <w:tcPr>
            <w:tcW w:type="dxa" w:w="48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Known CVEs on detected software versions, end-of-life / unpatched products</w:t>
            </w:r>
          </w:p>
        </w:tc>
        <w:tc>
          <w:tcPr>
            <w:tcW w:type="dxa" w:w="20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Medium → Critical</w:t>
            </w:r>
          </w:p>
        </w:tc>
      </w:tr>
      <w:tr>
        <w:tc>
          <w:tcPr>
            <w:tcW w:type="dxa" w:w="22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Attack surface / network</w:t>
            </w:r>
          </w:p>
        </w:tc>
        <w:tc>
          <w:tcPr>
            <w:tcW w:type="dxa" w:w="48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Open ports, exposed services (databases, RDP, SMB), unnecessary services</w:t>
            </w:r>
          </w:p>
        </w:tc>
        <w:tc>
          <w:tcPr>
            <w:tcW w:type="dxa" w:w="20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Low → Critical</w:t>
            </w:r>
          </w:p>
        </w:tc>
      </w:tr>
      <w:tr>
        <w:tc>
          <w:tcPr>
            <w:tcW w:type="dxa" w:w="22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DNS &amp; email</w:t>
            </w:r>
          </w:p>
        </w:tc>
        <w:tc>
          <w:tcPr>
            <w:tcW w:type="dxa" w:w="4826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SPF, DKIM, DMARC presence &amp; strength, DNSSEC, open resolvers</w:t>
            </w:r>
          </w:p>
        </w:tc>
        <w:tc>
          <w:tcPr>
            <w:tcW w:type="dxa" w:w="2000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Low → High</w:t>
            </w:r>
          </w:p>
        </w:tc>
      </w:tr>
      <w:tr>
        <w:tc>
          <w:tcPr>
            <w:tcW w:type="dxa" w:w="22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Reputation &amp; exposure</w:t>
            </w:r>
          </w:p>
        </w:tc>
        <w:tc>
          <w:tcPr>
            <w:tcW w:type="dxa" w:w="4826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Domain/IP on malware or phishing blocklists, breach/leak appearances, exposed cloud storage</w:t>
            </w:r>
          </w:p>
        </w:tc>
        <w:tc>
          <w:tcPr>
            <w:tcW w:type="dxa" w:w="2000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High → Critical</w:t>
            </w:r>
          </w:p>
        </w:tc>
      </w:tr>
    </w:tbl>
    <w:p>
      <w:pPr>
        <w:spacing w:after="70"/>
      </w:pP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4 · How the numbers roll up</w:t>
      </w:r>
    </w:p>
    <w:p>
      <w:pPr>
        <w:spacing w:after="90" w:line="248" w:lineRule="auto"/>
        <w:ind w:left="420" w:hanging="300"/>
      </w:pPr>
      <w:r>
        <w:rPr>
          <w:rFonts w:ascii="Inter Tight" w:cs="Inter Tight" w:eastAsia="Inter Tight" w:hAnsi="Inter Tight"/>
          <w:b/>
          <w:bCs/>
          <w:color w:val="111FDF"/>
          <w:sz w:val="20"/>
          <w:szCs w:val="20"/>
        </w:rPr>
        <w:t xml:space="preserve">1   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Collect every signal in the catalogue for the vendor’s asset (domain / IP).</w:t>
      </w:r>
    </w:p>
    <w:p>
      <w:pPr>
        <w:spacing w:after="90" w:line="248" w:lineRule="auto"/>
        <w:ind w:left="420" w:hanging="300"/>
      </w:pPr>
      <w:r>
        <w:rPr>
          <w:rFonts w:ascii="Inter Tight" w:cs="Inter Tight" w:eastAsia="Inter Tight" w:hAnsi="Inter Tight"/>
          <w:b/>
          <w:bCs/>
          <w:color w:val="111FDF"/>
          <w:sz w:val="20"/>
          <w:szCs w:val="20"/>
        </w:rPr>
        <w:t xml:space="preserve">2   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Overall score =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950 − (sum of every penalty found)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, floored at 0. All findings count against one running total — this is what makes a vendor with problems in several categories drop faster, exactly like UpGuard’s uncapped overall.</w:t>
      </w:r>
    </w:p>
    <w:p>
      <w:pPr>
        <w:spacing w:after="90" w:line="248" w:lineRule="auto"/>
        <w:ind w:left="420" w:hanging="300"/>
      </w:pPr>
      <w:r>
        <w:rPr>
          <w:rFonts w:ascii="Inter Tight" w:cs="Inter Tight" w:eastAsia="Inter Tight" w:hAnsi="Inter Tight"/>
          <w:b/>
          <w:bCs/>
          <w:color w:val="111FDF"/>
          <w:sz w:val="20"/>
          <w:szCs w:val="20"/>
        </w:rPr>
        <w:t xml:space="preserve">3   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Category score =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950 − (penalties in that category only)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, floored at 0 — for the breakdown display, so a reader sees which area dragged the vendor down.</w:t>
      </w:r>
    </w:p>
    <w:p>
      <w:pPr>
        <w:spacing w:after="90" w:line="248" w:lineRule="auto"/>
        <w:ind w:left="420" w:hanging="300"/>
      </w:pPr>
      <w:r>
        <w:rPr>
          <w:rFonts w:ascii="Inter Tight" w:cs="Inter Tight" w:eastAsia="Inter Tight" w:hAnsi="Inter Tight"/>
          <w:b/>
          <w:bCs/>
          <w:color w:val="111FDF"/>
          <w:sz w:val="20"/>
          <w:szCs w:val="20"/>
        </w:rPr>
        <w:t xml:space="preserve">4  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Confidence = evidence coverage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, reported separately (never mixed into the score):</w:t>
      </w:r>
    </w:p>
    <w:p>
      <w:pPr>
        <w:spacing w:after="30"/>
      </w:pPr>
    </w:p>
    <w:tbl>
      <w:tblPr>
        <w:tblW w:type="dxa" w:w="9026"/>
        <w:tblBorders>
          <w:top w:val="single" w:color="D8DCEA" w:sz="2"/>
          <w:left w:val="none" w:color="FFFFFF" w:sz="0"/>
          <w:bottom w:val="single" w:color="D8DCEA" w:sz="2"/>
          <w:right w:val="none" w:color="FFFFFF" w:sz="0"/>
          <w:insideH w:val="single" w:color="D8DCEA" w:sz="2"/>
          <w:insideV w:val="single" w:color="E7EBF5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Evidence coverage</w:t>
            </w:r>
          </w:p>
        </w:tc>
        <w:tc>
          <w:tcPr>
            <w:tcW w:type="dxa" w:w="4513"/>
            <w:shd w:fill="111FDF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24" w:lineRule="auto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pacing w:val="20"/>
                <w:sz w:val="16"/>
                <w:szCs w:val="16"/>
              </w:rPr>
              <w:t xml:space="preserve">Confidence</w:t>
            </w:r>
          </w:p>
        </w:tc>
      </w:tr>
      <w:tr>
        <w:tc>
          <w:tcPr>
            <w:tcW w:type="dxa" w:w="4513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More than 90% of planned signals returned data</w:t>
            </w:r>
          </w:p>
        </w:tc>
        <w:tc>
          <w:tcPr>
            <w:tcW w:type="dxa" w:w="4513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13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70–90%</w:t>
            </w:r>
          </w:p>
        </w:tc>
        <w:tc>
          <w:tcPr>
            <w:tcW w:type="dxa" w:w="4513"/>
            <w:shd w:fill="F0F3FB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513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color w:val="0A0A1F"/>
                <w:sz w:val="18"/>
                <w:szCs w:val="18"/>
              </w:rPr>
              <w:t xml:space="preserve">Under 70%</w:t>
            </w:r>
          </w:p>
        </w:tc>
        <w:tc>
          <w:tcPr>
            <w:tcW w:type="dxa" w:w="4513"/>
            <w:tcMar>
              <w:top w:type="dxa" w:w="52"/>
              <w:left w:type="dxa" w:w="110"/>
              <w:bottom w:type="dxa" w:w="52"/>
              <w:right w:type="dxa" w:w="110"/>
            </w:tcMar>
            <w:vAlign w:val="center"/>
          </w:tcPr>
          <w:p>
            <w:pPr>
              <w:spacing w:after="0" w:line="226" w:lineRule="auto"/>
            </w:pPr>
            <w:r>
              <w:rPr>
                <w:rFonts w:ascii="Inter Tight" w:cs="Inter Tight" w:eastAsia="Inter Tight" w:hAnsi="Inter Tight"/>
                <w:b/>
                <w:bCs/>
                <w:color w:val="111FDF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1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State plainly which sources didn’t respond, so an 87 built on thin evidence is never read as an 87 built on full evidence.</w:t>
      </w:r>
    </w:p>
    <w:p>
      <w:pPr>
        <w:spacing w:after="90" w:line="248" w:lineRule="auto"/>
        <w:ind w:left="420" w:hanging="300"/>
      </w:pPr>
      <w:r>
        <w:rPr>
          <w:rFonts w:ascii="Inter Tight" w:cs="Inter Tight" w:eastAsia="Inter Tight" w:hAnsi="Inter Tight"/>
          <w:b/>
          <w:bCs/>
          <w:color w:val="111FDF"/>
          <w:sz w:val="20"/>
          <w:szCs w:val="20"/>
        </w:rPr>
        <w:t xml:space="preserve">5  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Override.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A direct sanctions / watchlist match, or a confirmed active breach or ransomware event, forces the grade to F regardless of the number. Some findings are disqualifying and must not be averaged away.</w:t>
      </w:r>
    </w:p>
    <w:p>
      <w:pPr>
        <w:spacing w:after="90" w:line="248" w:lineRule="auto"/>
        <w:ind w:left="420" w:hanging="300"/>
      </w:pPr>
      <w:r>
        <w:rPr>
          <w:rFonts w:ascii="Inter Tight" w:cs="Inter Tight" w:eastAsia="Inter Tight" w:hAnsi="Inter Tight"/>
          <w:b/>
          <w:bCs/>
          <w:color w:val="111FDF"/>
          <w:sz w:val="20"/>
          <w:szCs w:val="20"/>
        </w:rPr>
        <w:t xml:space="preserve">6  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Multiple assets — weakest link.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If a vendor has several domains or IPs, the vendor score is the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lowest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asset score, not the average. A vendor is only as strong as its weakest exposed asset.</w:t>
      </w: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5 · Pseudocode</w:t>
      </w:r>
    </w:p>
    <w:p>
      <w:pPr>
        <w:pBdr>
          <w:top w:val="single" w:color="D8DCEA" w:sz="2"/>
          <w:bottom w:val="single" w:color="D8DCEA" w:sz="2"/>
          <w:left w:val="single" w:color="1F80FF" w:sz="18"/>
          <w:right w:val="single" w:color="D8DCEA" w:sz="2"/>
        </w:pBdr>
        <w:shd w:fill="F0F3FB"/>
        <w:spacing w:after="40" w:before="40" w:line="236" w:lineRule="auto"/>
        <w:ind w:left="150" w:right="120"/>
      </w:pP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MAX = 950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PENALTY = { Critical:150, High:70, Medium:30, Low:10, Informational:0 }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def score_asset(asset):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overall = MAX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category = { c: MAX for c in CATEGORIES }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planned = evaluated = 0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for signal in SIGNAL_CATALOGUE: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planned += 1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result = collect(asset, signal)          # OSINT collector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if result is None or result == 'unverified':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    continue                              # informational: no penalty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evaluated += 1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if result == 'fail':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    sev = severity(signal, result)        # CVSS band for CVEs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    overall              -= PENALTY[sev]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    category[signal.cat] -= PENALTY[sev]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overall  = max(0, overall)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category = { c: max(0, s) for c, s in category.items() }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confidence = band(evaluated / planned)        # High / Medium / Low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return overall, category, confidence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def score_vendor(vendor):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assets = [score_asset(a) for a in vendor.assets]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vendor_score = min(a.overall for a in assets)  # weakest link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if sanctions_match(vendor) or confirmed_breach(vendor):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    return grade='F', reason='override'</w:t>
      </w:r>
      <w:r>
        <w:br/>
      </w:r>
      <w:r>
        <w:rPr>
          <w:rFonts w:ascii="JetBrains Mono" w:cs="JetBrains Mono" w:eastAsia="JetBrains Mono" w:hAnsi="JetBrains Mono"/>
          <w:color w:val="0A0A1F"/>
          <w:sz w:val="16"/>
          <w:szCs w:val="16"/>
        </w:rPr>
        <w:t xml:space="preserve">    return grade_band(vendor_score), vendor_score</w:t>
      </w: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6 · Worked example</w:t>
      </w:r>
    </w:p>
    <w:p>
      <w:pPr>
        <w:spacing w:after="11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A vendor’s single domain returns: SSL Labs grade C (Medium, −30), one expired certificate (High, −70), missing DMARC (Medium, −30), two missing security headers (Low, −10 each = −20), and one CVSS 9.1 CVE on an exposed service (Critical, −150). Nine of ten planned signals returned data.</w:t>
      </w:r>
    </w:p>
    <w:p>
      <w:pPr>
        <w:spacing w:after="11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Overall = 950 − (30 + 70 + 30 + 20 + 150) =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650 → Grade B.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 Coverage 9/10 = 90% →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Confidence: High.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 No sanctions or breach, so no override. Headline: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650 / 950 (B), High confidence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, with Vulnerability Management and Encryption shown as the weakest categories.</w:t>
      </w:r>
    </w:p>
    <w:p>
      <w:pPr>
        <w:keepNext/>
        <w:spacing w:after="70" w:before="180"/>
      </w:pPr>
      <w:r>
        <w:rPr>
          <w:rFonts w:ascii="Fraunces" w:cs="Fraunces" w:eastAsia="Fraunces" w:hAnsi="Fraunces"/>
          <w:b/>
          <w:bCs/>
          <w:color w:val="111FDF"/>
          <w:sz w:val="25"/>
          <w:szCs w:val="25"/>
        </w:rPr>
        <w:t xml:space="preserve">7 · Be honest about what this simplifies</w:t>
      </w:r>
    </w:p>
    <w:p>
      <w:pPr>
        <w:spacing w:after="0" w:line="250" w:lineRule="auto"/>
      </w:pP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Two deliberate simplifications versus the real UpGuard, worth stating in the methodology note: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(a)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four fixed severity penalties instead of UpGuard’s continuous, calibrated deductions — easier to defend and tune, slightly blunter; </w:t>
      </w:r>
      <w:r>
        <w:rPr>
          <w:rFonts w:ascii="Inter Tight" w:cs="Inter Tight" w:eastAsia="Inter Tight" w:hAnsi="Inter Tight"/>
          <w:b/>
          <w:bCs/>
          <w:color w:val="0A0A1F"/>
          <w:sz w:val="20"/>
          <w:szCs w:val="20"/>
        </w:rPr>
        <w:t xml:space="preserve">(b)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weakest-link </w:t>
      </w:r>
      <w:r>
        <w:rPr>
          <w:rFonts w:ascii="JetBrains Mono" w:cs="JetBrains Mono" w:eastAsia="JetBrains Mono" w:hAnsi="JetBrains Mono"/>
          <w:color w:val="0A0A1F"/>
          <w:sz w:val="19"/>
          <w:szCs w:val="19"/>
        </w:rPr>
        <w:t xml:space="preserve">min()</w:t>
      </w:r>
      <w:r>
        <w:rPr>
          <w:rFonts w:ascii="Inter Tight" w:cs="Inter Tight" w:eastAsia="Inter Tight" w:hAnsi="Inter Tight"/>
          <w:color w:val="0A0A1F"/>
          <w:sz w:val="20"/>
          <w:szCs w:val="20"/>
        </w:rPr>
        <w:t xml:space="preserve"> across assets instead of UpGuard’s lower-weighted Gaussian mean — same intent, simpler maths. Keep the confidence layer and the sanctions override: the first is better than UpGuard’s (it publishes evidence coverage rather than silently dropping unverifiable findings), and the second is a sensible TPRM extension beyond UpGuard’s purely technical rating.</w:t>
      </w:r>
    </w:p>
    <w:sectPr>
      <w:footerReference w:type="default" r:id="rId7"/>
      <w:pgSz w:w="11906" w:h="16838" w:orient="portrait"/>
      <w:pgMar w:top="100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A" w:sz="4" w:space="6"/>
      </w:pBdr>
    </w:pPr>
    <w:r>
      <w:rPr>
        <w:rFonts w:ascii="JetBrains Mono" w:cs="JetBrains Mono" w:eastAsia="JetBrains Mono" w:hAnsi="JetBrains Mono"/>
        <w:color w:val="6B7088"/>
        <w:sz w:val="14"/>
        <w:szCs w:val="14"/>
      </w:rPr>
      <w:t xml:space="preserve">Effective Risk Management   ·   OSINT TPRM · Scoring Spec   ·   Confidential</w:t>
    </w:r>
    <w:r>
      <w:ptab w:alignment="right" w:relativeTo="margin" w:leader="none"/>
    </w:r>
    <w:r>
      <w:rPr>
        <w:rFonts w:ascii="JetBrains Mono" w:cs="JetBrains Mono" w:eastAsia="JetBrains Mono" w:hAnsi="JetBrains Mono"/>
        <w:color w:val="6B7088"/>
        <w:sz w:val="14"/>
        <w:szCs w:val="14"/>
      </w:rPr>
      <w:t xml:space="preserve">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UpGuard-Style Vendor Scoring — Simple Implementable Spec</dc:title>
  <dc:creator>Effective Risk Management</dc:creator>
  <cp:lastModifiedBy>Un-named</cp:lastModifiedBy>
  <cp:revision>1</cp:revision>
  <dcterms:created xsi:type="dcterms:W3CDTF">2026-07-20T05:29:47.236Z</dcterms:created>
  <dcterms:modified xsi:type="dcterms:W3CDTF">2026-07-20T05:29:47.237Z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