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4"/>
          <w:szCs w:val="34"/>
        </w:rPr>
        <w:t xml:space="preserve">Security Testing, Standards and Certification</w:t>
      </w:r>
    </w:p>
    <w:p>
      <w:pPr>
        <w:spacing w:after="340"/>
      </w:pPr>
      <w:r>
        <w:rPr>
          <w:sz w:val="20"/>
          <w:szCs w:val="20"/>
        </w:rPr>
        <w:t xml:space="preserve">Campaign Admin Tool   |   United Kingdom   |   21 August 2026</w:t>
      </w:r>
    </w:p>
    <w:p>
      <w:pPr>
        <w:pStyle w:val="Heading1"/>
        <w:spacing w:after="160" w:before="360"/>
      </w:pPr>
      <w:r>
        <w:t xml:space="preserve">1. Purpose</w:t>
      </w:r>
    </w:p>
    <w:p>
      <w:pPr>
        <w:spacing w:after="140"/>
      </w:pPr>
      <w:r>
        <w:rPr>
          <w:b w:val="false"/>
          <w:bCs w:val="false"/>
        </w:rPr>
        <w:t xml:space="preserve">This document covers the security testing planned for the Campaign Admin Tool. It names the five tools that will be used, what each one looks for, the order they are run in, and the two documents the work ends with: a Cyber Essentials certificate and a report from an independent penetration testing firm.</w:t>
      </w:r>
    </w:p>
    <w:p>
      <w:pPr>
        <w:spacing w:after="140"/>
      </w:pPr>
      <w:r>
        <w:rPr>
          <w:b w:val="false"/>
          <w:bCs w:val="false"/>
        </w:rPr>
        <w:t xml:space="preserve">The Campaign Admin Tool is sold to small and medium businesses. Most have no IT department, and their website is looked after by an outside agency or a freelance developer.</w:t>
      </w:r>
    </w:p>
    <w:p>
      <w:pPr>
        <w:spacing w:after="140"/>
      </w:pPr>
      <w:r>
        <w:rPr>
          <w:b w:val="false"/>
          <w:bCs w:val="false"/>
        </w:rPr>
        <w:t xml:space="preserve">That shapes who has to be convinced. The business owner wants reassurance that a piece of software going on their website is safe. The agency or developer who maintains the site is the one qualified to ask a harder question, and is usually the person who says yes or no.</w:t>
      </w:r>
    </w:p>
    <w:p>
      <w:pPr>
        <w:spacing w:after="140"/>
      </w:pPr>
      <w:r>
        <w:rPr>
          <w:b w:val="false"/>
          <w:bCs w:val="false"/>
        </w:rPr>
        <w:t xml:space="preserve">The tools find the problems and we fix them. The certificate and the test report are what can be sent to either of them.</w:t>
      </w:r>
    </w:p>
    <w:p>
      <w:pPr>
        <w:pStyle w:val="Heading1"/>
        <w:spacing w:after="160" w:before="360"/>
      </w:pPr>
      <w:r>
        <w:t xml:space="preserve">2. Tools and what each one finds</w:t>
      </w:r>
    </w:p>
    <w:p>
      <w:pPr>
        <w:spacing w:after="140"/>
      </w:pPr>
      <w:r>
        <w:rPr>
          <w:b w:val="false"/>
          <w:bCs w:val="false"/>
        </w:rPr>
        <w:t xml:space="preserve">Each tool examines something different. A tool that reads source code cannot test a running website, and a tool that tests a running website cannot read source code. All five are needed for coverage.</w:t>
      </w:r>
    </w:p>
    <w:p>
      <w:pPr>
        <w:pStyle w:val="Heading2"/>
        <w:spacing w:after="120" w:before="260"/>
      </w:pPr>
      <w:r>
        <w:t xml:space="preserve">2.1  Gitleaks - secrets committed to the code repository</w:t>
      </w:r>
    </w:p>
    <w:p>
      <w:pPr>
        <w:spacing w:after="140"/>
      </w:pPr>
      <w:r>
        <w:rPr>
          <w:b w:val="false"/>
          <w:bCs w:val="false"/>
        </w:rPr>
        <w:t xml:space="preserve">Examines the entire history of the code repository, not only the files as they stand today.</w:t>
      </w:r>
    </w:p>
    <w:p>
      <w:pPr>
        <w:spacing w:after="140"/>
      </w:pPr>
      <w:r>
        <w:rPr>
          <w:b/>
          <w:bCs/>
        </w:rPr>
        <w:t xml:space="preserve">What it finds:</w:t>
      </w:r>
    </w:p>
    <w:p>
      <w:pPr>
        <w:pStyle w:val="ListParagraph"/>
        <w:numPr>
          <w:ilvl w:val="0"/>
          <w:numId w:val="2"/>
        </w:numPr>
        <w:spacing w:after="80"/>
      </w:pPr>
      <w:r>
        <w:t xml:space="preserve">Database passwords and connection strings committed by mistake</w:t>
      </w:r>
    </w:p>
    <w:p>
      <w:pPr>
        <w:pStyle w:val="ListParagraph"/>
        <w:numPr>
          <w:ilvl w:val="0"/>
          <w:numId w:val="2"/>
        </w:numPr>
        <w:spacing w:after="80"/>
      </w:pPr>
      <w:r>
        <w:t xml:space="preserve">API keys for third-party services</w:t>
      </w:r>
    </w:p>
    <w:p>
      <w:pPr>
        <w:pStyle w:val="ListParagraph"/>
        <w:numPr>
          <w:ilvl w:val="0"/>
          <w:numId w:val="2"/>
        </w:numPr>
        <w:spacing w:after="80"/>
      </w:pPr>
      <w:r>
        <w:t xml:space="preserve">Authentication signing keys</w:t>
      </w:r>
    </w:p>
    <w:p>
      <w:pPr>
        <w:pStyle w:val="ListParagraph"/>
        <w:numPr>
          <w:ilvl w:val="0"/>
          <w:numId w:val="2"/>
        </w:numPr>
        <w:spacing w:after="80"/>
      </w:pPr>
      <w:r>
        <w:t xml:space="preserve">Private certificates and access tokens</w:t>
      </w:r>
    </w:p>
    <w:p>
      <w:pPr>
        <w:spacing w:after="140"/>
      </w:pPr>
      <w:r>
        <w:rPr>
          <w:b w:val="false"/>
          <w:bCs w:val="false"/>
        </w:rPr>
        <w:t xml:space="preserve">Why the history matters: deleting a password in a later commit does not remove it. It stays permanently in the repository history and is readable by anyone with access to the code.</w:t>
      </w:r>
    </w:p>
    <w:p>
      <w:pPr>
        <w:spacing w:after="140"/>
      </w:pPr>
      <w:r>
        <w:rPr>
          <w:b w:val="false"/>
          <w:bCs w:val="false"/>
        </w:rPr>
        <w:t xml:space="preserve">Produces: a list of every secret found, with the file, the line, and the commit that introduced it.</w:t>
      </w:r>
    </w:p>
    <w:p>
      <w:pPr>
        <w:pStyle w:val="Heading2"/>
        <w:spacing w:after="120" w:before="260"/>
      </w:pPr>
      <w:r>
        <w:t xml:space="preserve">2.2  Semgrep - flaws in our own code</w:t>
      </w:r>
    </w:p>
    <w:p>
      <w:pPr>
        <w:spacing w:after="140"/>
      </w:pPr>
      <w:r>
        <w:rPr>
          <w:b w:val="false"/>
          <w:bCs w:val="false"/>
        </w:rPr>
        <w:t xml:space="preserve">Reads the source code and matches it against rules describing known insecure patterns.</w:t>
      </w:r>
    </w:p>
    <w:p>
      <w:pPr>
        <w:spacing w:after="140"/>
      </w:pPr>
      <w:r>
        <w:rPr>
          <w:b/>
          <w:bCs/>
        </w:rPr>
        <w:t xml:space="preserve">What it finds:</w:t>
      </w:r>
    </w:p>
    <w:p>
      <w:pPr>
        <w:pStyle w:val="ListParagraph"/>
        <w:numPr>
          <w:ilvl w:val="0"/>
          <w:numId w:val="2"/>
        </w:numPr>
        <w:spacing w:after="80"/>
      </w:pPr>
      <w:r>
        <w:t xml:space="preserve">Cross-site scripting: text supplied by a user rendered as HTML without escaping, allowing an attacker to inject script into the page</w:t>
      </w:r>
    </w:p>
    <w:p>
      <w:pPr>
        <w:pStyle w:val="ListParagraph"/>
        <w:numPr>
          <w:ilvl w:val="0"/>
          <w:numId w:val="2"/>
        </w:numPr>
        <w:spacing w:after="80"/>
      </w:pPr>
      <w:r>
        <w:t xml:space="preserve">SQL injection: database queries assembled by joining text together instead of using parameters</w:t>
      </w:r>
    </w:p>
    <w:p>
      <w:pPr>
        <w:pStyle w:val="ListParagraph"/>
        <w:numPr>
          <w:ilvl w:val="0"/>
          <w:numId w:val="2"/>
        </w:numPr>
        <w:spacing w:after="80"/>
      </w:pPr>
      <w:r>
        <w:t xml:space="preserve">Open redirects: a link that forwards the user to an address taken from the request, which can be used for phishing</w:t>
      </w:r>
    </w:p>
    <w:p>
      <w:pPr>
        <w:pStyle w:val="ListParagraph"/>
        <w:numPr>
          <w:ilvl w:val="0"/>
          <w:numId w:val="2"/>
        </w:numPr>
        <w:spacing w:after="80"/>
      </w:pPr>
      <w:r>
        <w:t xml:space="preserve">Missing permission checks on requests that change data</w:t>
      </w:r>
    </w:p>
    <w:p>
      <w:pPr>
        <w:pStyle w:val="ListParagraph"/>
        <w:numPr>
          <w:ilvl w:val="0"/>
          <w:numId w:val="2"/>
        </w:numPr>
        <w:spacing w:after="80"/>
      </w:pPr>
      <w:r>
        <w:t xml:space="preserve">Weak or misused encryption, and insecure random number generation</w:t>
      </w:r>
    </w:p>
    <w:p>
      <w:pPr>
        <w:pStyle w:val="ListParagraph"/>
        <w:numPr>
          <w:ilvl w:val="0"/>
          <w:numId w:val="2"/>
        </w:numPr>
        <w:spacing w:after="80"/>
      </w:pPr>
      <w:r>
        <w:t xml:space="preserve">Passwords and keys written directly into source files</w:t>
      </w:r>
    </w:p>
    <w:p>
      <w:pPr>
        <w:spacing w:after="140"/>
      </w:pPr>
      <w:r>
        <w:rPr>
          <w:b w:val="false"/>
          <w:bCs w:val="false"/>
        </w:rPr>
        <w:t xml:space="preserve">Produces: a list of findings, each with the file, the line, the severity, and the rule that matched.</w:t>
      </w:r>
    </w:p>
    <w:p>
      <w:pPr>
        <w:pStyle w:val="Heading2"/>
        <w:spacing w:after="120" w:before="260"/>
      </w:pPr>
      <w:r>
        <w:t xml:space="preserve">2.3  Dependency scanning - flaws in code we did not write</w:t>
      </w:r>
    </w:p>
    <w:p>
      <w:pPr>
        <w:spacing w:after="140"/>
      </w:pPr>
      <w:r>
        <w:rPr>
          <w:b w:val="false"/>
          <w:bCs w:val="false"/>
        </w:rPr>
        <w:t xml:space="preserve">Examines the third-party libraries the Campaign Admin Tool depends on. It uses several hundred, most of them brought in indirectly by other libraries.</w:t>
      </w:r>
    </w:p>
    <w:p>
      <w:pPr>
        <w:spacing w:after="140"/>
      </w:pPr>
      <w:r>
        <w:rPr>
          <w:b/>
          <w:bCs/>
        </w:rPr>
        <w:t xml:space="preserve">What it finds:</w:t>
      </w:r>
    </w:p>
    <w:p>
      <w:pPr>
        <w:pStyle w:val="ListParagraph"/>
        <w:numPr>
          <w:ilvl w:val="0"/>
          <w:numId w:val="2"/>
        </w:numPr>
        <w:spacing w:after="80"/>
      </w:pPr>
      <w:r>
        <w:t xml:space="preserve">Libraries with publicly known vulnerabilities, each identified by a CVE number and rated for severity</w:t>
      </w:r>
    </w:p>
    <w:p>
      <w:pPr>
        <w:pStyle w:val="ListParagraph"/>
        <w:numPr>
          <w:ilvl w:val="0"/>
          <w:numId w:val="2"/>
        </w:numPr>
        <w:spacing w:after="80"/>
      </w:pPr>
      <w:r>
        <w:t xml:space="preserve">Libraries no longer maintained, and therefore no longer receiving security fixes</w:t>
      </w:r>
    </w:p>
    <w:p>
      <w:pPr>
        <w:pStyle w:val="ListParagraph"/>
        <w:numPr>
          <w:ilvl w:val="0"/>
          <w:numId w:val="2"/>
        </w:numPr>
        <w:spacing w:after="80"/>
      </w:pPr>
      <w:r>
        <w:t xml:space="preserve">Malicious packages: code published deliberately to steal credentials or data</w:t>
      </w:r>
    </w:p>
    <w:p>
      <w:pPr>
        <w:spacing w:after="140"/>
      </w:pPr>
      <w:r>
        <w:rPr>
          <w:b w:val="false"/>
          <w:bCs w:val="false"/>
        </w:rPr>
        <w:t xml:space="preserve">The malicious-package check matters because a library can be compromised after we start using it. Ordinary vulnerability checking does not detect this. Supply-chain tools such as Socket do.</w:t>
      </w:r>
    </w:p>
    <w:p>
      <w:pPr>
        <w:spacing w:after="140"/>
      </w:pPr>
      <w:r>
        <w:rPr>
          <w:b w:val="false"/>
          <w:bCs w:val="false"/>
        </w:rPr>
        <w:t xml:space="preserve">Produces: a list of affected libraries, the severity of each, and the version that fixes it.</w:t>
      </w:r>
    </w:p>
    <w:p>
      <w:pPr>
        <w:pStyle w:val="Heading2"/>
        <w:spacing w:after="120" w:before="260"/>
      </w:pPr>
      <w:r>
        <w:t xml:space="preserve">2.4  OWASP ZAP - flaws in the running application</w:t>
      </w:r>
    </w:p>
    <w:p>
      <w:pPr>
        <w:spacing w:after="140"/>
      </w:pPr>
      <w:r>
        <w:rPr>
          <w:b w:val="false"/>
          <w:bCs w:val="false"/>
        </w:rPr>
        <w:t xml:space="preserve">Tests the deployed application through its web interface, in the way an attacker would. It needs a running site and a set of test login details.</w:t>
      </w:r>
    </w:p>
    <w:p>
      <w:pPr>
        <w:spacing w:after="140"/>
      </w:pPr>
      <w:r>
        <w:rPr>
          <w:b/>
          <w:bCs/>
        </w:rPr>
        <w:t xml:space="preserve">What it finds:</w:t>
      </w:r>
    </w:p>
    <w:p>
      <w:pPr>
        <w:pStyle w:val="ListParagraph"/>
        <w:numPr>
          <w:ilvl w:val="0"/>
          <w:numId w:val="2"/>
        </w:numPr>
        <w:spacing w:after="80"/>
      </w:pPr>
      <w:r>
        <w:t xml:space="preserve">Session weaknesses: sign-in cookies readable by scripts, cookies that never expire, or cookies not restricted to secure connections</w:t>
      </w:r>
    </w:p>
    <w:p>
      <w:pPr>
        <w:pStyle w:val="ListParagraph"/>
        <w:numPr>
          <w:ilvl w:val="0"/>
          <w:numId w:val="2"/>
        </w:numPr>
        <w:spacing w:after="80"/>
      </w:pPr>
      <w:r>
        <w:t xml:space="preserve">Missing security headers that would otherwise instruct the browser to block common attacks</w:t>
      </w:r>
    </w:p>
    <w:p>
      <w:pPr>
        <w:pStyle w:val="ListParagraph"/>
        <w:numPr>
          <w:ilvl w:val="0"/>
          <w:numId w:val="2"/>
        </w:numPr>
        <w:spacing w:after="80"/>
      </w:pPr>
      <w:r>
        <w:t xml:space="preserve">Access control failures: one signed-in account able to reach another account’s data</w:t>
      </w:r>
    </w:p>
    <w:p>
      <w:pPr>
        <w:pStyle w:val="ListParagraph"/>
        <w:numPr>
          <w:ilvl w:val="0"/>
          <w:numId w:val="2"/>
        </w:numPr>
        <w:spacing w:after="80"/>
      </w:pPr>
      <w:r>
        <w:t xml:space="preserve">Injection flaws reachable through forms and page addresses</w:t>
      </w:r>
    </w:p>
    <w:p>
      <w:pPr>
        <w:pStyle w:val="ListParagraph"/>
        <w:numPr>
          <w:ilvl w:val="0"/>
          <w:numId w:val="2"/>
        </w:numPr>
        <w:spacing w:after="80"/>
      </w:pPr>
      <w:r>
        <w:t xml:space="preserve">Information leaked in error messages, such as software versions or internal file paths</w:t>
      </w:r>
    </w:p>
    <w:p>
      <w:pPr>
        <w:spacing w:after="140"/>
      </w:pPr>
      <w:r>
        <w:rPr>
          <w:b w:val="false"/>
          <w:bCs w:val="false"/>
        </w:rPr>
        <w:t xml:space="preserve">Produces: a report listing each issue, how it was reproduced, and its severity.</w:t>
      </w:r>
    </w:p>
    <w:p>
      <w:pPr>
        <w:pStyle w:val="Heading2"/>
        <w:spacing w:after="120" w:before="260"/>
      </w:pPr>
      <w:r>
        <w:t xml:space="preserve">2.5  Penetration test - a person, not a tool</w:t>
      </w:r>
    </w:p>
    <w:p>
      <w:pPr>
        <w:spacing w:after="140"/>
      </w:pPr>
      <w:r>
        <w:rPr>
          <w:b w:val="false"/>
          <w:bCs w:val="false"/>
        </w:rPr>
        <w:t xml:space="preserve">A qualified tester deliberately attempts to break into the application, combining tools with judgement.</w:t>
      </w:r>
    </w:p>
    <w:p>
      <w:pPr>
        <w:spacing w:after="140"/>
      </w:pPr>
      <w:r>
        <w:rPr>
          <w:b w:val="false"/>
          <w:bCs w:val="false"/>
        </w:rPr>
        <w:t xml:space="preserve">This is the only method that reliably finds flawed business logic, such as whether the steps in a workflow can be reordered to reach a result the Campaign Admin Tool should not allow.</w:t>
      </w:r>
    </w:p>
    <w:p>
      <w:pPr>
        <w:spacing w:after="140"/>
      </w:pPr>
      <w:r>
        <w:rPr>
          <w:b w:val="false"/>
          <w:bCs w:val="false"/>
        </w:rPr>
        <w:t xml:space="preserve">Carried out by a firm accredited under CREST, the scheme recognised in the United Kingdom.</w:t>
      </w:r>
    </w:p>
    <w:p>
      <w:pPr>
        <w:spacing w:after="140"/>
      </w:pPr>
      <w:r>
        <w:rPr>
          <w:b w:val="false"/>
          <w:bCs w:val="false"/>
        </w:rPr>
        <w:t xml:space="preserve">Produces: a signed report describing what was attempted, what succeeded, and what should be fixed. This is the document the agency or developer maintaining a customer’s website will ask for, if anyone does.</w:t>
      </w:r>
    </w:p>
    <w:p>
      <w:pPr>
        <w:pStyle w:val="Heading1"/>
        <w:spacing w:after="160" w:before="360"/>
      </w:pPr>
      <w:r>
        <w:t xml:space="preserve">3. Standards</w:t>
      </w:r>
    </w:p>
    <w:p>
      <w:pPr>
        <w:pStyle w:val="Heading2"/>
        <w:spacing w:after="120" w:before="260"/>
      </w:pPr>
      <w:r>
        <w:t xml:space="preserve">3.1  OWASP ASVS - Application Security Verification Standard</w:t>
      </w:r>
    </w:p>
    <w:p>
      <w:pPr>
        <w:spacing w:after="140"/>
      </w:pPr>
      <w:r>
        <w:rPr>
          <w:b w:val="false"/>
          <w:bCs w:val="false"/>
        </w:rPr>
        <w:t xml:space="preserve">The international benchmark for web application security, published by the Open Worldwide Application Security Project. It lists requirements grouped by subject: authentication, session management, access control, input validation, encryption and configuration.</w:t>
      </w:r>
    </w:p>
    <w:p>
      <w:pPr>
        <w:spacing w:after="140"/>
      </w:pPr>
      <w:r>
        <w:rPr>
          <w:b w:val="false"/>
          <w:bCs w:val="false"/>
        </w:rPr>
        <w:t xml:space="preserve">It has three levels. Level 1 is a baseline. Level 2 is the normal target for an application handling business data, and is what we propose. Level 3 is for high-assurance systems such as banking.</w:t>
      </w:r>
    </w:p>
    <w:p>
      <w:pPr>
        <w:spacing w:after="140"/>
      </w:pPr>
      <w:r>
        <w:rPr>
          <w:b w:val="false"/>
          <w:bCs w:val="false"/>
        </w:rPr>
        <w:t xml:space="preserve">It is free to use and self-assessed. There is no certificate, but the standard is well recognised technically, and a documented assessment against it is a credible statement to make.</w:t>
      </w:r>
    </w:p>
    <w:p>
      <w:pPr>
        <w:pStyle w:val="Heading2"/>
        <w:spacing w:after="120" w:before="260"/>
      </w:pPr>
      <w:r>
        <w:t xml:space="preserve">3.2  Cyber Essentials - the UK scheme</w:t>
      </w:r>
    </w:p>
    <w:p>
      <w:pPr>
        <w:spacing w:after="140"/>
      </w:pPr>
      <w:r>
        <w:rPr>
          <w:b w:val="false"/>
          <w:bCs w:val="false"/>
        </w:rPr>
        <w:t xml:space="preserve">A UK Government backed certification, administered by IASME on behalf of the National Cyber Security Centre. It covers five areas: firewalls, secure configuration, user access control, malware protection, and security update management.</w:t>
      </w:r>
    </w:p>
    <w:p>
      <w:pPr>
        <w:spacing w:after="140"/>
      </w:pPr>
      <w:r>
        <w:rPr>
          <w:b w:val="false"/>
          <w:bCs w:val="false"/>
        </w:rPr>
        <w:t xml:space="preserve">Certification is by self-assessment questionnaire, independently reviewed. It is required for many UK public sector contracts, and it is the security certification a small business owner is most likely to have heard of. The certificate comes with a badge that can be shown on a website, which matters in a market where the customer has no IT staff of their own to judge us.</w:t>
      </w:r>
    </w:p>
    <w:p>
      <w:pPr>
        <w:spacing w:after="140"/>
      </w:pPr>
      <w:r>
        <w:rPr>
          <w:b w:val="false"/>
          <w:bCs w:val="false"/>
        </w:rPr>
        <w:t xml:space="preserve">Cyber Essentials Plus covers the same five areas, but the assessor also carries out a hands-on technical audit rather than relying on the questionnaire alone.</w:t>
      </w:r>
    </w:p>
    <w:p>
      <w:pPr>
        <w:pStyle w:val="Heading2"/>
        <w:spacing w:after="120" w:before="260"/>
      </w:pPr>
      <w:r>
        <w:t xml:space="preserve">3.3  UK GDPR and the Data Protection Act 2018</w:t>
      </w:r>
    </w:p>
    <w:p>
      <w:pPr>
        <w:spacing w:after="140"/>
      </w:pPr>
      <w:r>
        <w:rPr>
          <w:b w:val="false"/>
          <w:bCs w:val="false"/>
        </w:rPr>
        <w:t xml:space="preserve">The Campaign Admin Tool stores personal data, so these apply now rather than as a future step. The regulator is the Information Commissioner’s Office.</w:t>
      </w:r>
    </w:p>
    <w:p>
      <w:pPr>
        <w:spacing w:after="140"/>
      </w:pPr>
      <w:r>
        <w:rPr>
          <w:b w:val="false"/>
          <w:bCs w:val="false"/>
        </w:rPr>
        <w:t xml:space="preserve">The obligations are: a lawful basis for processing, a record of what is processed and why, a defined retention period, and a route for people to request access to or deletion of their data.</w:t>
      </w:r>
    </w:p>
    <w:p>
      <w:pPr>
        <w:pStyle w:val="Heading1"/>
        <w:spacing w:after="160" w:before="360"/>
      </w:pPr>
      <w:r>
        <w:t xml:space="preserve">4. Order of work</w:t>
      </w:r>
    </w:p>
    <w:p>
      <w:pPr>
        <w:pStyle w:val="ListParagraph"/>
        <w:numPr>
          <w:ilvl w:val="0"/>
          <w:numId w:val="3"/>
        </w:numPr>
        <w:spacing w:after="80"/>
      </w:pPr>
      <w:r>
        <w:t xml:space="preserve">Gitleaks across the full repository history</w:t>
      </w:r>
    </w:p>
    <w:p>
      <w:pPr>
        <w:pStyle w:val="ListParagraph"/>
        <w:numPr>
          <w:ilvl w:val="0"/>
          <w:numId w:val="3"/>
        </w:numPr>
        <w:spacing w:after="80"/>
      </w:pPr>
      <w:r>
        <w:t xml:space="preserve">Semgrep, run automatically on every code change</w:t>
      </w:r>
    </w:p>
    <w:p>
      <w:pPr>
        <w:pStyle w:val="ListParagraph"/>
        <w:numPr>
          <w:ilvl w:val="0"/>
          <w:numId w:val="3"/>
        </w:numPr>
        <w:spacing w:after="80"/>
      </w:pPr>
      <w:r>
        <w:t xml:space="preserve">Dependency scanning, run automatically on every code change</w:t>
      </w:r>
    </w:p>
    <w:p>
      <w:pPr>
        <w:pStyle w:val="ListParagraph"/>
        <w:numPr>
          <w:ilvl w:val="0"/>
          <w:numId w:val="3"/>
        </w:numPr>
        <w:spacing w:after="80"/>
      </w:pPr>
      <w:r>
        <w:t xml:space="preserve">OWASP ZAP against the staging site</w:t>
      </w:r>
    </w:p>
    <w:p>
      <w:pPr>
        <w:pStyle w:val="ListParagraph"/>
        <w:numPr>
          <w:ilvl w:val="0"/>
          <w:numId w:val="3"/>
        </w:numPr>
        <w:spacing w:after="80"/>
      </w:pPr>
      <w:r>
        <w:t xml:space="preserve">Assessment against OWASP ASVS Level 2, with a written record</w:t>
      </w:r>
    </w:p>
    <w:p>
      <w:pPr>
        <w:pStyle w:val="ListParagraph"/>
        <w:numPr>
          <w:ilvl w:val="0"/>
          <w:numId w:val="3"/>
        </w:numPr>
        <w:spacing w:after="80"/>
      </w:pPr>
      <w:r>
        <w:t xml:space="preserve">Cyber Essentials certification</w:t>
      </w:r>
    </w:p>
    <w:p>
      <w:pPr>
        <w:pStyle w:val="ListParagraph"/>
        <w:numPr>
          <w:ilvl w:val="0"/>
          <w:numId w:val="3"/>
        </w:numPr>
        <w:spacing w:after="80"/>
      </w:pPr>
      <w:r>
        <w:t xml:space="preserve">Penetration test by a CREST accredited firm</w:t>
      </w:r>
    </w:p>
    <w:p>
      <w:pPr>
        <w:spacing w:after="140"/>
      </w:pPr>
      <w:r>
        <w:rPr>
          <w:b w:val="false"/>
          <w:bCs w:val="false"/>
        </w:rPr>
        <w:t xml:space="preserve">Steps 1 to 5 carry no licence fee and should be finished before anything is paid for. A penetration test that finds issues a free scanner would have caught is a poor use of the budget.</w:t>
      </w:r>
    </w:p>
    <w:p>
      <w:pPr>
        <w:pStyle w:val="Heading1"/>
        <w:spacing w:after="160" w:before="360"/>
      </w:pPr>
      <w:r>
        <w:t xml:space="preserve">5. What we hold at each stage</w:t>
      </w:r>
    </w:p>
    <w:p>
      <w:pPr>
        <w:spacing w:after="140"/>
      </w:pPr>
      <w:r>
        <w:rPr>
          <w:b w:val="false"/>
          <w:bCs w:val="false"/>
        </w:rPr>
        <w:t xml:space="preserve">This section sets out how the Campaign Admin Tool can be presented to an outside party as the work progresses, and what we are able to show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3460"/>
      </w:tblGrid>
      <w:tr>
        <w:trPr>
          <w:tblHeader/>
        </w:trPr>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sz w:val="20"/>
                <w:szCs w:val="20"/>
              </w:rPr>
              <w:t xml:space="preserve">Stage of work</w:t>
            </w:r>
          </w:p>
        </w:tc>
        <w:tc>
          <w:tcPr>
            <w:tcW w:type="dxa" w:w="3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sz w:val="20"/>
                <w:szCs w:val="20"/>
              </w:rPr>
              <w:t xml:space="preserve">What we hold</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sz w:val="20"/>
                <w:szCs w:val="20"/>
              </w:rPr>
              <w:t xml:space="preserve">Can it be shown to a customer?</w:t>
            </w:r>
          </w:p>
        </w:tc>
      </w:tr>
      <w:tr>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The four scans (gitleaks, Semgrep, dependency scanning, OWASP ZAP)</w:t>
            </w:r>
          </w:p>
        </w:tc>
        <w:tc>
          <w:tcPr>
            <w:tcW w:type="dxa" w:w="3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Internal reports listing issues found and fixed</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Not as proof. Used internally to fix issues</w:t>
            </w:r>
          </w:p>
        </w:tc>
      </w:tr>
      <w:tr>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Assessment against OWASP ASVS Level 2</w:t>
            </w:r>
          </w:p>
        </w:tc>
        <w:tc>
          <w:tcPr>
            <w:tcW w:type="dxa" w:w="3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A written assessment stating which requirements are met</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Yes, as a statement we make ourselves. No certificate exists for ASVS</w:t>
            </w:r>
          </w:p>
        </w:tc>
      </w:tr>
      <w:tr>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Cyber Essentials</w:t>
            </w:r>
          </w:p>
        </w:tc>
        <w:tc>
          <w:tcPr>
            <w:tcW w:type="dxa" w:w="3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A certificate valid for twelve months, a badge for the website, and a public listing on the IASME registry</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Yes. This is the first stage that produces a certificate</w:t>
            </w:r>
          </w:p>
        </w:tc>
      </w:tr>
      <w:tr>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Cyber Essentials Plus</w:t>
            </w:r>
          </w:p>
        </w:tc>
        <w:tc>
          <w:tcPr>
            <w:tcW w:type="dxa" w:w="3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The same certificate, backed by a hands-on technical audit</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Yes, and it carries more weight than the standard variant</w:t>
            </w:r>
          </w:p>
        </w:tc>
      </w:tr>
      <w:tr>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Penetration test</w:t>
            </w:r>
          </w:p>
        </w:tc>
        <w:tc>
          <w:tcPr>
            <w:tcW w:type="dxa" w:w="3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A signed report from an accredited firm, normally renewed each year</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Yes, usually under a non-disclosure agreement</w:t>
            </w:r>
          </w:p>
        </w:tc>
      </w:tr>
    </w:tbl>
    <w:p>
      <w:pPr>
        <w:spacing w:after="200"/>
      </w:pPr>
    </w:p>
    <w:p>
      <w:pPr>
        <w:spacing w:after="140"/>
      </w:pPr>
      <w:r>
        <w:rPr>
          <w:b w:val="false"/>
          <w:bCs w:val="false"/>
        </w:rPr>
        <w:t xml:space="preserve">In short: the free work makes the Campaign Admin Tool defensible, but produces nothing to display.</w:t>
      </w:r>
    </w:p>
    <w:p>
      <w:pPr>
        <w:spacing w:after="140"/>
      </w:pPr>
      <w:r>
        <w:rPr>
          <w:b w:val="false"/>
          <w:bCs w:val="false"/>
        </w:rPr>
        <w:t xml:space="preserve">Cyber Essentials is the first point at which we hold a recognised UK credential, and its badge is what a small business owner can see for themselves.</w:t>
      </w:r>
    </w:p>
    <w:p>
      <w:pPr>
        <w:spacing w:after="140"/>
      </w:pPr>
      <w:r>
        <w:rPr>
          <w:b w:val="false"/>
          <w:bCs w:val="false"/>
        </w:rPr>
        <w:t xml:space="preserve">The penetration test report is for the agency or developer who maintains the site, and for our own assurance. For a small supplier, a security incident on a customer’s website is a serious event, and this is the work that reduces the chance of one.</w:t>
      </w:r>
    </w:p>
    <w:p>
      <w:pPr>
        <w:pStyle w:val="Heading1"/>
        <w:spacing w:after="160" w:before="360"/>
      </w:pPr>
      <w:r>
        <w:t xml:space="preserve">6. Scope for the Campaign Admin Tool</w:t>
      </w:r>
    </w:p>
    <w:p>
      <w:pPr>
        <w:spacing w:after="140"/>
      </w:pPr>
      <w:r>
        <w:rPr>
          <w:b w:val="false"/>
          <w:bCs w:val="false"/>
        </w:rPr>
        <w:t xml:space="preserve">The following describes what will be covered when the testing above is carried out.</w:t>
      </w:r>
    </w:p>
    <w:p>
      <w:pPr>
        <w:pStyle w:val="Heading2"/>
        <w:spacing w:after="120" w:before="260"/>
      </w:pPr>
      <w:r>
        <w:t xml:space="preserve">6.1  Sign-in</w:t>
      </w:r>
    </w:p>
    <w:p>
      <w:pPr>
        <w:spacing w:after="140"/>
      </w:pPr>
      <w:r>
        <w:rPr>
          <w:b w:val="false"/>
          <w:bCs w:val="false"/>
        </w:rPr>
        <w:t xml:space="preserve">The Campaign Admin Tool signs users in through Google. No passwords are stored, and verifying the identity of the user is handled by Google.</w:t>
      </w:r>
    </w:p>
    <w:p>
      <w:pPr>
        <w:spacing w:after="140"/>
      </w:pPr>
      <w:r>
        <w:rPr>
          <w:b w:val="false"/>
          <w:bCs w:val="false"/>
        </w:rPr>
        <w:t xml:space="preserve">Testing therefore covers the sign-in flow itself rather than password handling:</w:t>
      </w:r>
    </w:p>
    <w:p>
      <w:pPr>
        <w:pStyle w:val="ListParagraph"/>
        <w:numPr>
          <w:ilvl w:val="0"/>
          <w:numId w:val="2"/>
        </w:numPr>
        <w:spacing w:after="80"/>
      </w:pPr>
      <w:r>
        <w:t xml:space="preserve">That the address a user is returned to after signing in is checked, so the flow cannot be used to send someone to another site</w:t>
      </w:r>
    </w:p>
    <w:p>
      <w:pPr>
        <w:pStyle w:val="ListParagraph"/>
        <w:numPr>
          <w:ilvl w:val="0"/>
          <w:numId w:val="2"/>
        </w:numPr>
        <w:spacing w:after="80"/>
      </w:pPr>
      <w:r>
        <w:t xml:space="preserve">That the information Google returns is stored and handled correctly</w:t>
      </w:r>
    </w:p>
    <w:p>
      <w:pPr>
        <w:pStyle w:val="ListParagraph"/>
        <w:numPr>
          <w:ilvl w:val="0"/>
          <w:numId w:val="2"/>
        </w:numPr>
        <w:spacing w:after="80"/>
      </w:pPr>
      <w:r>
        <w:t xml:space="preserve">That signing in and signing out behave correctly across devices</w:t>
      </w:r>
    </w:p>
    <w:p>
      <w:pPr>
        <w:pStyle w:val="Heading2"/>
        <w:spacing w:after="120" w:before="260"/>
      </w:pPr>
      <w:r>
        <w:t xml:space="preserve">6.2  Sessions</w:t>
      </w:r>
    </w:p>
    <w:p>
      <w:pPr>
        <w:spacing w:after="140"/>
      </w:pPr>
      <w:r>
        <w:rPr>
          <w:b w:val="false"/>
          <w:bCs w:val="false"/>
        </w:rPr>
        <w:t xml:space="preserve">A signed-in session is held in a cookie carrying the account identifier and an expiry date. Testing covers how that cookie is issued, protected and expired, which is covered by chapters V2 and V3 of the ASVS standard.</w:t>
      </w:r>
    </w:p>
    <w:p>
      <w:pPr>
        <w:pStyle w:val="Heading2"/>
        <w:spacing w:after="120" w:before="260"/>
      </w:pPr>
      <w:r>
        <w:t xml:space="preserve">6.3  Where work is stored</w:t>
      </w:r>
    </w:p>
    <w:p>
      <w:pPr>
        <w:spacing w:after="140"/>
      </w:pPr>
      <w:r>
        <w:rPr>
          <w:b w:val="false"/>
          <w:bCs w:val="false"/>
        </w:rPr>
        <w:t xml:space="preserve">Work that has not been saved as a draft stays in the browser where it was created. The server records only that unsaved work exists, which device holds it, and when it was last changed. The content itself is never sent to the server.</w:t>
      </w:r>
    </w:p>
    <w:p>
      <w:pPr>
        <w:spacing w:after="140"/>
      </w:pPr>
      <w:r>
        <w:rPr>
          <w:b w:val="false"/>
          <w:bCs w:val="false"/>
        </w:rPr>
        <w:t xml:space="preserve">This is worth stating plainly when a company asks what data we hold: the Campaign Admin Tool holds less data than would normally be assumed.</w:t>
      </w:r>
    </w:p>
    <w:p>
      <w:pPr>
        <w:pStyle w:val="Heading2"/>
        <w:spacing w:after="120" w:before="260"/>
      </w:pPr>
      <w:r>
        <w:t xml:space="preserve">6.4  Personal data held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sz w:val="20"/>
                <w:szCs w:val="20"/>
              </w:rPr>
              <w:t xml:space="preserve">Data</w:t>
            </w:r>
          </w:p>
        </w:tc>
        <w:tc>
          <w:tcPr>
            <w:tcW w:type="dxa" w:w="57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sz w:val="20"/>
                <w:szCs w:val="20"/>
              </w:rPr>
              <w:t xml:space="preserve">Purpose</w:t>
            </w:r>
          </w:p>
        </w:tc>
      </w:tr>
      <w:tr>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Email address</w:t>
            </w:r>
          </w:p>
        </w:tc>
        <w:tc>
          <w:tcPr>
            <w:tcW w:type="dxa" w:w="57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Identifies the account</w:t>
            </w:r>
          </w:p>
        </w:tc>
      </w:tr>
      <w:tr>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Generated device identifier</w:t>
            </w:r>
          </w:p>
        </w:tc>
        <w:tc>
          <w:tcPr>
            <w:tcW w:type="dxa" w:w="57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Distinguishes one browser from another</w:t>
            </w:r>
          </w:p>
        </w:tc>
      </w:tr>
      <w:tr>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Browser and operating system name</w:t>
            </w:r>
          </w:p>
        </w:tc>
        <w:tc>
          <w:tcPr>
            <w:tcW w:type="dxa" w:w="57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Tells the user which machine holds their unsaved work</w:t>
            </w:r>
          </w:p>
        </w:tc>
      </w:tr>
      <w:tr>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Date and time</w:t>
            </w:r>
          </w:p>
        </w:tc>
        <w:tc>
          <w:tcPr>
            <w:tcW w:type="dxa" w:w="57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Shows how recent that work is</w:t>
            </w:r>
          </w:p>
        </w:tc>
      </w:tr>
    </w:tbl>
    <w:p>
      <w:pPr>
        <w:spacing w:after="200"/>
      </w:pPr>
    </w:p>
    <w:p>
      <w:pPr>
        <w:spacing w:after="140"/>
      </w:pPr>
      <w:r>
        <w:rPr>
          <w:b w:val="false"/>
          <w:bCs w:val="false"/>
        </w:rPr>
        <w:t xml:space="preserve">Device records are deleted as soon as the work is saved or discarded, and records older than fourteen days are ignored. This is the data covered by the UK GDPR obligations described in section 3.3.</w:t>
      </w:r>
    </w:p>
    <w:p>
      <w:pPr>
        <w:pStyle w:val="Heading1"/>
        <w:spacing w:after="160" w:before="360"/>
      </w:pPr>
      <w:r>
        <w:t xml:space="preserve">7. Limits of this approach</w:t>
      </w:r>
    </w:p>
    <w:p>
      <w:pPr>
        <w:spacing w:after="140"/>
      </w:pPr>
      <w:r>
        <w:rPr>
          <w:b w:val="false"/>
          <w:bCs w:val="false"/>
        </w:rPr>
        <w:t xml:space="preserve">Automated tools detect known patterns. They do not detect flawed business logic, and they do not confirm that security-critical code is correct, only that recognised mistakes are absent.</w:t>
      </w:r>
    </w:p>
    <w:p>
      <w:pPr>
        <w:spacing w:after="140"/>
      </w:pPr>
      <w:r>
        <w:rPr>
          <w:b w:val="false"/>
          <w:bCs w:val="false"/>
        </w:rPr>
        <w:t xml:space="preserve">This is why the ASVS assessment and the penetration test involve people reading and testing the code, rather than tools scanning it.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000000"/>
      <w:sz w:val="30"/>
      <w:szCs w:val="30"/>
    </w:rPr>
  </w:style>
  <w:style w:type="paragraph" w:styleId="Heading2">
    <w:name w:val="Heading 2"/>
    <w:basedOn w:val="Normal"/>
    <w:next w:val="Normal"/>
    <w:qFormat/>
    <w:rPr>
      <w:rFonts w:ascii="Calibri" w:cs="Calibri" w:eastAsia="Calibri" w:hAnsi="Calibri"/>
      <w:b/>
      <w:bCs/>
      <w:color w:val="000000"/>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2026-08-24T09:13:46.299Z</dcterms:created>
  <dcterms:modified xsi:type="dcterms:W3CDTF">2026-08-24T09:13:46.299Z</dcterms:modified>
</cp:coreProperties>
</file>

<file path=docProps/custom.xml><?xml version="1.0" encoding="utf-8"?>
<Properties xmlns="http://schemas.openxmlformats.org/officeDocument/2006/custom-properties" xmlns:vt="http://schemas.openxmlformats.org/officeDocument/2006/docPropsVTypes"/>
</file>