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1F1F1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8utyg3da3rc" w:id="0"/>
      <w:bookmarkEnd w:id="0"/>
      <w:r w:rsidDel="00000000" w:rsidR="00000000" w:rsidRPr="00000000">
        <w:rPr>
          <w:rtl w:val="0"/>
        </w:rPr>
        <w:t xml:space="preserve">Currency Converter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color w:val="00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80" w:line="360" w:lineRule="auto"/>
        <w:rPr>
          <w:b w:val="1"/>
          <w:i w:val="1"/>
          <w:color w:val="00ffff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color w:val="00ffff"/>
          <w:sz w:val="60"/>
          <w:szCs w:val="60"/>
          <w:u w:val="single"/>
          <w:rtl w:val="0"/>
        </w:rPr>
        <w:t xml:space="preserve">Sigma boys</w:t>
      </w:r>
    </w:p>
    <w:p w:rsidR="00000000" w:rsidDel="00000000" w:rsidP="00000000" w:rsidRDefault="00000000" w:rsidRPr="00000000" w14:paraId="00000005">
      <w:pPr>
        <w:spacing w:after="80"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1. Syed ayyan ali madni </w:t>
      </w:r>
    </w:p>
    <w:p w:rsidR="00000000" w:rsidDel="00000000" w:rsidP="00000000" w:rsidRDefault="00000000" w:rsidRPr="00000000" w14:paraId="00000006">
      <w:pPr>
        <w:spacing w:after="80"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2. M.Hassaan M.Nauman</w:t>
      </w:r>
    </w:p>
    <w:p w:rsidR="00000000" w:rsidDel="00000000" w:rsidP="00000000" w:rsidRDefault="00000000" w:rsidRPr="00000000" w14:paraId="00000007">
      <w:pPr>
        <w:spacing w:after="80" w:line="360" w:lineRule="auto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3. Ashhad khan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cc8o8s9vgcca" w:id="1"/>
      <w:bookmarkEnd w:id="1"/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 have developed a Currency Converter web application that allows users to convert between different currencies using real-time exchange rates. The application features a clean, user-friendly interface with responsive design.</w:t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52"/>
          <w:szCs w:val="52"/>
        </w:rPr>
      </w:pPr>
      <w:r w:rsidDel="00000000" w:rsidR="00000000" w:rsidRPr="00000000">
        <w:rPr>
          <w:b w:val="1"/>
          <w:i w:val="1"/>
          <w:sz w:val="52"/>
          <w:szCs w:val="52"/>
          <w:rtl w:val="0"/>
        </w:rPr>
        <w:t xml:space="preserve">Languages that are used in our project</w:t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Html (for making the structure of the website)</w:t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CSS (for styling the website)</w:t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Javascript (for making the logic)</w:t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Project Contribution</w:t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Hassaan (Logic Developer)</w:t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Developed the core conversion logic using JavaScript</w:t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Implemented the API integration with ExchangeRate-API</w:t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Created the currency data fetching and processing functions</w:t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Syed Ayyan Ali Madni (UI/UX Designer)</w:t>
      </w:r>
    </w:p>
    <w:p w:rsidR="00000000" w:rsidDel="00000000" w:rsidP="00000000" w:rsidRDefault="00000000" w:rsidRPr="00000000" w14:paraId="0000001E">
      <w:pPr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Designed the complete user interface with modern aesthetics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Implemented responsive layout using CSS Flexbox</w:t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Added interactive elements and hover effects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Ashhad Khan(Code Reviewer &amp; Documentation)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Compiled the code 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Fix the error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Review the code</w:t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Huddles that comes at our project</w:t>
      </w:r>
    </w:p>
    <w:p w:rsidR="00000000" w:rsidDel="00000000" w:rsidP="00000000" w:rsidRDefault="00000000" w:rsidRPr="00000000" w14:paraId="0000002E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API Integration Issues</w:t>
      </w:r>
    </w:p>
    <w:p w:rsidR="00000000" w:rsidDel="00000000" w:rsidP="00000000" w:rsidRDefault="00000000" w:rsidRPr="00000000" w14:paraId="0000003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Connecting to the ExchangeRate-API service</w:t>
      </w:r>
    </w:p>
    <w:p w:rsidR="00000000" w:rsidDel="00000000" w:rsidP="00000000" w:rsidRDefault="00000000" w:rsidRPr="00000000" w14:paraId="0000003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Processing the API response data correctly</w:t>
      </w:r>
    </w:p>
    <w:p w:rsidR="00000000" w:rsidDel="00000000" w:rsidP="00000000" w:rsidRDefault="00000000" w:rsidRPr="00000000" w14:paraId="0000003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i w:val="1"/>
          <w:sz w:val="44"/>
          <w:szCs w:val="44"/>
        </w:rPr>
      </w:pPr>
      <w:r w:rsidDel="00000000" w:rsidR="00000000" w:rsidRPr="00000000">
        <w:rPr>
          <w:b w:val="1"/>
          <w:i w:val="1"/>
          <w:sz w:val="44"/>
          <w:szCs w:val="44"/>
          <w:rtl w:val="0"/>
        </w:rPr>
        <w:t xml:space="preserve">Solution</w:t>
      </w:r>
    </w:p>
    <w:p w:rsidR="00000000" w:rsidDel="00000000" w:rsidP="00000000" w:rsidRDefault="00000000" w:rsidRPr="00000000" w14:paraId="0000003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Testing and implementing proper error handling, we achieved stable API connectivity.</w:t>
      </w:r>
    </w:p>
    <w:p w:rsidR="00000000" w:rsidDel="00000000" w:rsidP="00000000" w:rsidRDefault="00000000" w:rsidRPr="00000000" w14:paraId="0000003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80" w:lineRule="auto"/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ublic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BM Plex Sans" w:cs="IBM Plex Sans" w:eastAsia="IBM Plex Sans" w:hAnsi="IBM Plex Sans"/>
        <w:color w:val="fffff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before="320" w:line="204" w:lineRule="auto"/>
      <w:ind w:right="2550"/>
    </w:pPr>
    <w:rPr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Rule="auto"/>
    </w:pPr>
    <w:rPr>
      <w:rFonts w:ascii="Public Sans" w:cs="Public Sans" w:eastAsia="Public Sans" w:hAnsi="Public Sans"/>
      <w:sz w:val="64"/>
      <w:szCs w:val="6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="240" w:lineRule="auto"/>
      <w:ind w:left="36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line="276" w:lineRule="auto"/>
      <w:ind w:right="2550"/>
    </w:pPr>
    <w:rPr>
      <w:rFonts w:ascii="IBM Plex Sans Light" w:cs="IBM Plex Sans Light" w:eastAsia="IBM Plex Sans Light" w:hAnsi="IBM Plex Sans Light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lineRule="auto"/>
    </w:pPr>
    <w:rPr>
      <w:rFonts w:ascii="IBM Plex Sans Medium" w:cs="IBM Plex Sans Medium" w:eastAsia="IBM Plex Sans Medium" w:hAnsi="IBM Plex Sans Medium"/>
      <w:sz w:val="32"/>
      <w:szCs w:val="32"/>
    </w:rPr>
  </w:style>
  <w:style w:type="paragraph" w:styleId="Heading6">
    <w:name w:val="heading 6"/>
    <w:basedOn w:val="Normal"/>
    <w:next w:val="Normal"/>
    <w:pPr>
      <w:keepNext w:val="1"/>
      <w:keepLines w:val="1"/>
      <w:spacing w:after="120" w:lineRule="auto"/>
    </w:pPr>
    <w:rPr>
      <w:rFonts w:ascii="IBM Plex Sans Light" w:cs="IBM Plex Sans Light" w:eastAsia="IBM Plex Sans Light" w:hAnsi="IBM Plex Sans Light"/>
      <w:sz w:val="32"/>
      <w:szCs w:val="3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after="0" w:line="167.99999999999997" w:lineRule="auto"/>
    </w:pPr>
    <w:rPr>
      <w:sz w:val="112"/>
      <w:szCs w:val="112"/>
    </w:rPr>
  </w:style>
  <w:style w:type="paragraph" w:styleId="Subtitle">
    <w:name w:val="Subtitle"/>
    <w:basedOn w:val="Normal"/>
    <w:next w:val="Normal"/>
    <w:pPr>
      <w:keepNext w:val="1"/>
      <w:keepLines w:val="1"/>
      <w:spacing w:line="276" w:lineRule="auto"/>
      <w:ind w:right="2550"/>
    </w:pPr>
    <w:rPr>
      <w:rFonts w:ascii="IBM Plex Sans Light" w:cs="IBM Plex Sans Light" w:eastAsia="IBM Plex Sans Light" w:hAnsi="IBM Plex Sans Light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BMPlexSansMedium-italic.ttf"/><Relationship Id="rId10" Type="http://schemas.openxmlformats.org/officeDocument/2006/relationships/font" Target="fonts/IBMPlexSansMedium-bold.ttf"/><Relationship Id="rId13" Type="http://schemas.openxmlformats.org/officeDocument/2006/relationships/font" Target="fonts/PublicSans-regular.ttf"/><Relationship Id="rId12" Type="http://schemas.openxmlformats.org/officeDocument/2006/relationships/font" Target="fonts/IBMPlexSansMedium-bold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IBMPlexSansMedium-regular.ttf"/><Relationship Id="rId15" Type="http://schemas.openxmlformats.org/officeDocument/2006/relationships/font" Target="fonts/PublicSans-italic.ttf"/><Relationship Id="rId14" Type="http://schemas.openxmlformats.org/officeDocument/2006/relationships/font" Target="fonts/PublicSans-bold.ttf"/><Relationship Id="rId16" Type="http://schemas.openxmlformats.org/officeDocument/2006/relationships/font" Target="fonts/PublicSans-boldItalic.ttf"/><Relationship Id="rId5" Type="http://schemas.openxmlformats.org/officeDocument/2006/relationships/font" Target="fonts/IBMPlexSansLight-regular.ttf"/><Relationship Id="rId6" Type="http://schemas.openxmlformats.org/officeDocument/2006/relationships/font" Target="fonts/IBMPlexSansLight-bold.ttf"/><Relationship Id="rId7" Type="http://schemas.openxmlformats.org/officeDocument/2006/relationships/font" Target="fonts/IBMPlexSansLight-italic.ttf"/><Relationship Id="rId8" Type="http://schemas.openxmlformats.org/officeDocument/2006/relationships/font" Target="fonts/IBMPlex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