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4E78"/>
          <w:sz w:val="44"/>
          <w:szCs w:val="44"/>
        </w:rPr>
        <w:t xml:space="preserve">Business Insights &amp; Recommendations</w:t>
      </w:r>
    </w:p>
    <w:p>
      <w:pPr>
        <w:spacing w:after="400"/>
      </w:pPr>
      <w:r>
        <w:rPr>
          <w:color w:val="595959"/>
          <w:sz w:val="24"/>
          <w:szCs w:val="24"/>
        </w:rPr>
        <w:t xml:space="preserve">Employee Attrition Analysis Project</w:t>
      </w:r>
    </w:p>
    <w:p>
      <w:pPr>
        <w:pStyle w:val="Heading1"/>
        <w:spacing w:after="200" w:before="400"/>
      </w:pPr>
      <w:r>
        <w:t xml:space="preserve">Executive Summary</w:t>
      </w:r>
    </w:p>
    <w:p>
      <w:pPr>
        <w:spacing w:after="160"/>
      </w:pPr>
      <w:r>
        <w:rPr>
          <w:sz w:val="22"/>
          <w:szCs w:val="22"/>
        </w:rPr>
        <w:t xml:space="preserve">This analysis covers 1,470 employees using the IBM HR Analytics dataset. Overall attrition stands at 16.1% (237 employees), concentrated among younger, lower-tenure, lower-income employees working overtime, and in specific roles such as Sales Representatives and Laboratory Technicians. The strongest individual drivers identified are overtime status, job role, marital status (single employees), business travel frequency, age, income, and tenure.</w:t>
      </w:r>
    </w:p>
    <w:p>
      <w:pPr>
        <w:pStyle w:val="Heading1"/>
        <w:spacing w:after="200" w:before="400"/>
      </w:pPr>
      <w:r>
        <w:t xml:space="preserve">Key Insights</w:t>
      </w:r>
    </w:p>
    <w:p>
      <w:pPr>
        <w:spacing w:after="160"/>
      </w:pPr>
      <w:r>
        <w:rPr>
          <w:b/>
          <w:bCs/>
          <w:color w:val="1F4E78"/>
          <w:sz w:val="22"/>
          <w:szCs w:val="22"/>
        </w:rPr>
        <w:t xml:space="preserve">1. </w:t>
      </w:r>
      <w:r>
        <w:rPr>
          <w:sz w:val="22"/>
          <w:szCs w:val="22"/>
        </w:rPr>
        <w:t xml:space="preserve">Overtime is the single strongest behavioral signal: employees working overtime are nearly 3× as likely to leave (30.5% vs 10.4%), suggesting burnout and workload imbalance rather than compensation alone drive their exit.</w:t>
      </w:r>
    </w:p>
    <w:p>
      <w:pPr>
        <w:spacing w:after="160"/>
      </w:pPr>
      <w:r>
        <w:rPr>
          <w:b/>
          <w:bCs/>
          <w:color w:val="1F4E78"/>
          <w:sz w:val="22"/>
          <w:szCs w:val="22"/>
        </w:rPr>
        <w:t xml:space="preserve">2. </w:t>
      </w:r>
      <w:r>
        <w:rPr>
          <w:sz w:val="22"/>
          <w:szCs w:val="22"/>
        </w:rPr>
        <w:t xml:space="preserve">Attrition is a young-tenure problem: risk is highest in the first 1–3 years and among 18–25 year-olds, pointing to onboarding, early career growth, and first-year manager relationships as critical intervention points.</w:t>
      </w:r>
    </w:p>
    <w:p>
      <w:pPr>
        <w:spacing w:after="160"/>
      </w:pPr>
      <w:r>
        <w:rPr>
          <w:b/>
          <w:bCs/>
          <w:color w:val="1F4E78"/>
          <w:sz w:val="22"/>
          <w:szCs w:val="22"/>
        </w:rPr>
        <w:t xml:space="preserve">3. </w:t>
      </w:r>
      <w:r>
        <w:rPr>
          <w:sz w:val="22"/>
          <w:szCs w:val="22"/>
        </w:rPr>
        <w:t xml:space="preserve">Sales Representatives and Lab Technicians are outlier flight risks — roles that combine high external market demand, high travel/overtime, and comparatively lower job levels.</w:t>
      </w:r>
    </w:p>
    <w:p>
      <w:pPr>
        <w:spacing w:after="160"/>
      </w:pPr>
      <w:r>
        <w:rPr>
          <w:b/>
          <w:bCs/>
          <w:color w:val="1F4E78"/>
          <w:sz w:val="22"/>
          <w:szCs w:val="22"/>
        </w:rPr>
        <w:t xml:space="preserve">4. </w:t>
      </w:r>
      <w:r>
        <w:rPr>
          <w:sz w:val="22"/>
          <w:szCs w:val="22"/>
        </w:rPr>
        <w:t xml:space="preserve">Compensation matters, but relatively: leavers earn about 30% less on average than stayers, and pay dissatisfaction likely compounds with limited promotion velocity, signaling perceived under-reward.</w:t>
      </w:r>
    </w:p>
    <w:p>
      <w:pPr>
        <w:spacing w:after="160"/>
      </w:pPr>
      <w:r>
        <w:rPr>
          <w:b/>
          <w:bCs/>
          <w:color w:val="1F4E78"/>
          <w:sz w:val="22"/>
          <w:szCs w:val="22"/>
        </w:rPr>
        <w:t xml:space="preserve">5. </w:t>
      </w:r>
      <w:r>
        <w:rPr>
          <w:sz w:val="22"/>
          <w:szCs w:val="22"/>
        </w:rPr>
        <w:t xml:space="preserve">Work-life balance and job satisfaction are the two survey metrics most cleanly correlated with attrition, and both are levers HR can directly influence through policy and manager training — unlike demographic factors.</w:t>
      </w:r>
    </w:p>
    <w:p>
      <w:pPr>
        <w:spacing w:after="160"/>
      </w:pPr>
      <w:r>
        <w:rPr>
          <w:b/>
          <w:bCs/>
          <w:color w:val="1F4E78"/>
          <w:sz w:val="22"/>
          <w:szCs w:val="22"/>
        </w:rPr>
        <w:t xml:space="preserve">6. </w:t>
      </w:r>
      <w:r>
        <w:rPr>
          <w:sz w:val="22"/>
          <w:szCs w:val="22"/>
        </w:rPr>
        <w:t xml:space="preserve">Single employees and frequent travelers show materially higher attrition, plausibly reflecting weaker location ties and travel fatigue respectively.</w:t>
      </w:r>
    </w:p>
    <w:p>
      <w:pPr>
        <w:pStyle w:val="Heading1"/>
        <w:spacing w:after="200" w:before="400"/>
      </w:pPr>
      <w:r>
        <w:t xml:space="preserve">Business Recommendations</w:t>
      </w:r>
    </w:p>
    <w:p>
      <w:pPr>
        <w:spacing w:after="160"/>
      </w:pPr>
      <w:r>
        <w:rPr>
          <w:b/>
          <w:bCs/>
          <w:color w:val="1F4E78"/>
          <w:sz w:val="22"/>
          <w:szCs w:val="22"/>
        </w:rPr>
        <w:t xml:space="preserve">1. </w:t>
      </w:r>
      <w:r>
        <w:rPr>
          <w:sz w:val="22"/>
          <w:szCs w:val="22"/>
        </w:rPr>
        <w:t xml:space="preserve">Cap and monitor overtime hours in Sales and Lab roles specifically; introduce workload rebalancing or overtime pay premiums, and track overtime hours as a leading indicator in the HR dashboard.</w:t>
      </w:r>
    </w:p>
    <w:p>
      <w:pPr>
        <w:spacing w:after="160"/>
      </w:pPr>
      <w:r>
        <w:rPr>
          <w:b/>
          <w:bCs/>
          <w:color w:val="1F4E78"/>
          <w:sz w:val="22"/>
          <w:szCs w:val="22"/>
        </w:rPr>
        <w:t xml:space="preserve">2. </w:t>
      </w:r>
      <w:r>
        <w:rPr>
          <w:sz w:val="22"/>
          <w:szCs w:val="22"/>
        </w:rPr>
        <w:t xml:space="preserve">Build a structured first-18-months retention program (mentorship, defined growth checkpoints, manager check-ins) targeted at employees under 26 and under 3 years of tenure, where risk is highest.</w:t>
      </w:r>
    </w:p>
    <w:p>
      <w:pPr>
        <w:spacing w:after="160"/>
      </w:pPr>
      <w:r>
        <w:rPr>
          <w:b/>
          <w:bCs/>
          <w:color w:val="1F4E78"/>
          <w:sz w:val="22"/>
          <w:szCs w:val="22"/>
        </w:rPr>
        <w:t xml:space="preserve">3. </w:t>
      </w:r>
      <w:r>
        <w:rPr>
          <w:sz w:val="22"/>
          <w:szCs w:val="22"/>
        </w:rPr>
        <w:t xml:space="preserve">Review compensation bands for Sales Representative and Laboratory Technician roles against market rates; even modest, well-timed adjustments in the first two years could reduce early exits.</w:t>
      </w:r>
    </w:p>
    <w:p>
      <w:pPr>
        <w:spacing w:after="160"/>
      </w:pPr>
      <w:r>
        <w:rPr>
          <w:b/>
          <w:bCs/>
          <w:color w:val="1F4E78"/>
          <w:sz w:val="22"/>
          <w:szCs w:val="22"/>
        </w:rPr>
        <w:t xml:space="preserve">4. </w:t>
      </w:r>
      <w:r>
        <w:rPr>
          <w:sz w:val="22"/>
          <w:szCs w:val="22"/>
        </w:rPr>
        <w:t xml:space="preserve">Reduce frequent business travel where feasible, or offer travel-recovery time/compensation for roles requiring it.</w:t>
      </w:r>
    </w:p>
    <w:p>
      <w:pPr>
        <w:spacing w:after="160"/>
      </w:pPr>
      <w:r>
        <w:rPr>
          <w:b/>
          <w:bCs/>
          <w:color w:val="1F4E78"/>
          <w:sz w:val="22"/>
          <w:szCs w:val="22"/>
        </w:rPr>
        <w:t xml:space="preserve">5. </w:t>
      </w:r>
      <w:r>
        <w:rPr>
          <w:sz w:val="22"/>
          <w:szCs w:val="22"/>
        </w:rPr>
        <w:t xml:space="preserve">Strengthen manager-level ownership of work-life balance and job satisfaction scores — make them part of manager performance reviews, since these are the most controllable levers identified.</w:t>
      </w:r>
    </w:p>
    <w:p>
      <w:pPr>
        <w:spacing w:after="160"/>
      </w:pPr>
      <w:r>
        <w:rPr>
          <w:b/>
          <w:bCs/>
          <w:color w:val="1F4E78"/>
          <w:sz w:val="22"/>
          <w:szCs w:val="22"/>
        </w:rPr>
        <w:t xml:space="preserve">6. </w:t>
      </w:r>
      <w:r>
        <w:rPr>
          <w:sz w:val="22"/>
          <w:szCs w:val="22"/>
        </w:rPr>
        <w:t xml:space="preserve">Prioritize retention conversations with single employees and frequent travelers as part of routine 1:1s, since they carry higher unaddressed flight risk.</w:t>
      </w:r>
    </w:p>
    <w:p>
      <w:pPr>
        <w:pStyle w:val="Heading1"/>
        <w:spacing w:after="200" w:before="400"/>
      </w:pPr>
      <w:r>
        <w:t xml:space="preserve">Supporting Evidence — Segment Snapshot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200"/>
            <w:shd w:fill="1F4E78" w:val="clear"/>
          </w:tcPr>
          <w:p>
            <w:r>
              <w:rPr>
                <w:b/>
                <w:bCs/>
                <w:color w:val="FFFFFF"/>
                <w:sz w:val="20"/>
                <w:szCs w:val="20"/>
              </w:rPr>
              <w:t xml:space="preserve">Segment</w:t>
            </w:r>
          </w:p>
        </w:tc>
        <w:tc>
          <w:tcPr>
            <w:tcW w:type="dxa" w:w="2000"/>
            <w:shd w:fill="1F4E78" w:val="clear"/>
          </w:tcPr>
          <w:p>
            <w:r>
              <w:rPr>
                <w:b/>
                <w:bCs/>
                <w:color w:val="FFFFFF"/>
                <w:sz w:val="20"/>
                <w:szCs w:val="20"/>
              </w:rPr>
              <w:t xml:space="preserve">Higher-risk group</w:t>
            </w:r>
          </w:p>
        </w:tc>
        <w:tc>
          <w:tcPr>
            <w:tcW w:type="dxa" w:w="1400"/>
            <w:shd w:fill="1F4E78" w:val="clear"/>
          </w:tcPr>
          <w:p>
            <w:r>
              <w:rPr>
                <w:b/>
                <w:bCs/>
                <w:color w:val="FFFFFF"/>
                <w:sz w:val="20"/>
                <w:szCs w:val="20"/>
              </w:rPr>
              <w:t xml:space="preserve">Rate</w:t>
            </w:r>
          </w:p>
        </w:tc>
        <w:tc>
          <w:tcPr>
            <w:tcW w:type="dxa" w:w="2000"/>
            <w:shd w:fill="1F4E78" w:val="clear"/>
          </w:tcPr>
          <w:p>
            <w:r>
              <w:rPr>
                <w:b/>
                <w:bCs/>
                <w:color w:val="FFFFFF"/>
                <w:sz w:val="20"/>
                <w:szCs w:val="20"/>
              </w:rPr>
              <w:t xml:space="preserve">Lower-risk group</w:t>
            </w:r>
          </w:p>
        </w:tc>
        <w:tc>
          <w:tcPr>
            <w:tcW w:type="dxa" w:w="1400"/>
            <w:shd w:fill="1F4E78" w:val="clear"/>
          </w:tcPr>
          <w:p>
            <w:r>
              <w:rPr>
                <w:b/>
                <w:bCs/>
                <w:color w:val="FFFFFF"/>
                <w:sz w:val="20"/>
                <w:szCs w:val="20"/>
              </w:rPr>
              <w:t xml:space="preserve">Rate</w:t>
            </w:r>
          </w:p>
        </w:tc>
      </w:tr>
      <w:tr>
        <w:tc>
          <w:tcPr>
            <w:tcW w:type="dxa" w:w="2200"/>
          </w:tcPr>
          <w:p>
            <w:r>
              <w:rPr>
                <w:sz w:val="20"/>
                <w:szCs w:val="20"/>
              </w:rPr>
              <w:t xml:space="preserve">Overtime</w:t>
            </w:r>
          </w:p>
        </w:tc>
        <w:tc>
          <w:tcPr>
            <w:tcW w:type="dxa" w:w="2000"/>
          </w:tcPr>
          <w:p>
            <w:r>
              <w:rPr>
                <w:sz w:val="20"/>
                <w:szCs w:val="20"/>
              </w:rPr>
              <w:t xml:space="preserve">Works overtime</w:t>
            </w:r>
          </w:p>
        </w:tc>
        <w:tc>
          <w:tcPr>
            <w:tcW w:type="dxa" w:w="1400"/>
          </w:tcPr>
          <w:p>
            <w:r>
              <w:rPr>
                <w:sz w:val="20"/>
                <w:szCs w:val="20"/>
              </w:rPr>
              <w:t xml:space="preserve">30.5%</w:t>
            </w:r>
          </w:p>
        </w:tc>
        <w:tc>
          <w:tcPr>
            <w:tcW w:type="dxa" w:w="2000"/>
          </w:tcPr>
          <w:p>
            <w:r>
              <w:rPr>
                <w:sz w:val="20"/>
                <w:szCs w:val="20"/>
              </w:rPr>
              <w:t xml:space="preserve">No overtime</w:t>
            </w:r>
          </w:p>
        </w:tc>
        <w:tc>
          <w:tcPr>
            <w:tcW w:type="dxa" w:w="1400"/>
          </w:tcPr>
          <w:p>
            <w:r>
              <w:rPr>
                <w:sz w:val="20"/>
                <w:szCs w:val="20"/>
              </w:rPr>
              <w:t xml:space="preserve">10.4%</w:t>
            </w:r>
          </w:p>
        </w:tc>
      </w:tr>
      <w:tr>
        <w:tc>
          <w:tcPr>
            <w:tcW w:type="dxa" w:w="2200"/>
            <w:shd w:fill="EDEDED" w:val="clear"/>
          </w:tcPr>
          <w:p>
            <w:r>
              <w:rPr>
                <w:sz w:val="20"/>
                <w:szCs w:val="20"/>
              </w:rPr>
              <w:t xml:space="preserve">Age</w:t>
            </w:r>
          </w:p>
        </w:tc>
        <w:tc>
          <w:tcPr>
            <w:tcW w:type="dxa" w:w="2000"/>
            <w:shd w:fill="EDEDED" w:val="clear"/>
          </w:tcPr>
          <w:p>
            <w:r>
              <w:rPr>
                <w:sz w:val="20"/>
                <w:szCs w:val="20"/>
              </w:rPr>
              <w:t xml:space="preserve">18–25</w:t>
            </w:r>
          </w:p>
        </w:tc>
        <w:tc>
          <w:tcPr>
            <w:tcW w:type="dxa" w:w="1400"/>
            <w:shd w:fill="EDEDED" w:val="clear"/>
          </w:tcPr>
          <w:p>
            <w:r>
              <w:rPr>
                <w:sz w:val="20"/>
                <w:szCs w:val="20"/>
              </w:rPr>
              <w:t xml:space="preserve">35.8%</w:t>
            </w:r>
          </w:p>
        </w:tc>
        <w:tc>
          <w:tcPr>
            <w:tcW w:type="dxa" w:w="2000"/>
            <w:shd w:fill="EDEDED" w:val="clear"/>
          </w:tcPr>
          <w:p>
            <w:r>
              <w:rPr>
                <w:sz w:val="20"/>
                <w:szCs w:val="20"/>
              </w:rPr>
              <w:t xml:space="preserve">36–45</w:t>
            </w:r>
          </w:p>
        </w:tc>
        <w:tc>
          <w:tcPr>
            <w:tcW w:type="dxa" w:w="1400"/>
            <w:shd w:fill="EDEDED" w:val="clear"/>
          </w:tcPr>
          <w:p>
            <w:r>
              <w:rPr>
                <w:sz w:val="20"/>
                <w:szCs w:val="20"/>
              </w:rPr>
              <w:t xml:space="preserve">9.2%</w:t>
            </w:r>
          </w:p>
        </w:tc>
      </w:tr>
      <w:tr>
        <w:tc>
          <w:tcPr>
            <w:tcW w:type="dxa" w:w="2200"/>
          </w:tcPr>
          <w:p>
            <w:r>
              <w:rPr>
                <w:sz w:val="20"/>
                <w:szCs w:val="20"/>
              </w:rPr>
              <w:t xml:space="preserve">Marital Status</w:t>
            </w:r>
          </w:p>
        </w:tc>
        <w:tc>
          <w:tcPr>
            <w:tcW w:type="dxa" w:w="2000"/>
          </w:tcPr>
          <w:p>
            <w:r>
              <w:rPr>
                <w:sz w:val="20"/>
                <w:szCs w:val="20"/>
              </w:rPr>
              <w:t xml:space="preserve">Single</w:t>
            </w:r>
          </w:p>
        </w:tc>
        <w:tc>
          <w:tcPr>
            <w:tcW w:type="dxa" w:w="1400"/>
          </w:tcPr>
          <w:p>
            <w:r>
              <w:rPr>
                <w:sz w:val="20"/>
                <w:szCs w:val="20"/>
              </w:rPr>
              <w:t xml:space="preserve">25.5%</w:t>
            </w:r>
          </w:p>
        </w:tc>
        <w:tc>
          <w:tcPr>
            <w:tcW w:type="dxa" w:w="2000"/>
          </w:tcPr>
          <w:p>
            <w:r>
              <w:rPr>
                <w:sz w:val="20"/>
                <w:szCs w:val="20"/>
              </w:rPr>
              <w:t xml:space="preserve">Divorced</w:t>
            </w:r>
          </w:p>
        </w:tc>
        <w:tc>
          <w:tcPr>
            <w:tcW w:type="dxa" w:w="1400"/>
          </w:tcPr>
          <w:p>
            <w:r>
              <w:rPr>
                <w:sz w:val="20"/>
                <w:szCs w:val="20"/>
              </w:rPr>
              <w:t xml:space="preserve">10.1%</w:t>
            </w:r>
          </w:p>
        </w:tc>
      </w:tr>
      <w:tr>
        <w:tc>
          <w:tcPr>
            <w:tcW w:type="dxa" w:w="2200"/>
            <w:shd w:fill="EDEDED" w:val="clear"/>
          </w:tcPr>
          <w:p>
            <w:r>
              <w:rPr>
                <w:sz w:val="20"/>
                <w:szCs w:val="20"/>
              </w:rPr>
              <w:t xml:space="preserve">Business Travel</w:t>
            </w:r>
          </w:p>
        </w:tc>
        <w:tc>
          <w:tcPr>
            <w:tcW w:type="dxa" w:w="2000"/>
            <w:shd w:fill="EDEDED" w:val="clear"/>
          </w:tcPr>
          <w:p>
            <w:r>
              <w:rPr>
                <w:sz w:val="20"/>
                <w:szCs w:val="20"/>
              </w:rPr>
              <w:t xml:space="preserve">Travel Frequently</w:t>
            </w:r>
          </w:p>
        </w:tc>
        <w:tc>
          <w:tcPr>
            <w:tcW w:type="dxa" w:w="1400"/>
            <w:shd w:fill="EDEDED" w:val="clear"/>
          </w:tcPr>
          <w:p>
            <w:r>
              <w:rPr>
                <w:sz w:val="20"/>
                <w:szCs w:val="20"/>
              </w:rPr>
              <w:t xml:space="preserve">24.9%</w:t>
            </w:r>
          </w:p>
        </w:tc>
        <w:tc>
          <w:tcPr>
            <w:tcW w:type="dxa" w:w="2000"/>
            <w:shd w:fill="EDEDED" w:val="clear"/>
          </w:tcPr>
          <w:p>
            <w:r>
              <w:rPr>
                <w:sz w:val="20"/>
                <w:szCs w:val="20"/>
              </w:rPr>
              <w:t xml:space="preserve">Non-Travel</w:t>
            </w:r>
          </w:p>
        </w:tc>
        <w:tc>
          <w:tcPr>
            <w:tcW w:type="dxa" w:w="1400"/>
            <w:shd w:fill="EDEDED" w:val="clear"/>
          </w:tcPr>
          <w:p>
            <w:r>
              <w:rPr>
                <w:sz w:val="20"/>
                <w:szCs w:val="20"/>
              </w:rPr>
              <w:t xml:space="preserve">8.0%</w:t>
            </w:r>
          </w:p>
        </w:tc>
      </w:tr>
      <w:tr>
        <w:tc>
          <w:tcPr>
            <w:tcW w:type="dxa" w:w="2200"/>
          </w:tcPr>
          <w:p>
            <w:r>
              <w:rPr>
                <w:sz w:val="20"/>
                <w:szCs w:val="20"/>
              </w:rPr>
              <w:t xml:space="preserve">Job Role</w:t>
            </w:r>
          </w:p>
        </w:tc>
        <w:tc>
          <w:tcPr>
            <w:tcW w:type="dxa" w:w="2000"/>
          </w:tcPr>
          <w:p>
            <w:r>
              <w:rPr>
                <w:sz w:val="20"/>
                <w:szCs w:val="20"/>
              </w:rPr>
              <w:t xml:space="preserve">Sales Representative</w:t>
            </w:r>
          </w:p>
        </w:tc>
        <w:tc>
          <w:tcPr>
            <w:tcW w:type="dxa" w:w="1400"/>
          </w:tcPr>
          <w:p>
            <w:r>
              <w:rPr>
                <w:sz w:val="20"/>
                <w:szCs w:val="20"/>
              </w:rPr>
              <w:t xml:space="preserve">39.8%</w:t>
            </w:r>
          </w:p>
        </w:tc>
        <w:tc>
          <w:tcPr>
            <w:tcW w:type="dxa" w:w="2000"/>
          </w:tcPr>
          <w:p>
            <w:r>
              <w:rPr>
                <w:sz w:val="20"/>
                <w:szCs w:val="20"/>
              </w:rPr>
              <w:t xml:space="preserve">Research Director</w:t>
            </w:r>
          </w:p>
        </w:tc>
        <w:tc>
          <w:tcPr>
            <w:tcW w:type="dxa" w:w="1400"/>
          </w:tcPr>
          <w:p>
            <w:r>
              <w:rPr>
                <w:sz w:val="20"/>
                <w:szCs w:val="20"/>
              </w:rPr>
              <w:t xml:space="preserve">2.5%</w:t>
            </w:r>
          </w:p>
        </w:tc>
      </w:tr>
      <w:tr>
        <w:tc>
          <w:tcPr>
            <w:tcW w:type="dxa" w:w="2200"/>
            <w:shd w:fill="EDEDED" w:val="clear"/>
          </w:tcPr>
          <w:p>
            <w:r>
              <w:rPr>
                <w:sz w:val="20"/>
                <w:szCs w:val="20"/>
              </w:rPr>
              <w:t xml:space="preserve">Work-Life Balance</w:t>
            </w:r>
          </w:p>
        </w:tc>
        <w:tc>
          <w:tcPr>
            <w:tcW w:type="dxa" w:w="2000"/>
            <w:shd w:fill="EDEDED" w:val="clear"/>
          </w:tcPr>
          <w:p>
            <w:r>
              <w:rPr>
                <w:sz w:val="20"/>
                <w:szCs w:val="20"/>
              </w:rPr>
              <w:t xml:space="preserve">Bad (1)</w:t>
            </w:r>
          </w:p>
        </w:tc>
        <w:tc>
          <w:tcPr>
            <w:tcW w:type="dxa" w:w="1400"/>
            <w:shd w:fill="EDEDED" w:val="clear"/>
          </w:tcPr>
          <w:p>
            <w:r>
              <w:rPr>
                <w:sz w:val="20"/>
                <w:szCs w:val="20"/>
              </w:rPr>
              <w:t xml:space="preserve">31.3%</w:t>
            </w:r>
          </w:p>
        </w:tc>
        <w:tc>
          <w:tcPr>
            <w:tcW w:type="dxa" w:w="2000"/>
            <w:shd w:fill="EDEDED" w:val="clear"/>
          </w:tcPr>
          <w:p>
            <w:r>
              <w:rPr>
                <w:sz w:val="20"/>
                <w:szCs w:val="20"/>
              </w:rPr>
              <w:t xml:space="preserve">Better (3)</w:t>
            </w:r>
          </w:p>
        </w:tc>
        <w:tc>
          <w:tcPr>
            <w:tcW w:type="dxa" w:w="1400"/>
            <w:shd w:fill="EDEDED" w:val="clear"/>
          </w:tcPr>
          <w:p>
            <w:r>
              <w:rPr>
                <w:sz w:val="20"/>
                <w:szCs w:val="20"/>
              </w:rPr>
              <w:t xml:space="preserve">14.2%</w:t>
            </w:r>
          </w:p>
        </w:tc>
      </w:tr>
      <w:tr>
        <w:tc>
          <w:tcPr>
            <w:tcW w:type="dxa" w:w="2200"/>
          </w:tcPr>
          <w:p>
            <w:r>
              <w:rPr>
                <w:sz w:val="20"/>
                <w:szCs w:val="20"/>
              </w:rPr>
              <w:t xml:space="preserve">Job Satisfaction</w:t>
            </w:r>
          </w:p>
        </w:tc>
        <w:tc>
          <w:tcPr>
            <w:tcW w:type="dxa" w:w="2000"/>
          </w:tcPr>
          <w:p>
            <w:r>
              <w:rPr>
                <w:sz w:val="20"/>
                <w:szCs w:val="20"/>
              </w:rPr>
              <w:t xml:space="preserve">Low (1)</w:t>
            </w:r>
          </w:p>
        </w:tc>
        <w:tc>
          <w:tcPr>
            <w:tcW w:type="dxa" w:w="1400"/>
          </w:tcPr>
          <w:p>
            <w:r>
              <w:rPr>
                <w:sz w:val="20"/>
                <w:szCs w:val="20"/>
              </w:rPr>
              <w:t xml:space="preserve">22.8%</w:t>
            </w:r>
          </w:p>
        </w:tc>
        <w:tc>
          <w:tcPr>
            <w:tcW w:type="dxa" w:w="2000"/>
          </w:tcPr>
          <w:p>
            <w:r>
              <w:rPr>
                <w:sz w:val="20"/>
                <w:szCs w:val="20"/>
              </w:rPr>
              <w:t xml:space="preserve">Very High (4)</w:t>
            </w:r>
          </w:p>
        </w:tc>
        <w:tc>
          <w:tcPr>
            <w:tcW w:type="dxa" w:w="1400"/>
          </w:tcPr>
          <w:p>
            <w:r>
              <w:rPr>
                <w:sz w:val="20"/>
                <w:szCs w:val="20"/>
              </w:rPr>
              <w:t xml:space="preserve">11.3%</w:t>
            </w:r>
          </w:p>
        </w:tc>
      </w:tr>
    </w:tbl>
    <w:p>
      <w:pPr>
        <w:spacing w:after="200"/>
      </w:pPr>
    </w:p>
    <w:p>
      <w:pPr>
        <w:spacing w:after="160"/>
      </w:pPr>
      <w:r>
        <w:rPr>
          <w:sz w:val="22"/>
          <w:szCs w:val="22"/>
        </w:rPr>
        <w:t xml:space="preserve">Full supporting charts and KPI derivations are provided in the EDA Report and the Excel workbook.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Business Insights — Employee Attrition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2026-08-15T06:33:38.253Z</dcterms:created>
  <dcterms:modified xsi:type="dcterms:W3CDTF">2026-08-15T06:33:38.253Z</dcterms:modified>
</cp:coreProperties>
</file>

<file path=docProps/custom.xml><?xml version="1.0" encoding="utf-8"?>
<Properties xmlns="http://schemas.openxmlformats.org/officeDocument/2006/custom-properties" xmlns:vt="http://schemas.openxmlformats.org/officeDocument/2006/docPropsVTypes"/>
</file>