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Exploratory Data Analysis Report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Employee Attrition Analysis Project</w:t>
      </w:r>
    </w:p>
    <w:p>
      <w:pPr>
        <w:pStyle w:val="Heading1"/>
        <w:spacing w:after="200" w:before="400"/>
      </w:pPr>
      <w:r>
        <w:t xml:space="preserve">1. Key HR KPIs</w:t>
      </w:r>
    </w:p>
    <w:p>
      <w:pPr>
        <w:spacing w:after="160"/>
      </w:pPr>
      <w:r>
        <w:rPr>
          <w:sz w:val="22"/>
          <w:szCs w:val="22"/>
        </w:rPr>
        <w:t xml:space="preserve">Computed from the cleaned dataset (1,470 employees). Live versions of these formulas are in the accompanying Excel workbook's "KPI Summary" tab.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1,470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Employees who left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237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Overall attrition rate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16.1%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Avg. monthly income — stayed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$6,833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Avg. monthly income — left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$4,787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Avg. tenure (years) — stayed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Avg. tenure (years) — left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Attrition rate — works overtime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30.5%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Attrition rate — no overtime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10.4%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Avg. years since last promotion — left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1.9</w:t>
            </w:r>
          </w:p>
        </w:tc>
      </w:tr>
    </w:tbl>
    <w:p>
      <w:pPr>
        <w:pStyle w:val="Heading1"/>
        <w:spacing w:after="200" w:before="400"/>
      </w:pPr>
      <w:r>
        <w:t xml:space="preserve">2. Overall Attrition</w:t>
      </w:r>
    </w:p>
    <w:p>
      <w:pPr>
        <w:spacing w:after="300"/>
        <w:jc w:val="center"/>
      </w:pPr>
      <w:r>
        <w:drawing>
          <wp:inline distT="0" distB="0" distL="0" distR="0">
            <wp:extent cx="33337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Of 1,470 employees, 237 (16.1%) left the company.</w:t>
      </w:r>
    </w:p>
    <w:p>
      <w:pPr>
        <w:pStyle w:val="Heading1"/>
        <w:spacing w:after="200" w:before="400"/>
      </w:pPr>
      <w:r>
        <w:t xml:space="preserve">3. Attrition by Department &amp; Job Role</w:t>
      </w:r>
    </w:p>
    <w:p>
      <w:pPr>
        <w:spacing w:after="160"/>
      </w:pPr>
      <w:r>
        <w:rPr>
          <w:sz w:val="22"/>
          <w:szCs w:val="22"/>
        </w:rPr>
        <w:t xml:space="preserve">Sales has the highest departmental attrition rate (20.6%), followed by Human Resources (19.0%) and R&amp;D (13.8%). At the role level, the pattern is sharper: Sales Representatives lose nearly 4 in 10 employees.</w:t>
      </w:r>
    </w:p>
    <w:p>
      <w:pPr>
        <w:spacing w:after="300"/>
        <w:jc w:val="center"/>
      </w:pPr>
      <w:r>
        <w:drawing>
          <wp:inline distT="0" distB="0" distL="0" distR="0">
            <wp:extent cx="40957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Attrition rate by department.</w:t>
      </w:r>
    </w:p>
    <w:p>
      <w:pPr>
        <w:spacing w:after="3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 — Attrition rate by job role. Sales Representative (39.8%), Laboratory Technician (23.9%), and HR (23.1%) are the highest-risk roles; Research Director (2.5%) and Manager (4.9%) are the most stable.</w:t>
      </w:r>
    </w:p>
    <w:p>
      <w:pPr>
        <w:pStyle w:val="Heading1"/>
        <w:spacing w:after="200" w:before="400"/>
      </w:pPr>
      <w:r>
        <w:t xml:space="preserve">4. Overtime — the Single Strongest Driver</w:t>
      </w:r>
    </w:p>
    <w:p>
      <w:pPr>
        <w:spacing w:after="300"/>
        <w:jc w:val="center"/>
      </w:pPr>
      <w:r>
        <w:drawing>
          <wp:inline distT="0" distB="0" distL="0" distR="0">
            <wp:extent cx="3238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4 — Employees who work overtime leave at nearly 3× the rate of those who don't (30.5% vs 10.4%).</w:t>
      </w:r>
    </w:p>
    <w:p>
      <w:pPr>
        <w:pStyle w:val="Heading1"/>
        <w:spacing w:after="200" w:before="400"/>
      </w:pPr>
      <w:r>
        <w:t xml:space="preserve">5. Compensation &amp; Tenure</w:t>
      </w:r>
    </w:p>
    <w:p>
      <w:pPr>
        <w:spacing w:after="30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5 — Employees who left earned a lower median and had a much tighter income range than those who stayed.</w:t>
      </w:r>
    </w:p>
    <w:p>
      <w:pPr>
        <w:spacing w:after="30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6 — Attrition is heavily concentrated in the first ~3 years of tenure.</w:t>
      </w:r>
    </w:p>
    <w:p>
      <w:pPr>
        <w:pStyle w:val="Heading1"/>
        <w:spacing w:after="200" w:before="400"/>
      </w:pPr>
      <w:r>
        <w:t xml:space="preserve">6. Satisfaction &amp; Work-Life Balance</w:t>
      </w:r>
    </w:p>
    <w:p>
      <w:pPr>
        <w:spacing w:after="300"/>
        <w:jc w:val="center"/>
      </w:pPr>
      <w:r>
        <w:drawing>
          <wp:inline distT="0" distB="0" distL="0" distR="0">
            <wp:extent cx="4953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7 — Both poor work-life balance and low job satisfaction correlate with sharply higher attrition; a "Bad" work-life balance rating nearly doubles the average attrition rate.</w:t>
      </w:r>
    </w:p>
    <w:p>
      <w:pPr>
        <w:pStyle w:val="Heading1"/>
        <w:spacing w:after="200" w:before="400"/>
      </w:pPr>
      <w:r>
        <w:t xml:space="preserve">7. Demographics &amp; Travel</w:t>
      </w:r>
    </w:p>
    <w:p>
      <w:pPr>
        <w:spacing w:after="300"/>
        <w:jc w:val="center"/>
      </w:pPr>
      <w:r>
        <w:drawing>
          <wp:inline distT="0" distB="0" distL="0" distR="0">
            <wp:extent cx="3810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8 — Employees aged 18–25 leave at more than double the overall rate (35.8%).</w:t>
      </w:r>
    </w:p>
    <w:p>
      <w:pPr>
        <w:spacing w:after="300"/>
        <w:jc w:val="center"/>
      </w:pPr>
      <w:r>
        <w:drawing>
          <wp:inline distT="0" distB="0" distL="0" distR="0">
            <wp:extent cx="4953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9 — Single employees and frequent travelers show the highest attrition.</w:t>
      </w:r>
    </w:p>
    <w:p>
      <w:pPr>
        <w:pStyle w:val="Heading1"/>
        <w:spacing w:after="200" w:before="400"/>
      </w:pPr>
      <w:r>
        <w:t xml:space="preserve">8. Overall Driver Ranking</w:t>
      </w:r>
    </w:p>
    <w:p>
      <w:pPr>
        <w:spacing w:after="30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10 — Correlation of numeric fields with attrition. Longer tenure, higher job level, more experience, higher income, and older age all associate with lower attrition; number of prior companies and distance from home associate with higher attrition.</w:t>
      </w:r>
    </w:p>
    <w:p>
      <w:pPr>
        <w:pStyle w:val="Heading1"/>
        <w:spacing w:after="200" w:before="400"/>
      </w:pPr>
      <w:r>
        <w:t xml:space="preserve">9. Segment Analysis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Higher-risk group</w:t>
            </w:r>
          </w:p>
        </w:tc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Lower-risk group</w:t>
            </w:r>
          </w:p>
        </w:tc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Attrition rate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Overtime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Works overtime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30.5%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No overtime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10.4%</w:t>
            </w:r>
          </w:p>
        </w:tc>
      </w:tr>
      <w:tr>
        <w:tc>
          <w:tcPr>
            <w:tcW w:type="dxa" w:w="2200"/>
            <w:shd w:fill="EDEDED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18–25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35.8%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36–45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9.2%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25.5%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Divorced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10.1%</w:t>
            </w:r>
          </w:p>
        </w:tc>
      </w:tr>
      <w:tr>
        <w:tc>
          <w:tcPr>
            <w:tcW w:type="dxa" w:w="2200"/>
            <w:shd w:fill="EDEDED" w:val="clear"/>
          </w:tcPr>
          <w:p>
            <w:r>
              <w:rPr>
                <w:sz w:val="20"/>
                <w:szCs w:val="20"/>
              </w:rPr>
              <w:t xml:space="preserve">Business Travel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Travel Frequently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24.9%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Non-Travel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Job Role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39.8%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Research Director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200"/>
            <w:shd w:fill="EDEDED" w:val="clear"/>
          </w:tcPr>
          <w:p>
            <w:r>
              <w:rPr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Bad (1)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31.3%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20"/>
                <w:szCs w:val="20"/>
              </w:rPr>
              <w:t xml:space="preserve">Better (3)</w:t>
            </w:r>
          </w:p>
        </w:tc>
        <w:tc>
          <w:tcPr>
            <w:tcW w:type="dxa" w:w="1400"/>
            <w:shd w:fill="EDEDED" w:val="clear"/>
          </w:tcPr>
          <w:p>
            <w:r>
              <w:rPr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Job Satisfaction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Low (1)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22.8%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Very High (4)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11.3%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EDA Report — Employee Attrition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78d1f228ebf454f8ba715f62ba61f54162fc2a.png"/><Relationship Id="rId10" Type="http://schemas.openxmlformats.org/officeDocument/2006/relationships/image" Target="media/58ccf8fda94a242e36e7fe19ffc7e921103f7373.png"/><Relationship Id="rId11" Type="http://schemas.openxmlformats.org/officeDocument/2006/relationships/image" Target="media/40dcd5722898de8075b10fcbea4164b40c25e326.png"/><Relationship Id="rId12" Type="http://schemas.openxmlformats.org/officeDocument/2006/relationships/image" Target="media/03f54ee72904f92579cb085893003e18171f4d6d.png"/><Relationship Id="rId13" Type="http://schemas.openxmlformats.org/officeDocument/2006/relationships/image" Target="media/c88b83eb4c3538fa08ed74b937e586bd957c71bd.png"/><Relationship Id="rId14" Type="http://schemas.openxmlformats.org/officeDocument/2006/relationships/image" Target="media/0333a946725ba8ee8a4d8232b0a08d5eaa17019f.png"/><Relationship Id="rId15" Type="http://schemas.openxmlformats.org/officeDocument/2006/relationships/image" Target="media/0a786854b7bf650438e24645fd96251d96b32234.png"/><Relationship Id="rId16" Type="http://schemas.openxmlformats.org/officeDocument/2006/relationships/image" Target="media/e9cf17060c68bbb6892540d6071e417d10c60cca.png"/><Relationship Id="rId17" Type="http://schemas.openxmlformats.org/officeDocument/2006/relationships/image" Target="media/ca404c03ba1743e5907709efd72e38d77497fc0f.png"/><Relationship Id="rId18" Type="http://schemas.openxmlformats.org/officeDocument/2006/relationships/image" Target="media/04888a2deb9dc4dc1cde7eae816aecc1632f327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2026-08-15T06:33:15.320Z</dcterms:created>
  <dcterms:modified xsi:type="dcterms:W3CDTF">2026-08-15T06:33:15.320Z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