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80BB" w14:textId="77777777" w:rsidR="00CB219F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color w:val="1A2E4A"/>
          <w:sz w:val="28"/>
          <w:szCs w:val="28"/>
        </w:rPr>
        <w:t>Methodology Flowchart for the 50 MW Offshore Power-to-Ammonia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4185B3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4A90C4"/>
              <w:left w:val="single" w:sz="12" w:space="0" w:color="4A90C4"/>
              <w:bottom w:val="single" w:sz="12" w:space="0" w:color="4A90C4"/>
              <w:right w:val="single" w:sz="12" w:space="0" w:color="4A90C4"/>
            </w:tcBorders>
            <w:shd w:val="clear" w:color="auto" w:fill="D6E8F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5CF85907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1. Define research problem &amp; objectives</w:t>
            </w:r>
          </w:p>
          <w:p w14:paraId="3E7C4C3E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5276"/>
                <w:sz w:val="18"/>
                <w:szCs w:val="18"/>
              </w:rPr>
              <w:t>Set the scope and goals of the study</w:t>
            </w:r>
          </w:p>
        </w:tc>
      </w:tr>
    </w:tbl>
    <w:p w14:paraId="41379838" w14:textId="77777777" w:rsidR="00CB219F" w:rsidRDefault="00000000">
      <w:pPr>
        <w:spacing w:before="40"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555B57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AE82"/>
              <w:left w:val="single" w:sz="12" w:space="0" w:color="2EAE82"/>
              <w:bottom w:val="single" w:sz="12" w:space="0" w:color="2EAE82"/>
              <w:right w:val="single" w:sz="12" w:space="0" w:color="2EAE82"/>
            </w:tcBorders>
            <w:shd w:val="clear" w:color="auto" w:fill="D5F0E8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CD77224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B5345"/>
                <w:sz w:val="22"/>
                <w:szCs w:val="22"/>
              </w:rPr>
              <w:t>2. Select electrolyser technology</w:t>
            </w:r>
          </w:p>
          <w:p w14:paraId="404281BB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color w:val="0B5345"/>
                <w:sz w:val="18"/>
                <w:szCs w:val="18"/>
              </w:rPr>
              <w:t>Compare AWE, PEM &amp; SOEC → select PEM for offshore wind</w:t>
            </w:r>
          </w:p>
          <w:p w14:paraId="5277B4AE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0B5345"/>
                <w:sz w:val="18"/>
                <w:szCs w:val="18"/>
              </w:rPr>
              <w:t>Best dynamic response and compactness</w:t>
            </w:r>
          </w:p>
        </w:tc>
      </w:tr>
    </w:tbl>
    <w:p w14:paraId="2C3B4625" w14:textId="77777777" w:rsidR="00CB219F" w:rsidRDefault="00000000">
      <w:pPr>
        <w:spacing w:before="40"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710526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AE82"/>
              <w:left w:val="single" w:sz="12" w:space="0" w:color="2EAE82"/>
              <w:bottom w:val="single" w:sz="12" w:space="0" w:color="2EAE82"/>
              <w:right w:val="single" w:sz="12" w:space="0" w:color="2EAE82"/>
            </w:tcBorders>
            <w:shd w:val="clear" w:color="auto" w:fill="D5F0E8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78FEC591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B5345"/>
                <w:sz w:val="22"/>
                <w:szCs w:val="22"/>
              </w:rPr>
              <w:t>3. Set 50 MW design basis</w:t>
            </w:r>
          </w:p>
          <w:p w14:paraId="60EE3A7E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color w:val="0B5345"/>
                <w:sz w:val="18"/>
                <w:szCs w:val="18"/>
              </w:rPr>
              <w:t>50% capacity factor → 25 MW available to PEM</w:t>
            </w:r>
          </w:p>
          <w:p w14:paraId="2E46E67D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0B5345"/>
                <w:sz w:val="18"/>
                <w:szCs w:val="18"/>
              </w:rPr>
              <w:t>Offshore wind intermittency accounted for</w:t>
            </w:r>
          </w:p>
        </w:tc>
      </w:tr>
    </w:tbl>
    <w:p w14:paraId="6DAD39D7" w14:textId="77777777" w:rsidR="00CB219F" w:rsidRDefault="00000000">
      <w:pPr>
        <w:spacing w:before="40"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36D999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8E6BBF"/>
              <w:left w:val="single" w:sz="12" w:space="0" w:color="8E6BBF"/>
              <w:bottom w:val="single" w:sz="12" w:space="0" w:color="8E6BBF"/>
              <w:right w:val="single" w:sz="12" w:space="0" w:color="8E6BBF"/>
            </w:tcBorders>
            <w:shd w:val="clear" w:color="auto" w:fill="E8E0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2990EB10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4A235A"/>
                <w:sz w:val="22"/>
                <w:szCs w:val="22"/>
              </w:rPr>
              <w:t>4. Build Aspen Plus process model</w:t>
            </w:r>
          </w:p>
          <w:p w14:paraId="37968554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color w:val="4A235A"/>
                <w:sz w:val="18"/>
                <w:szCs w:val="18"/>
              </w:rPr>
              <w:t>Water treatment → PEM electrolysis</w:t>
            </w:r>
          </w:p>
          <w:p w14:paraId="2485AA0E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4A235A"/>
                <w:sz w:val="18"/>
                <w:szCs w:val="18"/>
              </w:rPr>
              <w:t>N₂ supply → NH₃ synthesis (Haber–Bosch)</w:t>
            </w:r>
          </w:p>
        </w:tc>
      </w:tr>
    </w:tbl>
    <w:p w14:paraId="54F3E853" w14:textId="77777777" w:rsidR="00CB219F" w:rsidRDefault="00000000">
      <w:pPr>
        <w:spacing w:before="40"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5C0E6A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8E6BBF"/>
              <w:left w:val="single" w:sz="12" w:space="0" w:color="8E6BBF"/>
              <w:bottom w:val="single" w:sz="12" w:space="0" w:color="8E6BBF"/>
              <w:right w:val="single" w:sz="12" w:space="0" w:color="8E6BBF"/>
            </w:tcBorders>
            <w:shd w:val="clear" w:color="auto" w:fill="E8E0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2C24AB52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4A235A"/>
                <w:sz w:val="22"/>
                <w:szCs w:val="22"/>
              </w:rPr>
              <w:t>5. Mass &amp; energy balance</w:t>
            </w:r>
          </w:p>
          <w:p w14:paraId="15CD233C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color w:val="4A235A"/>
                <w:sz w:val="18"/>
                <w:szCs w:val="18"/>
              </w:rPr>
              <w:t>H₂ production = 500 kg/h</w:t>
            </w:r>
          </w:p>
          <w:p w14:paraId="79CD8258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4A235A"/>
                <w:sz w:val="18"/>
                <w:szCs w:val="18"/>
              </w:rPr>
              <w:t>NH₃ output ≈ 20 t/day</w:t>
            </w:r>
          </w:p>
        </w:tc>
      </w:tr>
    </w:tbl>
    <w:p w14:paraId="30090BC9" w14:textId="77777777" w:rsidR="00CB219F" w:rsidRDefault="00000000">
      <w:pPr>
        <w:spacing w:before="40"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3A2E4C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E07050"/>
              <w:left w:val="single" w:sz="12" w:space="0" w:color="E07050"/>
              <w:bottom w:val="single" w:sz="12" w:space="0" w:color="E07050"/>
              <w:right w:val="single" w:sz="12" w:space="0" w:color="E07050"/>
            </w:tcBorders>
            <w:shd w:val="clear" w:color="auto" w:fill="FAE0D8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615FB87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22"/>
                <w:szCs w:val="22"/>
              </w:rPr>
              <w:t>6. Include parasitic loads</w:t>
            </w:r>
          </w:p>
          <w:p w14:paraId="745F5E41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color w:val="922B21"/>
                <w:sz w:val="18"/>
                <w:szCs w:val="18"/>
              </w:rPr>
              <w:t>Water treatment, compression, N₂ supply</w:t>
            </w:r>
          </w:p>
          <w:p w14:paraId="09AFD941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922B21"/>
                <w:sz w:val="18"/>
                <w:szCs w:val="18"/>
              </w:rPr>
              <w:t>NH₃ liquefaction &amp; auxiliary systems</w:t>
            </w:r>
          </w:p>
        </w:tc>
      </w:tr>
    </w:tbl>
    <w:p w14:paraId="1D466664" w14:textId="77777777" w:rsidR="00CB219F" w:rsidRDefault="00000000">
      <w:pPr>
        <w:spacing w:before="40"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244141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E08B30"/>
              <w:left w:val="single" w:sz="12" w:space="0" w:color="E08B30"/>
              <w:bottom w:val="single" w:sz="12" w:space="0" w:color="E08B30"/>
              <w:right w:val="single" w:sz="12" w:space="0" w:color="E08B30"/>
            </w:tcBorders>
            <w:shd w:val="clear" w:color="auto" w:fill="FDE9C8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30D2CA18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7D4A00"/>
                <w:sz w:val="22"/>
                <w:szCs w:val="22"/>
              </w:rPr>
              <w:t>7. Techno-economic analysis (TEA)</w:t>
            </w:r>
          </w:p>
          <w:p w14:paraId="219FC44D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color w:val="7D4A00"/>
                <w:sz w:val="18"/>
                <w:szCs w:val="18"/>
              </w:rPr>
              <w:t>CAPEX, OPEX &amp; levelised cost of ammonia (LCOA)</w:t>
            </w:r>
          </w:p>
          <w:p w14:paraId="093A7FB0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7D4A00"/>
                <w:sz w:val="18"/>
                <w:szCs w:val="18"/>
              </w:rPr>
              <w:t>Payback period &amp; investment feasibility</w:t>
            </w:r>
          </w:p>
        </w:tc>
      </w:tr>
    </w:tbl>
    <w:p w14:paraId="76891E64" w14:textId="77777777" w:rsidR="00CB219F" w:rsidRDefault="00000000">
      <w:pPr>
        <w:spacing w:before="40"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B219F" w14:paraId="7CDB29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5DAA50"/>
              <w:left w:val="single" w:sz="12" w:space="0" w:color="5DAA50"/>
              <w:bottom w:val="single" w:sz="12" w:space="0" w:color="5DAA50"/>
              <w:right w:val="single" w:sz="12" w:space="0" w:color="5DAA50"/>
            </w:tcBorders>
            <w:shd w:val="clear" w:color="auto" w:fill="D9EDD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55FD160" w14:textId="77777777" w:rsidR="00CB219F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A5E20"/>
                <w:sz w:val="22"/>
                <w:szCs w:val="22"/>
              </w:rPr>
              <w:t>8. Sensitivity analysis &amp; validation</w:t>
            </w:r>
          </w:p>
          <w:p w14:paraId="47F00AB2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color w:val="1A5E20"/>
                <w:sz w:val="18"/>
                <w:szCs w:val="18"/>
              </w:rPr>
              <w:t>Test key variables: capacity factor, electrolyser efficiency</w:t>
            </w:r>
          </w:p>
          <w:p w14:paraId="5ED718B1" w14:textId="77777777" w:rsidR="00CB219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5E20"/>
                <w:sz w:val="18"/>
                <w:szCs w:val="18"/>
              </w:rPr>
              <w:t>Check outputs against assumptions &amp; literature</w:t>
            </w:r>
          </w:p>
        </w:tc>
      </w:tr>
    </w:tbl>
    <w:p w14:paraId="7EE0503A" w14:textId="77777777" w:rsidR="00CB219F" w:rsidRDefault="00000000">
      <w:pPr>
        <w:spacing w:before="200" w:after="120"/>
        <w:jc w:val="center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>The flow shows how the methodology moves from problem definition to modelling, TEA and sensitivity testing.</w:t>
      </w:r>
    </w:p>
    <w:p w14:paraId="7E72B355" w14:textId="77777777" w:rsidR="00CB219F" w:rsidRDefault="00000000">
      <w:pPr>
        <w:spacing w:before="120" w:after="80"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>Legend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1505"/>
        <w:gridCol w:w="1504"/>
        <w:gridCol w:w="1504"/>
        <w:gridCol w:w="1504"/>
        <w:gridCol w:w="1504"/>
      </w:tblGrid>
      <w:tr w:rsidR="00CB219F" w14:paraId="36160183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8" w:space="0" w:color="4A90C4"/>
              <w:left w:val="single" w:sz="8" w:space="0" w:color="4A90C4"/>
              <w:bottom w:val="single" w:sz="8" w:space="0" w:color="4A90C4"/>
              <w:right w:val="single" w:sz="8" w:space="0" w:color="4A90C4"/>
            </w:tcBorders>
            <w:shd w:val="clear" w:color="auto" w:fill="D6E8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6C43C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6"/>
                <w:szCs w:val="16"/>
              </w:rPr>
              <w:t>Scoping</w:t>
            </w:r>
          </w:p>
        </w:tc>
        <w:tc>
          <w:tcPr>
            <w:tcW w:w="1504" w:type="dxa"/>
            <w:tcBorders>
              <w:top w:val="single" w:sz="8" w:space="0" w:color="2EAE82"/>
              <w:left w:val="single" w:sz="8" w:space="0" w:color="2EAE82"/>
              <w:bottom w:val="single" w:sz="8" w:space="0" w:color="2EAE82"/>
              <w:right w:val="single" w:sz="8" w:space="0" w:color="2EAE82"/>
            </w:tcBorders>
            <w:shd w:val="clear" w:color="auto" w:fill="D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EB1E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5345"/>
                <w:sz w:val="16"/>
                <w:szCs w:val="16"/>
              </w:rPr>
              <w:t>Technology &amp; design</w:t>
            </w:r>
          </w:p>
        </w:tc>
        <w:tc>
          <w:tcPr>
            <w:tcW w:w="1504" w:type="dxa"/>
            <w:tcBorders>
              <w:top w:val="single" w:sz="8" w:space="0" w:color="8E6BBF"/>
              <w:left w:val="single" w:sz="8" w:space="0" w:color="8E6BBF"/>
              <w:bottom w:val="single" w:sz="8" w:space="0" w:color="8E6BBF"/>
              <w:right w:val="single" w:sz="8" w:space="0" w:color="8E6BBF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2B604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235A"/>
                <w:sz w:val="16"/>
                <w:szCs w:val="16"/>
              </w:rPr>
              <w:t>Modelling</w:t>
            </w:r>
          </w:p>
        </w:tc>
        <w:tc>
          <w:tcPr>
            <w:tcW w:w="1504" w:type="dxa"/>
            <w:tcBorders>
              <w:top w:val="single" w:sz="8" w:space="0" w:color="E07050"/>
              <w:left w:val="single" w:sz="8" w:space="0" w:color="E07050"/>
              <w:bottom w:val="single" w:sz="8" w:space="0" w:color="E07050"/>
              <w:right w:val="single" w:sz="8" w:space="0" w:color="E07050"/>
            </w:tcBorders>
            <w:shd w:val="clear" w:color="auto" w:fill="FAE0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824F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6"/>
                <w:szCs w:val="16"/>
              </w:rPr>
              <w:t>Energy loads</w:t>
            </w:r>
          </w:p>
        </w:tc>
        <w:tc>
          <w:tcPr>
            <w:tcW w:w="1504" w:type="dxa"/>
            <w:tcBorders>
              <w:top w:val="single" w:sz="8" w:space="0" w:color="E08B30"/>
              <w:left w:val="single" w:sz="8" w:space="0" w:color="E08B30"/>
              <w:bottom w:val="single" w:sz="8" w:space="0" w:color="E08B30"/>
              <w:right w:val="single" w:sz="8" w:space="0" w:color="E08B30"/>
            </w:tcBorders>
            <w:shd w:val="clear" w:color="auto" w:fill="FDE9C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CD5C8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4A00"/>
                <w:sz w:val="16"/>
                <w:szCs w:val="16"/>
              </w:rPr>
              <w:t>Economics</w:t>
            </w:r>
          </w:p>
        </w:tc>
        <w:tc>
          <w:tcPr>
            <w:tcW w:w="1504" w:type="dxa"/>
            <w:tcBorders>
              <w:top w:val="single" w:sz="8" w:space="0" w:color="5DAA50"/>
              <w:left w:val="single" w:sz="8" w:space="0" w:color="5DAA50"/>
              <w:bottom w:val="single" w:sz="8" w:space="0" w:color="5DAA50"/>
              <w:right w:val="single" w:sz="8" w:space="0" w:color="5DAA50"/>
            </w:tcBorders>
            <w:shd w:val="clear" w:color="auto" w:fill="D9EDD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245A0" w14:textId="77777777" w:rsidR="00CB21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E20"/>
                <w:sz w:val="16"/>
                <w:szCs w:val="16"/>
              </w:rPr>
              <w:t>Validation</w:t>
            </w:r>
          </w:p>
        </w:tc>
      </w:tr>
    </w:tbl>
    <w:p w14:paraId="0544D822" w14:textId="77777777" w:rsidR="009520B1" w:rsidRDefault="009520B1"/>
    <w:sectPr w:rsidR="009520B1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96A"/>
    <w:multiLevelType w:val="hybridMultilevel"/>
    <w:tmpl w:val="C3AC2AC6"/>
    <w:lvl w:ilvl="0" w:tplc="5C30F944">
      <w:start w:val="1"/>
      <w:numFmt w:val="bullet"/>
      <w:lvlText w:val="●"/>
      <w:lvlJc w:val="left"/>
      <w:pPr>
        <w:ind w:left="720" w:hanging="360"/>
      </w:pPr>
    </w:lvl>
    <w:lvl w:ilvl="1" w:tplc="36B2B94A">
      <w:start w:val="1"/>
      <w:numFmt w:val="bullet"/>
      <w:lvlText w:val="○"/>
      <w:lvlJc w:val="left"/>
      <w:pPr>
        <w:ind w:left="1440" w:hanging="360"/>
      </w:pPr>
    </w:lvl>
    <w:lvl w:ilvl="2" w:tplc="BA806ADA">
      <w:start w:val="1"/>
      <w:numFmt w:val="bullet"/>
      <w:lvlText w:val="■"/>
      <w:lvlJc w:val="left"/>
      <w:pPr>
        <w:ind w:left="2160" w:hanging="360"/>
      </w:pPr>
    </w:lvl>
    <w:lvl w:ilvl="3" w:tplc="8B62D028">
      <w:start w:val="1"/>
      <w:numFmt w:val="bullet"/>
      <w:lvlText w:val="●"/>
      <w:lvlJc w:val="left"/>
      <w:pPr>
        <w:ind w:left="2880" w:hanging="360"/>
      </w:pPr>
    </w:lvl>
    <w:lvl w:ilvl="4" w:tplc="23A837B8">
      <w:start w:val="1"/>
      <w:numFmt w:val="bullet"/>
      <w:lvlText w:val="○"/>
      <w:lvlJc w:val="left"/>
      <w:pPr>
        <w:ind w:left="3600" w:hanging="360"/>
      </w:pPr>
    </w:lvl>
    <w:lvl w:ilvl="5" w:tplc="ED76645A">
      <w:start w:val="1"/>
      <w:numFmt w:val="bullet"/>
      <w:lvlText w:val="■"/>
      <w:lvlJc w:val="left"/>
      <w:pPr>
        <w:ind w:left="4320" w:hanging="360"/>
      </w:pPr>
    </w:lvl>
    <w:lvl w:ilvl="6" w:tplc="532C19A2">
      <w:start w:val="1"/>
      <w:numFmt w:val="bullet"/>
      <w:lvlText w:val="●"/>
      <w:lvlJc w:val="left"/>
      <w:pPr>
        <w:ind w:left="5040" w:hanging="360"/>
      </w:pPr>
    </w:lvl>
    <w:lvl w:ilvl="7" w:tplc="C874913A">
      <w:start w:val="1"/>
      <w:numFmt w:val="bullet"/>
      <w:lvlText w:val="●"/>
      <w:lvlJc w:val="left"/>
      <w:pPr>
        <w:ind w:left="5760" w:hanging="360"/>
      </w:pPr>
    </w:lvl>
    <w:lvl w:ilvl="8" w:tplc="F3E2C7EC">
      <w:start w:val="1"/>
      <w:numFmt w:val="bullet"/>
      <w:lvlText w:val="●"/>
      <w:lvlJc w:val="left"/>
      <w:pPr>
        <w:ind w:left="6480" w:hanging="360"/>
      </w:pPr>
    </w:lvl>
  </w:abstractNum>
  <w:num w:numId="1" w16cid:durableId="95254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19F"/>
    <w:rsid w:val="000E3284"/>
    <w:rsid w:val="009520B1"/>
    <w:rsid w:val="00CB219F"/>
    <w:rsid w:val="00EA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9E507"/>
  <w15:docId w15:val="{F8D9851F-D6C4-AC48-A73E-2067FBA5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Munib, Syed Yousaf (PG/T - Chemistry &amp; Chem Eng)</cp:lastModifiedBy>
  <cp:revision>2</cp:revision>
  <dcterms:created xsi:type="dcterms:W3CDTF">2026-05-30T17:34:00Z</dcterms:created>
  <dcterms:modified xsi:type="dcterms:W3CDTF">2026-05-30T17:34:00Z</dcterms:modified>
</cp:coreProperties>
</file>