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EnterpriseHR AI Assistant</w:t>
      </w:r>
    </w:p>
    <w:p>
      <w:pPr>
        <w:jc w:val="center"/>
      </w:pPr>
      <w:r>
        <w:rPr>
          <w:b/>
          <w:sz w:val="28"/>
        </w:rPr>
        <w:t>Architecture &amp; Engineering Documentation</w:t>
      </w:r>
    </w:p>
    <w:p>
      <w:pPr>
        <w:jc w:val="center"/>
      </w:pPr>
      <w:r>
        <w:rPr>
          <w:i/>
          <w:sz w:val="20"/>
        </w:rPr>
        <w:t>Version 1.0 | Development Complete</w:t>
      </w:r>
    </w:p>
    <w:p/>
    <w:p>
      <w:pPr>
        <w:pStyle w:val="Heading1"/>
      </w:pPr>
      <w:r>
        <w:t>1. Purpose and Scope</w:t>
      </w:r>
    </w:p>
    <w:p>
      <w:r>
        <w:t>EnterpriseHR AI Assistant is a production-style portfolio implementation of a secure enterprise HR assistant. It supports natural-language questions over internal HR policy documents and selected structured employee data. The system was intentionally designed beyond a basic PDF chatbot: retrieval, authorization, tool access, conversation persistence, evaluation, observability, and failure handling are explicit application concerns.</w:t>
      </w:r>
    </w:p>
    <w:p>
      <w:r>
        <w:t>The V1 deployment is local/on-premises where practical. SQL Server, document processing, retrieval, application logic, and persistence run locally; the language model and embedding model are accessed through a secure external API.</w:t>
      </w:r>
    </w:p>
    <w:p>
      <w:pPr>
        <w:pStyle w:val="Heading1"/>
      </w:pPr>
      <w:r>
        <w:t>2. Design Objectives</w:t>
      </w:r>
    </w:p>
    <w:p>
      <w:pPr>
        <w:pStyle w:val="ListBullet"/>
      </w:pPr>
      <w:r>
        <w:t>Ground policy answers in authoritative HR documents and return traceable citations.</w:t>
      </w:r>
    </w:p>
    <w:p>
      <w:pPr>
        <w:pStyle w:val="ListBullet"/>
      </w:pPr>
      <w:r>
        <w:t>Combine unstructured document knowledge with authenticated structured employee data.</w:t>
      </w:r>
    </w:p>
    <w:p>
      <w:pPr>
        <w:pStyle w:val="ListBullet"/>
      </w:pPr>
      <w:r>
        <w:t>Prevent restricted content from reaching unauthorized users or the LLM.</w:t>
      </w:r>
    </w:p>
    <w:p>
      <w:pPr>
        <w:pStyle w:val="ListBullet"/>
      </w:pPr>
      <w:r>
        <w:t>Expose narrow application capabilities to the model instead of raw SQL or unrestricted data access.</w:t>
      </w:r>
    </w:p>
    <w:p>
      <w:pPr>
        <w:pStyle w:val="ListBullet"/>
      </w:pPr>
      <w:r>
        <w:t>Bound agent behavior with tool allowlists, execution limits, and search limits.</w:t>
      </w:r>
    </w:p>
    <w:p>
      <w:pPr>
        <w:pStyle w:val="ListBullet"/>
      </w:pPr>
      <w:r>
        <w:t>Persist conversations and support contextual follow-up questions.</w:t>
      </w:r>
    </w:p>
    <w:p>
      <w:pPr>
        <w:pStyle w:val="ListBullet"/>
      </w:pPr>
      <w:r>
        <w:t>Measure retrieval, RAG, conversation, routing, citation, security, token, and cost behavior.</w:t>
      </w:r>
    </w:p>
    <w:p>
      <w:pPr>
        <w:pStyle w:val="ListBullet"/>
      </w:pPr>
      <w:r>
        <w:t>Keep the portfolio architecture understandable and portable without unnecessary cloud infrastructure.</w:t>
      </w:r>
    </w:p>
    <w:p>
      <w:pPr>
        <w:pStyle w:val="Heading1"/>
        <w:keepNext/>
        <w:pageBreakBefore/>
      </w:pPr>
      <w:r>
        <w:t>3. System Context</w:t>
      </w:r>
    </w:p>
    <w:p>
      <w:pPr>
        <w:spacing w:before="80" w:after="160"/>
        <w:ind w:left="360"/>
      </w:pPr>
      <w:r>
        <w:rPr>
          <w:rFonts w:ascii="Consolas" w:hAnsi="Consolas"/>
          <w:sz w:val="17"/>
        </w:rPr>
        <w:t>Employee</w:t>
        <w:br/>
        <w:t xml:space="preserve">   |</w:t>
        <w:br/>
        <w:t xml:space="preserve">   v</w:t>
        <w:br/>
        <w:t>EnterpriseHR.Console</w:t>
        <w:br/>
        <w:t xml:space="preserve">   |</w:t>
        <w:br/>
        <w:t xml:space="preserve">   | HTTP / JSON</w:t>
        <w:br/>
        <w:t xml:space="preserve">   v</w:t>
        <w:br/>
        <w:t>EnterpriseHR.Api</w:t>
        <w:br/>
        <w:t xml:space="preserve">   |</w:t>
        <w:br/>
        <w:t xml:space="preserve">   +--&gt; Authentication / Authorization</w:t>
        <w:br/>
        <w:t xml:space="preserve">   +--&gt; Validation / ProblemDetails</w:t>
        <w:br/>
        <w:t xml:space="preserve">   |</w:t>
        <w:br/>
        <w:t xml:space="preserve">   v</w:t>
        <w:br/>
        <w:t>HrAssistantService</w:t>
        <w:br/>
        <w:t xml:space="preserve">   |</w:t>
        <w:br/>
        <w:t xml:space="preserve">   +--&gt; EmployeeProfileTool --&gt; SQL Server</w:t>
        <w:br/>
        <w:t xml:space="preserve">   |</w:t>
        <w:br/>
        <w:t xml:space="preserve">   +--&gt; HrPolicySearchTool --&gt; Hybrid Retrieval --&gt; Authorized HR Documents</w:t>
        <w:br/>
        <w:t xml:space="preserve">   |</w:t>
        <w:br/>
        <w:t xml:space="preserve">   v</w:t>
        <w:br/>
        <w:t>GPT-5-mini</w:t>
        <w:br/>
        <w:t xml:space="preserve">   |</w:t>
        <w:br/>
        <w:t xml:space="preserve">   v</w:t>
        <w:br/>
        <w:t>Grounded Answer + Citations</w:t>
        <w:br/>
        <w:t xml:space="preserve">   |</w:t>
        <w:br/>
        <w:t xml:space="preserve">   +--&gt; Conversation Persistence</w:t>
        <w:br/>
        <w:t xml:space="preserve">   +--&gt; Token / Cost Reporting</w:t>
      </w:r>
    </w:p>
    <w:p>
      <w:r>
        <w:t>The console client is intentionally simple. It is a demonstration surface rather than a second application architecture. All substantive AI, security, retrieval, and persistence behavior remains behind the API.</w:t>
      </w:r>
    </w:p>
    <w:p>
      <w:pPr>
        <w:pStyle w:val="Heading1"/>
      </w:pPr>
      <w:r>
        <w:t>4. Solution Components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Project</w:t>
            </w:r>
          </w:p>
        </w:tc>
        <w:tc>
          <w:tcPr>
            <w:tcW w:type="dxa" w:w="3312"/>
          </w:tcPr>
          <w:p>
            <w:r>
              <w:t>Responsibility</w:t>
            </w:r>
          </w:p>
        </w:tc>
        <w:tc>
          <w:tcPr>
            <w:tcW w:type="dxa" w:w="3312"/>
          </w:tcPr>
          <w:p>
            <w:r>
              <w:t>Key Concerns</w:t>
            </w:r>
          </w:p>
        </w:tc>
      </w:tr>
      <w:tr>
        <w:tc>
          <w:tcPr>
            <w:tcW w:type="dxa" w:w="3312"/>
            <w:vAlign w:val="top"/>
          </w:tcPr>
          <w:p>
            <w:r>
              <w:t>EnterpriseHR.Api</w:t>
            </w:r>
          </w:p>
        </w:tc>
        <w:tc>
          <w:tcPr>
            <w:tcW w:type="dxa" w:w="3312"/>
            <w:vAlign w:val="top"/>
          </w:tcPr>
          <w:p>
            <w:r>
              <w:t>HTTP application boundary</w:t>
            </w:r>
          </w:p>
        </w:tc>
        <w:tc>
          <w:tcPr>
            <w:tcW w:type="dxa" w:w="3312"/>
            <w:vAlign w:val="top"/>
          </w:tcPr>
          <w:p>
            <w:r>
              <w:t>Endpoints, auth, authorization, validation, ProblemDetails, configuration</w:t>
            </w:r>
          </w:p>
        </w:tc>
      </w:tr>
      <w:tr>
        <w:tc>
          <w:tcPr>
            <w:tcW w:type="dxa" w:w="3312"/>
            <w:vAlign w:val="top"/>
          </w:tcPr>
          <w:p>
            <w:r>
              <w:t>EnterpriseHR.Core</w:t>
            </w:r>
          </w:p>
        </w:tc>
        <w:tc>
          <w:tcPr>
            <w:tcW w:type="dxa" w:w="3312"/>
            <w:vAlign w:val="top"/>
          </w:tcPr>
          <w:p>
            <w:r>
              <w:t>Domain and contracts</w:t>
            </w:r>
          </w:p>
        </w:tc>
        <w:tc>
          <w:tcPr>
            <w:tcW w:type="dxa" w:w="3312"/>
            <w:vAlign w:val="top"/>
          </w:tcPr>
          <w:p>
            <w:r>
              <w:t>Entities, interfaces, models, evaluation contracts, exceptions</w:t>
            </w:r>
          </w:p>
        </w:tc>
      </w:tr>
      <w:tr>
        <w:tc>
          <w:tcPr>
            <w:tcW w:type="dxa" w:w="3312"/>
            <w:vAlign w:val="top"/>
          </w:tcPr>
          <w:p>
            <w:r>
              <w:t>EnterpriseHR.Infrastructure</w:t>
            </w:r>
          </w:p>
        </w:tc>
        <w:tc>
          <w:tcPr>
            <w:tcW w:type="dxa" w:w="3312"/>
            <w:vAlign w:val="top"/>
          </w:tcPr>
          <w:p>
            <w:r>
              <w:t>Technical implementations</w:t>
            </w:r>
          </w:p>
        </w:tc>
        <w:tc>
          <w:tcPr>
            <w:tcW w:type="dxa" w:w="3312"/>
            <w:vAlign w:val="top"/>
          </w:tcPr>
          <w:p>
            <w:r>
              <w:t>EF Core, SQL, ingestion, embeddings, retrieval, RAG, agent, audit, telemetry</w:t>
            </w:r>
          </w:p>
        </w:tc>
      </w:tr>
      <w:tr>
        <w:tc>
          <w:tcPr>
            <w:tcW w:type="dxa" w:w="3312"/>
            <w:vAlign w:val="top"/>
          </w:tcPr>
          <w:p>
            <w:r>
              <w:t>EnterpriseHR.Console</w:t>
            </w:r>
          </w:p>
        </w:tc>
        <w:tc>
          <w:tcPr>
            <w:tcW w:type="dxa" w:w="3312"/>
            <w:vAlign w:val="top"/>
          </w:tcPr>
          <w:p>
            <w:r>
              <w:t>Interactive demo client</w:t>
            </w:r>
          </w:p>
        </w:tc>
        <w:tc>
          <w:tcPr>
            <w:tcW w:type="dxa" w:w="3312"/>
            <w:vAlign w:val="top"/>
          </w:tcPr>
          <w:p>
            <w:r>
              <w:t>Session creation, chat, citations, token/cost display</w:t>
            </w:r>
          </w:p>
        </w:tc>
      </w:tr>
      <w:tr>
        <w:tc>
          <w:tcPr>
            <w:tcW w:type="dxa" w:w="3312"/>
            <w:vAlign w:val="top"/>
          </w:tcPr>
          <w:p>
            <w:r>
              <w:t>EnterpriseHR.Tests</w:t>
            </w:r>
          </w:p>
        </w:tc>
        <w:tc>
          <w:tcPr>
            <w:tcW w:type="dxa" w:w="3312"/>
            <w:vAlign w:val="top"/>
          </w:tcPr>
          <w:p>
            <w:r>
              <w:t>Automated verification</w:t>
            </w:r>
          </w:p>
        </w:tc>
        <w:tc>
          <w:tcPr>
            <w:tcW w:type="dxa" w:w="3312"/>
            <w:vAlign w:val="top"/>
          </w:tcPr>
          <w:p>
            <w:r>
              <w:t>Unit/integration/functional testing support</w:t>
            </w:r>
          </w:p>
        </w:tc>
      </w:tr>
    </w:tbl>
    <w:p>
      <w:pPr>
        <w:pStyle w:val="Heading1"/>
        <w:keepNext/>
        <w:pageBreakBefore/>
      </w:pPr>
      <w:r>
        <w:t>5. Document Ingestion and Knowledge Preparation</w:t>
      </w:r>
    </w:p>
    <w:p>
      <w:pPr>
        <w:spacing w:before="80" w:after="160"/>
        <w:ind w:left="360"/>
      </w:pPr>
      <w:r>
        <w:rPr>
          <w:rFonts w:ascii="Consolas" w:hAnsi="Consolas"/>
          <w:sz w:val="17"/>
        </w:rPr>
        <w:t>HR PDF</w:t>
        <w:br/>
        <w:t xml:space="preserve">  |</w:t>
        <w:br/>
        <w:t xml:space="preserve">  v</w:t>
        <w:br/>
        <w:t>PdfPig Text Extraction</w:t>
        <w:br/>
        <w:t xml:space="preserve">  |</w:t>
        <w:br/>
        <w:t xml:space="preserve">  v</w:t>
        <w:br/>
        <w:t>Normalization</w:t>
        <w:br/>
        <w:t xml:space="preserve">  |</w:t>
        <w:br/>
        <w:t xml:space="preserve">  v</w:t>
        <w:br/>
        <w:t>Section-Aware Chunking</w:t>
        <w:br/>
        <w:t xml:space="preserve">  |</w:t>
        <w:br/>
        <w:t xml:space="preserve">  +--&gt; Document / Page / Chunk Metadata</w:t>
        <w:br/>
        <w:t xml:space="preserve">  |</w:t>
        <w:br/>
        <w:t xml:space="preserve">  v</w:t>
        <w:br/>
        <w:t>text-embedding-3-small</w:t>
        <w:br/>
        <w:t xml:space="preserve">  |</w:t>
        <w:br/>
        <w:t xml:space="preserve">  v</w:t>
        <w:br/>
        <w:t>SQL Server Persistence</w:t>
      </w:r>
    </w:p>
    <w:p>
      <w:r>
        <w:t>Documents are modeled with metadata such as title, version, effective date, issuing department, policy key, lifecycle status, and access level. Document lifecycle states include Pending, Active, Superseded, and Archived. Employee retrieval is restricted to eligible active content.</w:t>
      </w:r>
    </w:p>
    <w:p>
      <w:pPr>
        <w:pStyle w:val="Heading1"/>
      </w:pPr>
      <w:r>
        <w:t>6. Retrieval Architecture</w:t>
      </w:r>
    </w:p>
    <w:p>
      <w:r>
        <w:t>The policy search path uses hybrid retrieval rather than relying on a single search mechanism. Semantic similarity and SQL Server Full-Text Search produce ranked candidates, and Reciprocal Rank Fusion combines the rankings. Context expansion can add surrounding chunks where needed.</w:t>
      </w:r>
    </w:p>
    <w:p>
      <w:pPr>
        <w:spacing w:before="80" w:after="160"/>
        <w:ind w:left="360"/>
      </w:pPr>
      <w:r>
        <w:rPr>
          <w:rFonts w:ascii="Consolas" w:hAnsi="Consolas"/>
          <w:sz w:val="17"/>
        </w:rPr>
        <w:t>Question</w:t>
        <w:br/>
        <w:t xml:space="preserve">   |</w:t>
        <w:br/>
        <w:t xml:space="preserve">   +--&gt; Semantic Search</w:t>
        <w:br/>
        <w:t xml:space="preserve">   |</w:t>
        <w:br/>
        <w:t xml:space="preserve">   +--&gt; SQL Full-Text Search</w:t>
        <w:br/>
        <w:t xml:space="preserve">             |</w:t>
        <w:br/>
        <w:t xml:space="preserve">             v</w:t>
        <w:br/>
        <w:t xml:space="preserve">     Reciprocal Rank Fusion</w:t>
        <w:br/>
        <w:t xml:space="preserve">             |</w:t>
        <w:br/>
        <w:t xml:space="preserve">             v</w:t>
        <w:br/>
        <w:t xml:space="preserve">     Authorization Filtering</w:t>
        <w:br/>
        <w:t xml:space="preserve">             |</w:t>
        <w:br/>
        <w:t xml:space="preserve">             v</w:t>
        <w:br/>
        <w:t xml:space="preserve">       Context Expansion</w:t>
        <w:br/>
        <w:t xml:space="preserve">             |</w:t>
        <w:br/>
        <w:t xml:space="preserve">             v</w:t>
        <w:br/>
        <w:t xml:space="preserve">      Grounded Context</w:t>
      </w:r>
    </w:p>
    <w:p>
      <w:r>
        <w:t>Authorization filtering is a security boundary. The model is not asked to hide restricted material; unauthorized material is prevented from entering the model context.</w:t>
      </w:r>
    </w:p>
    <w:p>
      <w:pPr>
        <w:pStyle w:val="Heading1"/>
      </w:pPr>
      <w:r>
        <w:t>7. Traditional RAG Pipeline</w:t>
      </w:r>
    </w:p>
    <w:p>
      <w:r>
        <w:t>RagService is retained as a deterministic, fixed RAG pipeline for evaluation and comparison even though the primary chat endpoint now uses the controlled agent workflow.</w:t>
      </w:r>
    </w:p>
    <w:p>
      <w:pPr>
        <w:spacing w:before="80" w:after="160"/>
        <w:ind w:left="360"/>
      </w:pPr>
      <w:r>
        <w:rPr>
          <w:rFonts w:ascii="Consolas" w:hAnsi="Consolas"/>
          <w:sz w:val="17"/>
        </w:rPr>
        <w:t>Question --&gt; Hybrid Search --&gt; Authorized Context --&gt; Prompt --&gt; LLM --&gt; Answer + Citations</w:t>
      </w:r>
    </w:p>
    <w:p>
      <w:pPr>
        <w:pStyle w:val="Heading1"/>
      </w:pPr>
      <w:r>
        <w:t>8. Controlled Agent Workflow</w:t>
      </w:r>
    </w:p>
    <w:p>
      <w:r>
        <w:t>HrAssistantService provides the primary conversational workflow. The model can choose among approved capabilities, while the application remains responsible for authentication, authorization, tool execution, data access, and execution limits.</w:t>
      </w:r>
    </w:p>
    <w:p>
      <w:pPr>
        <w:pStyle w:val="Heading2"/>
      </w:pPr>
      <w:r>
        <w:t>8.1 Employee Profile Tool</w:t>
      </w:r>
    </w:p>
    <w:p>
      <w:r>
        <w:t>get_my_employee_profile returns a deliberately narrow view of the currently authenticated employee. The AI cannot choose an arbitrary employee identifier and does not receive database credentials or SQL access.</w:t>
      </w:r>
    </w:p>
    <w:p>
      <w:pPr>
        <w:pStyle w:val="ListBullet"/>
      </w:pPr>
      <w:r>
        <w:t>Employee number</w:t>
      </w:r>
    </w:p>
    <w:p>
      <w:pPr>
        <w:pStyle w:val="ListBullet"/>
      </w:pPr>
      <w:r>
        <w:t>Department</w:t>
      </w:r>
    </w:p>
    <w:p>
      <w:pPr>
        <w:pStyle w:val="ListBullet"/>
      </w:pPr>
      <w:r>
        <w:t>Office schedule</w:t>
      </w:r>
    </w:p>
    <w:p>
      <w:pPr>
        <w:pStyle w:val="ListBullet"/>
      </w:pPr>
      <w:r>
        <w:t>Location</w:t>
      </w:r>
    </w:p>
    <w:p>
      <w:pPr>
        <w:pStyle w:val="ListBullet"/>
      </w:pPr>
      <w:r>
        <w:t>Employment status</w:t>
      </w:r>
    </w:p>
    <w:p>
      <w:pPr>
        <w:pStyle w:val="Heading2"/>
      </w:pPr>
      <w:r>
        <w:t>8.2 HR Policy Search Tool</w:t>
      </w:r>
    </w:p>
    <w:p>
      <w:r>
        <w:t>search_hr_policy wraps the secured hybrid retrieval pipeline. The model supplies search intent only. It cannot specify document access level, arbitrary document IDs, SQL, or file paths.</w:t>
      </w:r>
    </w:p>
    <w:p>
      <w:pPr>
        <w:pStyle w:val="Heading2"/>
      </w:pPr>
      <w:r>
        <w:t>8.3 Agent Boundaries</w:t>
      </w:r>
    </w:p>
    <w:p>
      <w:pPr>
        <w:pStyle w:val="ListBullet"/>
      </w:pPr>
      <w:r>
        <w:t>Only allowlisted tools can execute.</w:t>
      </w:r>
    </w:p>
    <w:p>
      <w:pPr>
        <w:pStyle w:val="ListBullet"/>
      </w:pPr>
      <w:r>
        <w:t>The application enforces a maximum number of tool-calling rounds.</w:t>
      </w:r>
    </w:p>
    <w:p>
      <w:pPr>
        <w:pStyle w:val="ListBullet"/>
      </w:pPr>
      <w:r>
        <w:t>Policy search repetition is limited.</w:t>
      </w:r>
    </w:p>
    <w:p>
      <w:pPr>
        <w:pStyle w:val="ListBullet"/>
      </w:pPr>
      <w:r>
        <w:t>Tool results are returned to the model only after application-side authorization.</w:t>
      </w:r>
    </w:p>
    <w:p>
      <w:pPr>
        <w:pStyle w:val="ListBullet"/>
      </w:pPr>
      <w:r>
        <w:t>Prompt instructions improve behavior but are not treated as security controls.</w:t>
      </w:r>
    </w:p>
    <w:p>
      <w:pPr>
        <w:pStyle w:val="Heading1"/>
      </w:pPr>
      <w:r>
        <w:t>9. Security Architecture</w:t>
      </w:r>
    </w:p>
    <w:p>
      <w:r>
        <w:t>Security is layered so that endpoint access, object ownership, document authorization, and model access are separate concerns.</w:t>
      </w:r>
    </w:p>
    <w:tbl>
      <w:tblPr>
        <w:tblStyle w:val="TableGrid"/>
        <w:tblW w:type="auto" w:w="0"/>
        <w:jc w:val="center"/>
        <w:tblLook w:firstColumn="1" w:firstRow="1" w:lastColumn="0" w:lastRow="0" w:noHBand="0" w:noVBand="1" w:val="04A0"/>
      </w:tblPr>
      <w:tblGrid>
        <w:gridCol w:w="4968"/>
        <w:gridCol w:w="4968"/>
      </w:tblGrid>
      <w:tr>
        <w:tc>
          <w:tcPr>
            <w:tcW w:type="dxa" w:w="4968"/>
          </w:tcPr>
          <w:p>
            <w:r>
              <w:t>Control</w:t>
            </w:r>
          </w:p>
        </w:tc>
        <w:tc>
          <w:tcPr>
            <w:tcW w:type="dxa" w:w="4968"/>
          </w:tcPr>
          <w:p>
            <w:r>
              <w:t>Purpose</w:t>
            </w:r>
          </w:p>
        </w:tc>
      </w:tr>
      <w:tr>
        <w:tc>
          <w:tcPr>
            <w:tcW w:type="dxa" w:w="4968"/>
          </w:tcPr>
          <w:p>
            <w:r>
              <w:t>Authentication</w:t>
            </w:r>
          </w:p>
        </w:tc>
        <w:tc>
          <w:tcPr>
            <w:tcW w:type="dxa" w:w="4968"/>
          </w:tcPr>
          <w:p>
            <w:r>
              <w:t>Establish the application user.</w:t>
            </w:r>
          </w:p>
        </w:tc>
      </w:tr>
      <w:tr>
        <w:tc>
          <w:tcPr>
            <w:tcW w:type="dxa" w:w="4968"/>
          </w:tcPr>
          <w:p>
            <w:r>
              <w:t>Endpoint RBAC</w:t>
            </w:r>
          </w:p>
        </w:tc>
        <w:tc>
          <w:tcPr>
            <w:tcW w:type="dxa" w:w="4968"/>
          </w:tcPr>
          <w:p>
            <w:r>
              <w:t>Determine whether the user may invoke an operation.</w:t>
            </w:r>
          </w:p>
        </w:tc>
      </w:tr>
      <w:tr>
        <w:tc>
          <w:tcPr>
            <w:tcW w:type="dxa" w:w="4968"/>
          </w:tcPr>
          <w:p>
            <w:r>
              <w:t>Object-level access</w:t>
            </w:r>
          </w:p>
        </w:tc>
        <w:tc>
          <w:tcPr>
            <w:tcW w:type="dxa" w:w="4968"/>
          </w:tcPr>
          <w:p>
            <w:r>
              <w:t>Protect sessions, messages, feedback, and employee profile data by authenticated ownership.</w:t>
            </w:r>
          </w:p>
        </w:tc>
      </w:tr>
      <w:tr>
        <w:tc>
          <w:tcPr>
            <w:tcW w:type="dxa" w:w="4968"/>
          </w:tcPr>
          <w:p>
            <w:r>
              <w:t>Document ACL</w:t>
            </w:r>
          </w:p>
        </w:tc>
        <w:tc>
          <w:tcPr>
            <w:tcW w:type="dxa" w:w="4968"/>
          </w:tcPr>
          <w:p>
            <w:r>
              <w:t>Determine which policy documents may participate in retrieval.</w:t>
            </w:r>
          </w:p>
        </w:tc>
      </w:tr>
      <w:tr>
        <w:tc>
          <w:tcPr>
            <w:tcW w:type="dxa" w:w="4968"/>
          </w:tcPr>
          <w:p>
            <w:r>
              <w:t>Authorization before LLM</w:t>
            </w:r>
          </w:p>
        </w:tc>
        <w:tc>
          <w:tcPr>
            <w:tcW w:type="dxa" w:w="4968"/>
          </w:tcPr>
          <w:p>
            <w:r>
              <w:t>Prevent unauthorized content from entering model context.</w:t>
            </w:r>
          </w:p>
        </w:tc>
      </w:tr>
      <w:tr>
        <w:tc>
          <w:tcPr>
            <w:tcW w:type="dxa" w:w="4968"/>
          </w:tcPr>
          <w:p>
            <w:r>
              <w:t>Development auth isolation</w:t>
            </w:r>
          </w:p>
        </w:tc>
        <w:tc>
          <w:tcPr>
            <w:tcW w:type="dxa" w:w="4968"/>
          </w:tcPr>
          <w:p>
            <w:r>
              <w:t>Keep X-Dev-User testing behavior out of production identity design.</w:t>
            </w:r>
          </w:p>
        </w:tc>
      </w:tr>
    </w:tbl>
    <w:p>
      <w:r>
        <w:t>A synthetic restricted HR document was used as a security test. It contained the unique code HR-LEAVE-7421. An Employee user was unable to retrieve or expose that value through the agent, demonstrating that document authorization remained effective even when the model repeatedly searched for the requested information.</w:t>
      </w:r>
    </w:p>
    <w:p>
      <w:pPr>
        <w:pStyle w:val="Heading1"/>
      </w:pPr>
      <w:r>
        <w:t>10. Conversation, Feedback, and Audit</w:t>
      </w:r>
    </w:p>
    <w:p>
      <w:r>
        <w:t>Chat sessions and messages are persisted. The assistant can use prior conversation context for follow-up questions, while previous assistant text is not treated as an authoritative policy source.</w:t>
      </w:r>
    </w:p>
    <w:p>
      <w:r>
        <w:t>Feedback is tied to an assistant message and the authenticated user. Cross-user feedback attempts are rejected. Audit logging records business/security-relevant actions separately from technical telemetry.</w:t>
      </w:r>
    </w:p>
    <w:p>
      <w:pPr>
        <w:pStyle w:val="Heading1"/>
      </w:pPr>
      <w:r>
        <w:t>11. Reliability and Production Hardening</w:t>
      </w:r>
    </w:p>
    <w:p>
      <w:pPr>
        <w:pStyle w:val="ListBullet"/>
      </w:pPr>
      <w:r>
        <w:t>Request validation rejects malformed or oversized chat requests before AI execution.</w:t>
      </w:r>
    </w:p>
    <w:p>
      <w:pPr>
        <w:pStyle w:val="ListBullet"/>
      </w:pPr>
      <w:r>
        <w:t>Centralized exception handling returns safe ProblemDetails responses.</w:t>
      </w:r>
    </w:p>
    <w:p>
      <w:pPr>
        <w:pStyle w:val="ListBullet"/>
      </w:pPr>
      <w:r>
        <w:t>Expected failures are mapped to meaningful HTTP status codes, including 400, 403, 404, 503, and 504.</w:t>
      </w:r>
    </w:p>
    <w:p>
      <w:pPr>
        <w:pStyle w:val="ListBullet"/>
      </w:pPr>
      <w:r>
        <w:t>Unexpected errors return a generic 500 response without exposing stack traces or provider internals.</w:t>
      </w:r>
    </w:p>
    <w:p>
      <w:pPr>
        <w:pStyle w:val="ListBullet"/>
      </w:pPr>
      <w:r>
        <w:t>HTTP cancellation propagates into AI execution.</w:t>
      </w:r>
    </w:p>
    <w:p>
      <w:pPr>
        <w:pStyle w:val="ListBullet"/>
      </w:pPr>
      <w:r>
        <w:t>The agent has a bounded overall processing time.</w:t>
      </w:r>
    </w:p>
    <w:p>
      <w:pPr>
        <w:pStyle w:val="ListBullet"/>
      </w:pPr>
      <w:r>
        <w:t>External model failures are translated into a provider-neutral AiServiceException.</w:t>
      </w:r>
    </w:p>
    <w:p>
      <w:pPr>
        <w:pStyle w:val="ListBullet"/>
      </w:pPr>
      <w:r>
        <w:t>Development authentication is explicitly separated from production identity architecture.</w:t>
      </w:r>
    </w:p>
    <w:p>
      <w:pPr>
        <w:pStyle w:val="ListBullet"/>
      </w:pPr>
      <w:r>
        <w:t>Secrets are kept outside committed application configuration.</w:t>
      </w:r>
    </w:p>
    <w:p>
      <w:pPr>
        <w:pStyle w:val="Heading1"/>
      </w:pPr>
      <w:r>
        <w:t>12. Observability and Cost</w:t>
      </w:r>
    </w:p>
    <w:p>
      <w:r>
        <w:t>OpenTelemetry is used for technical observability. Model usage is accumulated across all LLM calls required to answer a single agent request, which is important because one user question can require multiple reasoning/tool-selection rounds.</w:t>
      </w:r>
    </w:p>
    <w:p>
      <w:pPr>
        <w:spacing w:before="80" w:after="160"/>
        <w:ind w:left="360"/>
      </w:pPr>
      <w:r>
        <w:rPr>
          <w:rFonts w:ascii="Consolas" w:hAnsi="Consolas"/>
          <w:sz w:val="17"/>
        </w:rPr>
        <w:t>Token Usage</w:t>
        <w:br/>
        <w:t>Input Tokens:   3,409</w:t>
        <w:br/>
        <w:t>Output Tokens:    550</w:t>
        <w:br/>
        <w:t>Total Tokens:   3,959</w:t>
        <w:br/>
        <w:t>Estimated Cost: $0.001952</w:t>
      </w:r>
    </w:p>
    <w:p>
      <w:r>
        <w:t>The displayed cost is an estimate based on configured per-million-token rates. Pricing is configuration rather than hard-coded business logic so it can be updated independently.</w:t>
      </w:r>
    </w:p>
    <w:p>
      <w:pPr>
        <w:pStyle w:val="Heading1"/>
      </w:pPr>
      <w:r>
        <w:t>13. Evaluation Strategy</w:t>
      </w:r>
    </w:p>
    <w:p>
      <w:r>
        <w:t>Evaluation was implemented as multiple focused workflows rather than a single accuracy number. This separates retrieval quality, grounded-answer behavior, conversation behavior, agent routing, citation behavior, and security invariants.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Evaluation</w:t>
            </w:r>
          </w:p>
        </w:tc>
        <w:tc>
          <w:tcPr>
            <w:tcW w:type="dxa" w:w="3312"/>
          </w:tcPr>
          <w:p>
            <w:r>
              <w:t>Measured Result</w:t>
            </w:r>
          </w:p>
        </w:tc>
        <w:tc>
          <w:tcPr>
            <w:tcW w:type="dxa" w:w="3312"/>
          </w:tcPr>
          <w:p>
            <w:r>
              <w:t>Interpretation</w:t>
            </w:r>
          </w:p>
        </w:tc>
      </w:tr>
      <w:tr>
        <w:tc>
          <w:tcPr>
            <w:tcW w:type="dxa" w:w="3312"/>
          </w:tcPr>
          <w:p>
            <w:r>
              <w:t>Retrieval</w:t>
            </w:r>
          </w:p>
        </w:tc>
        <w:tc>
          <w:tcPr>
            <w:tcW w:type="dxa" w:w="3312"/>
          </w:tcPr>
          <w:p>
            <w:r>
              <w:t>5/5 defined questions; HitRate@3 1.0; Top-1 1.0; MRR 1.0</w:t>
            </w:r>
          </w:p>
        </w:tc>
        <w:tc>
          <w:tcPr>
            <w:tcW w:type="dxa" w:w="3312"/>
          </w:tcPr>
          <w:p>
            <w:r>
              <w:t>The defined retrieval test set returned expected evidence.</w:t>
            </w:r>
          </w:p>
        </w:tc>
      </w:tr>
      <w:tr>
        <w:tc>
          <w:tcPr>
            <w:tcW w:type="dxa" w:w="3312"/>
          </w:tcPr>
          <w:p>
            <w:r>
              <w:t>Conversation</w:t>
            </w:r>
          </w:p>
        </w:tc>
        <w:tc>
          <w:tcPr>
            <w:tcW w:type="dxa" w:w="3312"/>
          </w:tcPr>
          <w:p>
            <w:r>
              <w:t>3/3 defined turns passed with citations</w:t>
            </w:r>
          </w:p>
        </w:tc>
        <w:tc>
          <w:tcPr>
            <w:tcW w:type="dxa" w:w="3312"/>
          </w:tcPr>
          <w:p>
            <w:r>
              <w:t>Conversation context worked for the tested follow-ups.</w:t>
            </w:r>
          </w:p>
        </w:tc>
      </w:tr>
      <w:tr>
        <w:tc>
          <w:tcPr>
            <w:tcW w:type="dxa" w:w="3312"/>
          </w:tcPr>
          <w:p>
            <w:r>
              <w:t>Agent</w:t>
            </w:r>
          </w:p>
        </w:tc>
        <w:tc>
          <w:tcPr>
            <w:tcW w:type="dxa" w:w="3312"/>
          </w:tcPr>
          <w:p>
            <w:r>
              <w:t>4/4 defined scenarios passed</w:t>
            </w:r>
          </w:p>
        </w:tc>
        <w:tc>
          <w:tcPr>
            <w:tcW w:type="dxa" w:w="3312"/>
          </w:tcPr>
          <w:p>
            <w:r>
              <w:t>Structured routing, policy routing, combined routing, and restricted-content protection behaved as expected.</w:t>
            </w:r>
          </w:p>
        </w:tc>
      </w:tr>
    </w:tbl>
    <w:p>
      <w:r>
        <w:t>These measurements apply to the project's defined evaluation cases. They are not presented as universal model accuracy or a guarantee for unseen questions.</w:t>
      </w:r>
    </w:p>
    <w:p>
      <w:pPr>
        <w:pStyle w:val="Heading1"/>
      </w:pPr>
      <w:r>
        <w:t>14. Final Agent Evaluation Scenarios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Scenario</w:t>
            </w:r>
          </w:p>
        </w:tc>
        <w:tc>
          <w:tcPr>
            <w:tcW w:type="dxa" w:w="3312"/>
          </w:tcPr>
          <w:p>
            <w:r>
              <w:t>Expected Behavior</w:t>
            </w:r>
          </w:p>
        </w:tc>
        <w:tc>
          <w:tcPr>
            <w:tcW w:type="dxa" w:w="3312"/>
          </w:tcPr>
          <w:p>
            <w:r>
              <w:t>Result</w:t>
            </w:r>
          </w:p>
        </w:tc>
      </w:tr>
      <w:tr>
        <w:tc>
          <w:tcPr>
            <w:tcW w:type="dxa" w:w="3312"/>
          </w:tcPr>
          <w:p>
            <w:r>
              <w:t>Employee profile routing</w:t>
            </w:r>
          </w:p>
        </w:tc>
        <w:tc>
          <w:tcPr>
            <w:tcW w:type="dxa" w:w="3312"/>
          </w:tcPr>
          <w:p>
            <w:r>
              <w:t>Use get_my_employee_profile and return Engineering</w:t>
            </w:r>
          </w:p>
        </w:tc>
        <w:tc>
          <w:tcPr>
            <w:tcW w:type="dxa" w:w="3312"/>
          </w:tcPr>
          <w:p>
            <w:r>
              <w:t>PASS</w:t>
            </w:r>
          </w:p>
        </w:tc>
      </w:tr>
      <w:tr>
        <w:tc>
          <w:tcPr>
            <w:tcW w:type="dxa" w:w="3312"/>
          </w:tcPr>
          <w:p>
            <w:r>
              <w:t>Policy routing</w:t>
            </w:r>
          </w:p>
        </w:tc>
        <w:tc>
          <w:tcPr>
            <w:tcW w:type="dxa" w:w="3312"/>
          </w:tcPr>
          <w:p>
            <w:r>
              <w:t>Use search_hr_policy and return policy answer with citation</w:t>
            </w:r>
          </w:p>
        </w:tc>
        <w:tc>
          <w:tcPr>
            <w:tcW w:type="dxa" w:w="3312"/>
          </w:tcPr>
          <w:p>
            <w:r>
              <w:t>PASS</w:t>
            </w:r>
          </w:p>
        </w:tc>
      </w:tr>
      <w:tr>
        <w:tc>
          <w:tcPr>
            <w:tcW w:type="dxa" w:w="3312"/>
          </w:tcPr>
          <w:p>
            <w:r>
              <w:t>Combined structured + policy question</w:t>
            </w:r>
          </w:p>
        </w:tc>
        <w:tc>
          <w:tcPr>
            <w:tcW w:type="dxa" w:w="3312"/>
          </w:tcPr>
          <w:p>
            <w:r>
              <w:t>Use both approved tools</w:t>
            </w:r>
          </w:p>
        </w:tc>
        <w:tc>
          <w:tcPr>
            <w:tcW w:type="dxa" w:w="3312"/>
          </w:tcPr>
          <w:p>
            <w:r>
              <w:t>PASS</w:t>
            </w:r>
          </w:p>
        </w:tc>
      </w:tr>
      <w:tr>
        <w:tc>
          <w:tcPr>
            <w:tcW w:type="dxa" w:w="3312"/>
          </w:tcPr>
          <w:p>
            <w:r>
              <w:t>Restricted policy protection</w:t>
            </w:r>
          </w:p>
        </w:tc>
        <w:tc>
          <w:tcPr>
            <w:tcW w:type="dxa" w:w="3312"/>
          </w:tcPr>
          <w:p>
            <w:r>
              <w:t>Do not expose HR-LEAVE-7421</w:t>
            </w:r>
          </w:p>
        </w:tc>
        <w:tc>
          <w:tcPr>
            <w:tcW w:type="dxa" w:w="3312"/>
          </w:tcPr>
          <w:p>
            <w:r>
              <w:t>PASS</w:t>
            </w:r>
          </w:p>
        </w:tc>
      </w:tr>
    </w:tbl>
    <w:p>
      <w:pPr>
        <w:pStyle w:val="Heading1"/>
      </w:pPr>
      <w:r>
        <w:t>15. Console Demonstration</w:t>
      </w:r>
    </w:p>
    <w:p>
      <w:pPr>
        <w:spacing w:before="80" w:after="160"/>
        <w:ind w:left="360"/>
      </w:pPr>
      <w:r>
        <w:rPr>
          <w:rFonts w:ascii="Consolas" w:hAnsi="Consolas"/>
          <w:sz w:val="17"/>
        </w:rPr>
        <w:t>==================================================</w:t>
        <w:br/>
        <w:t xml:space="preserve">        EnterpriseHR AI Assistant</w:t>
        <w:br/>
        <w:t>==================================================</w:t>
        <w:br/>
        <w:br/>
        <w:t>You: What is the maximum Fitness Centre usage?</w:t>
        <w:br/>
        <w:br/>
        <w:t>Assistant:</w:t>
        <w:br/>
        <w:t>Employees may use the Fitness Centre for a maximum</w:t>
        <w:br/>
        <w:t>of 45 minutes per day.</w:t>
        <w:br/>
        <w:br/>
        <w:t>Sources:</w:t>
        <w:br/>
        <w:t>[1] BJIT Fitness Centre Guidelines, Page 2</w:t>
        <w:br/>
        <w:br/>
        <w:t>--------------------------------------------------</w:t>
        <w:br/>
        <w:t>Token Usage</w:t>
        <w:br/>
        <w:t>Input Tokens:   3,409</w:t>
        <w:br/>
        <w:t>Output Tokens:    550</w:t>
        <w:br/>
        <w:t>Total Tokens:   3,959</w:t>
        <w:br/>
        <w:t>Estimated Cost: $0.001952</w:t>
        <w:br/>
        <w:t>--------------------------------------------------</w:t>
      </w:r>
    </w:p>
    <w:p>
      <w:r>
        <w:t>The console is intentionally minimal. It creates a chat session, reuses that session for follow-up questions, calls the existing API over HTTP, and displays the answer, PDF citations, token counts, and estimated cost.</w:t>
      </w:r>
    </w:p>
    <w:p>
      <w:pPr>
        <w:pStyle w:val="Heading1"/>
      </w:pPr>
      <w:r>
        <w:t>16. API Surface</w:t>
      </w:r>
    </w:p>
    <w:p>
      <w:r>
        <w:t>The current development build intentionally retains engineering endpoints used during implementation and evaluation. The main employee-facing capabilities are chat session creation, chat, conversation messages, and feedback. Engineering endpoints cover document ingestion, chunking, embeddings, activation, retrieval inspection, evaluation, usage, authentication testing, and database testing.</w:t>
      </w:r>
    </w:p>
    <w:p>
      <w:r>
        <w:t>A future production deployment should narrow and separately protect administrative/engineering endpoints rather than exposing the development surface unchanged.</w:t>
      </w:r>
    </w:p>
    <w:p>
      <w:pPr>
        <w:pStyle w:val="Heading1"/>
      </w:pPr>
      <w:r>
        <w:t>17. Production Deployment Considerations</w:t>
      </w:r>
    </w:p>
    <w:p>
      <w:r>
        <w:t>The portfolio build intentionally does not claim to be a deployed production HR system. A production implementation would replace or extend several development choices:</w:t>
      </w:r>
    </w:p>
    <w:p>
      <w:pPr>
        <w:pStyle w:val="ListBullet"/>
      </w:pPr>
      <w:r>
        <w:t>Replace DevelopmentAuthenticationHandler/X-Dev-User with enterprise identity such as Microsoft Entra ID.</w:t>
      </w:r>
    </w:p>
    <w:p>
      <w:pPr>
        <w:pStyle w:val="ListBullet"/>
      </w:pPr>
      <w:r>
        <w:t>Use managed secret storage and production configuration management.</w:t>
      </w:r>
    </w:p>
    <w:p>
      <w:pPr>
        <w:pStyle w:val="ListBullet"/>
      </w:pPr>
      <w:r>
        <w:t>Deploy SQL/search/model connectivity according to organizational network and data-governance requirements.</w:t>
      </w:r>
    </w:p>
    <w:p>
      <w:pPr>
        <w:pStyle w:val="ListBullet"/>
      </w:pPr>
      <w:r>
        <w:t>Apply production authorization to administrative ingestion and evaluation capabilities.</w:t>
      </w:r>
    </w:p>
    <w:p>
      <w:pPr>
        <w:pStyle w:val="ListBullet"/>
      </w:pPr>
      <w:r>
        <w:t>Define retention, privacy, audit, and HR data-governance policies.</w:t>
      </w:r>
    </w:p>
    <w:p>
      <w:pPr>
        <w:pStyle w:val="ListBullet"/>
      </w:pPr>
      <w:r>
        <w:t>Add operational dashboards, alerting, capacity planning, and provider-specific resilience where required.</w:t>
      </w:r>
    </w:p>
    <w:p>
      <w:pPr>
        <w:pStyle w:val="ListBullet"/>
      </w:pPr>
      <w:r>
        <w:t>Perform broader evaluation with representative policies, users, adversarial cases, and acceptance criteria.</w:t>
      </w:r>
    </w:p>
    <w:p>
      <w:pPr>
        <w:pStyle w:val="Heading1"/>
      </w:pPr>
      <w:r>
        <w:t>18. Engineering Decisions and Trade-offs</w:t>
      </w:r>
    </w:p>
    <w:tbl>
      <w:tblPr>
        <w:tblStyle w:val="TableGrid"/>
        <w:tblW w:type="auto" w:w="0"/>
        <w:jc w:val="center"/>
        <w:tblLook w:firstColumn="1" w:firstRow="1" w:lastColumn="0" w:lastRow="0" w:noHBand="0" w:noVBand="1" w:val="04A0"/>
      </w:tblPr>
      <w:tblGrid>
        <w:gridCol w:w="4968"/>
        <w:gridCol w:w="4968"/>
      </w:tblGrid>
      <w:tr>
        <w:tc>
          <w:tcPr>
            <w:tcW w:type="dxa" w:w="4968"/>
          </w:tcPr>
          <w:p>
            <w:r>
              <w:t>Decision</w:t>
            </w:r>
          </w:p>
        </w:tc>
        <w:tc>
          <w:tcPr>
            <w:tcW w:type="dxa" w:w="4968"/>
          </w:tcPr>
          <w:p>
            <w:r>
              <w:t>Rationale</w:t>
            </w:r>
          </w:p>
        </w:tc>
      </w:tr>
      <w:tr>
        <w:tc>
          <w:tcPr>
            <w:tcW w:type="dxa" w:w="4968"/>
          </w:tcPr>
          <w:p>
            <w:r>
              <w:t>SQL Server 2022</w:t>
            </w:r>
          </w:p>
        </w:tc>
        <w:tc>
          <w:tcPr>
            <w:tcW w:type="dxa" w:w="4968"/>
          </w:tcPr>
          <w:p>
            <w:r>
              <w:t>Used existing relational/FTS capabilities and stored embeddings without requiring another vector database for the portfolio scale.</w:t>
            </w:r>
          </w:p>
        </w:tc>
      </w:tr>
      <w:tr>
        <w:tc>
          <w:tcPr>
            <w:tcW w:type="dxa" w:w="4968"/>
          </w:tcPr>
          <w:p>
            <w:r>
              <w:t>Hybrid search</w:t>
            </w:r>
          </w:p>
        </w:tc>
        <w:tc>
          <w:tcPr>
            <w:tcW w:type="dxa" w:w="4968"/>
          </w:tcPr>
          <w:p>
            <w:r>
              <w:t>Balances semantic matching with exact enterprise terminology.</w:t>
            </w:r>
          </w:p>
        </w:tc>
      </w:tr>
      <w:tr>
        <w:tc>
          <w:tcPr>
            <w:tcW w:type="dxa" w:w="4968"/>
          </w:tcPr>
          <w:p>
            <w:r>
              <w:t>Local-first architecture</w:t>
            </w:r>
          </w:p>
        </w:tc>
        <w:tc>
          <w:tcPr>
            <w:tcW w:type="dxa" w:w="4968"/>
          </w:tcPr>
          <w:p>
            <w:r>
              <w:t>Minimizes cloud dependency and cost while retaining a realistic external-model integration boundary.</w:t>
            </w:r>
          </w:p>
        </w:tc>
      </w:tr>
      <w:tr>
        <w:tc>
          <w:tcPr>
            <w:tcW w:type="dxa" w:w="4968"/>
          </w:tcPr>
          <w:p>
            <w:r>
              <w:t>Narrow tools</w:t>
            </w:r>
          </w:p>
        </w:tc>
        <w:tc>
          <w:tcPr>
            <w:tcW w:type="dxa" w:w="4968"/>
          </w:tcPr>
          <w:p>
            <w:r>
              <w:t>Provides useful agent capabilities without giving the model unrestricted database or application access.</w:t>
            </w:r>
          </w:p>
        </w:tc>
      </w:tr>
      <w:tr>
        <w:tc>
          <w:tcPr>
            <w:tcW w:type="dxa" w:w="4968"/>
          </w:tcPr>
          <w:p>
            <w:r>
              <w:t>Separate RagService and agent</w:t>
            </w:r>
          </w:p>
        </w:tc>
        <w:tc>
          <w:tcPr>
            <w:tcW w:type="dxa" w:w="4968"/>
          </w:tcPr>
          <w:p>
            <w:r>
              <w:t>Preserves a deterministic RAG baseline while enabling controlled agentic orchestration.</w:t>
            </w:r>
          </w:p>
        </w:tc>
      </w:tr>
      <w:tr>
        <w:tc>
          <w:tcPr>
            <w:tcW w:type="dxa" w:w="4968"/>
          </w:tcPr>
          <w:p>
            <w:r>
              <w:t>Simple console client</w:t>
            </w:r>
          </w:p>
        </w:tc>
        <w:tc>
          <w:tcPr>
            <w:tcW w:type="dxa" w:w="4968"/>
          </w:tcPr>
          <w:p>
            <w:r>
              <w:t>Demonstrates the full product flow without turning UI development into a separate project.</w:t>
            </w:r>
          </w:p>
        </w:tc>
      </w:tr>
    </w:tbl>
    <w:p>
      <w:pPr>
        <w:pStyle w:val="Heading1"/>
      </w:pPr>
      <w:r>
        <w:t>19. Key Engineering Takeaways</w:t>
      </w:r>
    </w:p>
    <w:p>
      <w:pPr>
        <w:pStyle w:val="ListBullet"/>
      </w:pPr>
      <w:r>
        <w:t>Enterprise RAG is a system problem involving ingestion, retrieval, metadata, authorization, evaluation, and operations—not only prompt design.</w:t>
      </w:r>
    </w:p>
    <w:p>
      <w:pPr>
        <w:pStyle w:val="ListBullet"/>
      </w:pPr>
      <w:r>
        <w:t>Structured and unstructured enterprise information often need to be orchestrated together.</w:t>
      </w:r>
    </w:p>
    <w:p>
      <w:pPr>
        <w:pStyle w:val="ListBullet"/>
      </w:pPr>
      <w:r>
        <w:t>LLMs should request capabilities; application code should execute and authorize them.</w:t>
      </w:r>
    </w:p>
    <w:p>
      <w:pPr>
        <w:pStyle w:val="ListBullet"/>
      </w:pPr>
      <w:r>
        <w:t>Security-critical restrictions must be enforced outside the prompt.</w:t>
      </w:r>
    </w:p>
    <w:p>
      <w:pPr>
        <w:pStyle w:val="ListBullet"/>
      </w:pPr>
      <w:r>
        <w:t>Agent autonomy is useful when bounded by explicit tools, limits, and application-owned state.</w:t>
      </w:r>
    </w:p>
    <w:p>
      <w:pPr>
        <w:pStyle w:val="ListBullet"/>
      </w:pPr>
      <w:r>
        <w:t>Evaluation should test security and routing invariants in addition to answer quality.</w:t>
      </w:r>
    </w:p>
    <w:p>
      <w:pPr>
        <w:pStyle w:val="ListBullet"/>
      </w:pPr>
      <w:r>
        <w:t>Token and cost visibility turns AI behavior into an observable engineering concern.</w:t>
      </w:r>
    </w:p>
    <w:p>
      <w:pPr>
        <w:pStyle w:val="Heading1"/>
      </w:pPr>
      <w:r>
        <w:t>20. Project Status</w:t>
      </w:r>
    </w:p>
    <w:p>
      <w:r>
        <w:rPr>
          <w:b/>
          <w:color w:val="1F4E79"/>
          <w:sz w:val="26"/>
        </w:rPr>
        <w:t>EnterpriseHR AI Assistant V1 — DEVELOPMENT COMPLETE</w:t>
      </w:r>
    </w:p>
    <w:p>
      <w:r>
        <w:t>The implementation is complete for its portfolio objective. Future work should focus on presentation, broader evaluation, and production deployment concerns rather than adding features without a concrete requirement.</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EnterpriseHR AI Assistant V1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EnterpriseHR AI Assistant | Architecture &amp; Engineering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