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创创-作业2</w:t>
      </w:r>
    </w:p>
    <w:p>
      <w:pPr>
        <w:spacing w:before="120" w:after="120" w:line="288" w:lineRule="auto"/>
        <w:ind w:left="0"/>
        <w:jc w:val="left"/>
      </w:pPr>
      <w:r>
        <w:rPr>
          <w:rFonts w:eastAsia="等线" w:ascii="Arial" w:cs="Arial" w:hAnsi="Arial"/>
          <w:sz w:val="22"/>
        </w:rPr>
        <w:t>小组分工（ddl：10月22日晚上22：00）</w:t>
      </w:r>
    </w:p>
    <w:p>
      <w:pPr>
        <w:pStyle w:val="3"/>
        <w:spacing w:before="300" w:after="120" w:line="288" w:lineRule="auto"/>
        <w:ind w:left="0"/>
        <w:jc w:val="left"/>
        <w:outlineLvl w:val="2"/>
      </w:pPr>
      <w:bookmarkStart w:name="heading_0" w:id="0"/>
      <w:r>
        <w:rPr>
          <w:rFonts w:eastAsia="等线" w:ascii="Arial" w:cs="Arial" w:hAnsi="Arial"/>
          <w:color w:val="3370ff"/>
          <w:sz w:val="30"/>
        </w:rPr>
        <w:t xml:space="preserve">1. </w:t>
      </w:r>
      <w:r>
        <w:rPr>
          <w:rFonts w:eastAsia="等线" w:ascii="Arial" w:cs="Arial" w:hAnsi="Arial"/>
          <w:b w:val="true"/>
          <w:sz w:val="30"/>
        </w:rPr>
        <w:t>材料补充（朱可欣、梁美婷、张悦、提莫、李嘉欣）</w:t>
      </w:r>
      <w:bookmarkEnd w:id="0"/>
    </w:p>
    <w:p>
      <w:pPr>
        <w:spacing w:before="120" w:after="120" w:line="288" w:lineRule="auto"/>
        <w:ind w:left="453"/>
        <w:jc w:val="left"/>
      </w:pPr>
      <w:r>
        <w:rPr>
          <w:rFonts w:eastAsia="等线" w:ascii="Arial" w:cs="Arial" w:hAnsi="Arial"/>
          <w:sz w:val="22"/>
        </w:rPr>
        <w:t>选择医疗行业中6位属于Innovator（创新者）的人，可以选择他们在产品、商业模式、突破性技术方面的创新进行阐述，并总结人物的特点，并阐述他们为何属于Innovator。</w:t>
      </w:r>
    </w:p>
    <w:p>
      <w:pPr>
        <w:spacing w:before="120" w:after="120" w:line="288" w:lineRule="auto"/>
        <w:ind w:left="453"/>
        <w:jc w:val="left"/>
      </w:pPr>
      <w:r>
        <w:rPr>
          <w:rFonts w:eastAsia="等线" w:ascii="Arial" w:cs="Arial" w:hAnsi="Arial"/>
          <w:sz w:val="22"/>
        </w:rPr>
        <w:t>后面需要补充的同学，请注意查看前面同学已补充的内容，避免重复。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66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76500" cy="12668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梁美婷找到的人物（材料是英语的 中文是ai翻译的）：</w:t>
      </w:r>
    </w:p>
    <w:p>
      <w:pPr>
        <w:spacing w:before="120" w:after="120" w:line="288" w:lineRule="auto"/>
        <w:ind w:left="0"/>
        <w:jc w:val="left"/>
      </w:pPr>
      <w:r>
        <w:rPr>
          <w:rFonts w:eastAsia="等线" w:ascii="Arial" w:cs="Arial" w:hAnsi="Arial"/>
          <w:sz w:val="22"/>
        </w:rPr>
        <w:t>名字+wikipedia人物介绍</w:t>
      </w:r>
      <w:r>
        <w:rPr>
          <w:rFonts w:eastAsia="等线" w:ascii="Arial" w:cs="Arial" w:hAnsi="Arial"/>
          <w:sz w:val="22"/>
        </w:rPr>
        <w:t>（需要总结一下各个innovator的特点噢！）</w:t>
      </w:r>
    </w:p>
    <w:p>
      <w:pPr>
        <w:numPr>
          <w:numId w:val="1"/>
        </w:numPr>
        <w:spacing w:before="120" w:after="120" w:line="288" w:lineRule="auto"/>
        <w:ind w:left="0"/>
        <w:jc w:val="left"/>
      </w:pPr>
      <w:r>
        <w:rPr>
          <w:rFonts w:eastAsia="等线" w:ascii="Arial" w:cs="Arial" w:hAnsi="Arial"/>
          <w:sz w:val="22"/>
        </w:rPr>
        <w:t>Earl Bakken  (Wearable Pacemakers) （梁美婷）</w:t>
      </w:r>
    </w:p>
    <w:p>
      <w:pPr>
        <w:spacing w:before="120" w:after="120" w:line="288" w:lineRule="auto"/>
        <w:ind w:left="453"/>
        <w:jc w:val="left"/>
      </w:pPr>
      <w:r>
        <w:rPr>
          <w:rFonts w:eastAsia="等线" w:ascii="Arial" w:cs="Arial" w:hAnsi="Arial"/>
          <w:sz w:val="22"/>
        </w:rPr>
        <w:t>照片：</w:t>
      </w:r>
    </w:p>
    <w:p>
      <w:pPr>
        <w:spacing w:before="120" w:after="120" w:line="288" w:lineRule="auto"/>
        <w:ind w:left="453"/>
        <w:jc w:val="center"/>
      </w:pPr>
      <w:r>
        <w:drawing>
          <wp:inline distT="0" distR="0" distB="0" distL="0">
            <wp:extent cx="2857500" cy="1962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857500" cy="1962150"/>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：有源植入物与医疗电子（可穿戴/植入式心脏起搏器）</w:t>
      </w:r>
    </w:p>
    <w:p>
      <w:pPr>
        <w:spacing w:before="120" w:after="120" w:line="288" w:lineRule="auto"/>
        <w:ind w:left="453"/>
        <w:jc w:val="left"/>
      </w:pPr>
      <w:r>
        <w:rPr>
          <w:rFonts w:eastAsia="等线" w:ascii="Arial" w:cs="Arial" w:hAnsi="Arial"/>
          <w:b w:val="true"/>
          <w:sz w:val="22"/>
        </w:rPr>
        <w:t>突破式创新</w:t>
      </w:r>
      <w:r>
        <w:rPr>
          <w:rFonts w:eastAsia="等线" w:ascii="Arial" w:cs="Arial" w:hAnsi="Arial"/>
          <w:sz w:val="22"/>
        </w:rPr>
        <w:t>：巴肯针对市政停电危机，设计出首台由电池供电的便携式体外心脏起搏器，使患者摆脱室内交流电插座的限制。技术上，他首次将低压晶体管电路成功运用于生命支持，实现了从巨型墙插设备到小型化电池供电的技术跃迁。</w:t>
      </w:r>
    </w:p>
    <w:p>
      <w:pPr>
        <w:spacing w:before="120" w:after="120" w:line="288" w:lineRule="auto"/>
        <w:ind w:left="453"/>
        <w:jc w:val="left"/>
      </w:pPr>
      <w:r>
        <w:rPr>
          <w:rFonts w:eastAsia="等线" w:ascii="Arial" w:cs="Arial" w:hAnsi="Arial"/>
          <w:b w:val="true"/>
          <w:sz w:val="22"/>
        </w:rPr>
        <w:t>颠覆式创新</w:t>
      </w:r>
      <w:r>
        <w:rPr>
          <w:rFonts w:eastAsia="等线" w:ascii="Arial" w:cs="Arial" w:hAnsi="Arial"/>
          <w:sz w:val="22"/>
        </w:rPr>
        <w:t>：应用上，它将心律管理从受困病床转变为患者可移动随身携带，打破了传统医院物理空间的垄断，重塑了可植入电子医疗器械的产业格局。</w:t>
      </w:r>
    </w:p>
    <w:p>
      <w:pPr>
        <w:numPr>
          <w:numId w:val="2"/>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3"/>
        </w:numPr>
        <w:spacing w:before="120" w:after="120" w:line="288" w:lineRule="auto"/>
        <w:ind w:left="907"/>
        <w:jc w:val="left"/>
      </w:pPr>
      <w:r>
        <w:rPr>
          <w:rFonts w:eastAsia="等线" w:ascii="Arial" w:cs="Arial" w:hAnsi="Arial"/>
          <w:sz w:val="22"/>
        </w:rPr>
        <w:t>担当与敏捷： 面对停电导致病患生命危在旦夕的突发状况，没有推诿或等待官僚流程，而是连夜通宵组装原型机，具有危机响应力与行动担当的能力。</w:t>
      </w:r>
    </w:p>
    <w:p>
      <w:pPr>
        <w:numPr>
          <w:numId w:val="4"/>
        </w:numPr>
        <w:spacing w:before="120" w:after="120" w:line="288" w:lineRule="auto"/>
        <w:ind w:left="907"/>
        <w:jc w:val="left"/>
      </w:pPr>
      <w:r>
        <w:rPr>
          <w:rFonts w:eastAsia="等线" w:ascii="Arial" w:cs="Arial" w:hAnsi="Arial"/>
          <w:sz w:val="22"/>
        </w:rPr>
        <w:t>利他使命感： 有纯粹的工程师仁心，创办企业后始终将“延长人类健康寿命”作为至高信条，而不是单纯追求商业利润最大化。</w:t>
      </w:r>
    </w:p>
    <w:p>
      <w:pPr>
        <w:numPr>
          <w:numId w:val="5"/>
        </w:numPr>
        <w:spacing w:before="120" w:after="120" w:line="288" w:lineRule="auto"/>
        <w:ind w:left="0"/>
        <w:jc w:val="left"/>
      </w:pPr>
      <w:r>
        <w:rPr>
          <w:rFonts w:eastAsia="等线" w:ascii="Arial" w:cs="Arial" w:hAnsi="Arial"/>
          <w:sz w:val="22"/>
        </w:rPr>
        <w:t>Thomas Fogarty (Balloon Catheterization)（梁美婷）</w:t>
      </w:r>
    </w:p>
    <w:p>
      <w:pPr>
        <w:spacing w:before="120" w:after="120" w:line="288" w:lineRule="auto"/>
        <w:ind w:left="453"/>
        <w:jc w:val="left"/>
      </w:pPr>
      <w:r>
        <w:rPr>
          <w:rFonts w:eastAsia="等线" w:ascii="Arial" w:cs="Arial" w:hAnsi="Arial"/>
          <w:b w:val="true"/>
          <w:sz w:val="22"/>
        </w:rPr>
        <w:t>照片</w:t>
      </w:r>
      <w:r>
        <w:rPr>
          <w:rFonts w:eastAsia="等线" w:ascii="Arial" w:cs="Arial" w:hAnsi="Arial"/>
          <w:sz w:val="22"/>
        </w:rPr>
        <w:t>：</w:t>
      </w:r>
    </w:p>
    <w:p>
      <w:pPr>
        <w:spacing w:before="120" w:after="120" w:line="288" w:lineRule="auto"/>
        <w:ind w:left="453"/>
        <w:jc w:val="center"/>
      </w:pPr>
      <w:r>
        <w:drawing>
          <wp:inline distT="0" distR="0" distB="0" distL="0">
            <wp:extent cx="4229100" cy="3019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229100" cy="3019425"/>
                    </a:xfrm>
                    <a:prstGeom prst="rect">
                      <a:avLst/>
                    </a:prstGeom>
                  </pic:spPr>
                </pic:pic>
              </a:graphicData>
            </a:graphic>
          </wp:inline>
        </w:drawing>
      </w:r>
    </w:p>
    <w:p>
      <w:pPr>
        <w:numPr>
          <w:numId w:val="6"/>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7"/>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：微创血管外科、介入医疗器械（球囊取栓导管）</w:t>
      </w:r>
    </w:p>
    <w:p>
      <w:pPr>
        <w:numPr>
          <w:numId w:val="8"/>
        </w:numPr>
        <w:spacing w:before="120" w:after="120" w:line="288" w:lineRule="auto"/>
        <w:ind w:left="453"/>
        <w:jc w:val="left"/>
      </w:pPr>
      <w:r>
        <w:rPr>
          <w:rFonts w:eastAsia="等线" w:ascii="Arial" w:cs="Arial" w:hAnsi="Arial"/>
          <w:b w:val="true"/>
          <w:sz w:val="22"/>
        </w:rPr>
        <w:t>突破式创新</w:t>
      </w:r>
      <w:r>
        <w:rPr>
          <w:rFonts w:eastAsia="等线" w:ascii="Arial" w:cs="Arial" w:hAnsi="Arial"/>
          <w:sz w:val="22"/>
        </w:rPr>
        <w:t>：福加蒂发明了经微创切口穿过栓塞、充气后回拉取栓的球囊导管，大幅降低了血管栓塞截肢率与手术致死率。该成果属于突破式创新，它在临床技术层面实现了从0到1的飞跃，彻底开创了腔内机械操作的新原理。其核心价值在于创立了现代微创介入器械的物理交互基石，推动了整个血管外科技术的代际跃迁。</w:t>
      </w:r>
    </w:p>
    <w:p>
      <w:pPr>
        <w:numPr>
          <w:numId w:val="9"/>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10"/>
        </w:numPr>
        <w:spacing w:before="120" w:after="120" w:line="288" w:lineRule="auto"/>
        <w:ind w:left="907"/>
        <w:jc w:val="left"/>
      </w:pPr>
      <w:r>
        <w:rPr>
          <w:rFonts w:eastAsia="等线" w:ascii="Arial" w:cs="Arial" w:hAnsi="Arial"/>
          <w:sz w:val="22"/>
        </w:rPr>
        <w:t>挑战权威的反骨： 在等级森严的外科体系中，敢以低年资住院医的身份公然质疑教授习以为常的“大开刀截肢”常规，拒绝盲从既定教条。</w:t>
      </w:r>
    </w:p>
    <w:p>
      <w:pPr>
        <w:numPr>
          <w:numId w:val="11"/>
        </w:numPr>
        <w:spacing w:before="120" w:after="120" w:line="288" w:lineRule="auto"/>
        <w:ind w:left="907"/>
        <w:jc w:val="left"/>
      </w:pPr>
      <w:r>
        <w:rPr>
          <w:rFonts w:eastAsia="等线" w:ascii="Arial" w:cs="Arial" w:hAnsi="Arial"/>
          <w:sz w:val="22"/>
        </w:rPr>
        <w:t>愿意“把手搞脏”的实干动手能力： 动手能力极强，习惯就地取材，用公鸡输尿管和手套碎片手工制作简易原型，享受从低保真尝试中快速验证想法。</w:t>
      </w:r>
    </w:p>
    <w:p>
      <w:pPr>
        <w:numPr>
          <w:numId w:val="12"/>
        </w:numPr>
        <w:spacing w:before="120" w:after="120" w:line="288" w:lineRule="auto"/>
        <w:ind w:left="0"/>
        <w:jc w:val="left"/>
      </w:pPr>
      <w:r>
        <w:rPr>
          <w:rFonts w:eastAsia="等线" w:ascii="Arial" w:cs="Arial" w:hAnsi="Arial"/>
          <w:sz w:val="22"/>
        </w:rPr>
        <w:t>Frederic Moll (Robotic Surgery) （梁美婷）</w:t>
      </w:r>
    </w:p>
    <w:p>
      <w:pPr>
        <w:spacing w:before="120" w:after="120" w:line="288" w:lineRule="auto"/>
        <w:ind w:left="453"/>
        <w:jc w:val="left"/>
      </w:pPr>
      <w:r>
        <w:rPr>
          <w:rFonts w:eastAsia="等线" w:ascii="Arial" w:cs="Arial" w:hAnsi="Arial"/>
          <w:b w:val="true"/>
          <w:sz w:val="22"/>
        </w:rPr>
        <w:t>照片</w:t>
      </w:r>
      <w:r>
        <w:rPr>
          <w:rFonts w:eastAsia="等线" w:ascii="Arial" w:cs="Arial" w:hAnsi="Arial"/>
          <w:sz w:val="22"/>
        </w:rPr>
        <w:t>：</w:t>
      </w:r>
    </w:p>
    <w:p>
      <w:pPr>
        <w:spacing w:before="120" w:after="120" w:line="288" w:lineRule="auto"/>
        <w:ind w:left="453"/>
        <w:jc w:val="center"/>
      </w:pPr>
      <w:r>
        <w:drawing>
          <wp:inline distT="0" distR="0" distB="0" distL="0">
            <wp:extent cx="4095750" cy="27051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4095750" cy="2705100"/>
                    </a:xfrm>
                    <a:prstGeom prst="rect">
                      <a:avLst/>
                    </a:prstGeom>
                  </pic:spPr>
                </pic:pic>
              </a:graphicData>
            </a:graphic>
          </wp:inline>
        </w:drawing>
      </w:r>
    </w:p>
    <w:p>
      <w:pPr>
        <w:numPr>
          <w:numId w:val="13"/>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14"/>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：计算机集成手术、机器人辅助微创外科系统</w:t>
      </w:r>
    </w:p>
    <w:p>
      <w:pPr>
        <w:numPr>
          <w:numId w:val="15"/>
        </w:numPr>
        <w:spacing w:before="120" w:after="120" w:line="288" w:lineRule="auto"/>
        <w:ind w:left="453"/>
        <w:jc w:val="left"/>
      </w:pPr>
      <w:r>
        <w:rPr>
          <w:rFonts w:eastAsia="等线" w:ascii="Arial" w:cs="Arial" w:hAnsi="Arial"/>
          <w:b w:val="true"/>
          <w:sz w:val="22"/>
        </w:rPr>
        <w:t>突破式创新</w:t>
      </w:r>
      <w:r>
        <w:rPr>
          <w:rFonts w:eastAsia="等线" w:ascii="Arial" w:cs="Arial" w:hAnsi="Arial"/>
          <w:sz w:val="22"/>
        </w:rPr>
        <w:t>：莫尔主导研发的达芬奇手术系统，将计算机辅助、微震颤过滤与3D高清视野深度整合到微创腹腔镜手术中。该成果属于突破式创新，它以极致的工程集成突破了人类外科医生生理视野与手部微颤的极限，代表了顶尖性能的性能跨越。由于其高昂的造价和维护门槛，它并不走低端平价路线，而是以无可替代的尖端控制精度重新定义了复杂高难度术式的技术天花板。</w:t>
      </w:r>
    </w:p>
    <w:p>
      <w:pPr>
        <w:numPr>
          <w:numId w:val="16"/>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17"/>
        </w:numPr>
        <w:spacing w:before="120" w:after="120" w:line="288" w:lineRule="auto"/>
        <w:ind w:left="907"/>
        <w:jc w:val="left"/>
      </w:pPr>
      <w:r>
        <w:rPr>
          <w:rFonts w:eastAsia="等线" w:ascii="Arial" w:cs="Arial" w:hAnsi="Arial"/>
          <w:sz w:val="22"/>
        </w:rPr>
        <w:t>自我颠覆欲： 极度抗拒舒适区与平庸，在打造出直觉外科确立行业统治地位后，一次次从零开始二次、三次创业。</w:t>
      </w:r>
    </w:p>
    <w:p>
      <w:pPr>
        <w:numPr>
          <w:numId w:val="18"/>
        </w:numPr>
        <w:spacing w:before="120" w:after="120" w:line="288" w:lineRule="auto"/>
        <w:ind w:left="907"/>
        <w:jc w:val="left"/>
      </w:pPr>
      <w:r>
        <w:rPr>
          <w:rFonts w:eastAsia="等线" w:ascii="Arial" w:cs="Arial" w:hAnsi="Arial"/>
          <w:sz w:val="22"/>
        </w:rPr>
        <w:t>高风险承受力： 冒险家气质，面对高昂的研发试错成本和失败概率，始终保持愿意押注冷门赛道的决断力。</w:t>
      </w:r>
    </w:p>
    <w:p>
      <w:pPr>
        <w:numPr>
          <w:numId w:val="19"/>
        </w:numPr>
        <w:spacing w:before="120" w:after="120" w:line="288" w:lineRule="auto"/>
        <w:ind w:left="0"/>
        <w:jc w:val="left"/>
      </w:pPr>
      <w:r>
        <w:rPr>
          <w:rFonts w:eastAsia="等线" w:ascii="Arial" w:cs="Arial" w:hAnsi="Arial"/>
          <w:sz w:val="22"/>
        </w:rPr>
        <w:t>Judy Faulkner (Electronic Health Records) （梁美婷）</w:t>
      </w:r>
    </w:p>
    <w:p>
      <w:pPr>
        <w:spacing w:before="120" w:after="120" w:line="288" w:lineRule="auto"/>
        <w:ind w:left="453"/>
        <w:jc w:val="left"/>
      </w:pPr>
      <w:r>
        <w:rPr>
          <w:rFonts w:eastAsia="等线" w:ascii="Arial" w:cs="Arial" w:hAnsi="Arial"/>
          <w:b w:val="true"/>
          <w:sz w:val="22"/>
        </w:rPr>
        <w:t>照片</w:t>
      </w:r>
      <w:r>
        <w:rPr>
          <w:rFonts w:eastAsia="等线" w:ascii="Arial" w:cs="Arial" w:hAnsi="Arial"/>
          <w:sz w:val="22"/>
        </w:rPr>
        <w:t>：</w:t>
      </w:r>
    </w:p>
    <w:p>
      <w:pPr>
        <w:spacing w:before="120" w:after="120" w:line="288" w:lineRule="auto"/>
        <w:ind w:left="453"/>
        <w:jc w:val="center"/>
      </w:pPr>
      <w:r>
        <w:drawing>
          <wp:inline distT="0" distR="0" distB="0" distL="0">
            <wp:extent cx="4019550" cy="30099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019550" cy="3009900"/>
                    </a:xfrm>
                    <a:prstGeom prst="rect">
                      <a:avLst/>
                    </a:prstGeom>
                  </pic:spPr>
                </pic:pic>
              </a:graphicData>
            </a:graphic>
          </wp:inline>
        </w:drawing>
      </w:r>
    </w:p>
    <w:p>
      <w:pPr>
        <w:numPr>
          <w:numId w:val="20"/>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1"/>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：医疗信息学、企业级电子健康病历（EHR）基础设施</w:t>
      </w:r>
    </w:p>
    <w:p>
      <w:pPr>
        <w:numPr>
          <w:numId w:val="22"/>
        </w:numPr>
        <w:spacing w:before="120" w:after="120" w:line="288" w:lineRule="auto"/>
        <w:ind w:left="453"/>
        <w:jc w:val="left"/>
      </w:pPr>
      <w:r>
        <w:rPr>
          <w:rFonts w:eastAsia="等线" w:ascii="Arial" w:cs="Arial" w:hAnsi="Arial"/>
          <w:b w:val="true"/>
          <w:sz w:val="22"/>
        </w:rPr>
        <w:t>颠覆式创新</w:t>
      </w:r>
      <w:r>
        <w:rPr>
          <w:rFonts w:eastAsia="等线" w:ascii="Arial" w:cs="Arial" w:hAnsi="Arial"/>
          <w:sz w:val="22"/>
        </w:rPr>
        <w:t>：福克纳创建了Epic系统的核心数据架构，用一体化数字化记录取代各科室孤立分散的纸质病历与繁杂手工排班。该成果属于颠覆式创新，它依赖的是系统集成与流程优化，而非高精尖的生物技术突破。通过将分散的患者数据流与临床工作流彻底重构，它从底层瓦解并淘汰了沿用百年的传统物理纸质协作生态。</w:t>
      </w:r>
    </w:p>
    <w:p>
      <w:pPr>
        <w:numPr>
          <w:numId w:val="23"/>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24"/>
        </w:numPr>
        <w:spacing w:before="120" w:after="120" w:line="288" w:lineRule="auto"/>
        <w:ind w:left="907"/>
        <w:jc w:val="left"/>
      </w:pPr>
      <w:r>
        <w:rPr>
          <w:rFonts w:eastAsia="等线" w:ascii="Arial" w:cs="Arial" w:hAnsi="Arial"/>
          <w:sz w:val="22"/>
        </w:rPr>
        <w:t>完美主义和“控制欲”： 程序员出身的她对系统底层逻辑的整洁度有非常高的追求，眼里容不得东拼西凑的代码与并购妥协，坚持单源开发。</w:t>
      </w:r>
    </w:p>
    <w:p>
      <w:pPr>
        <w:numPr>
          <w:numId w:val="25"/>
        </w:numPr>
        <w:spacing w:before="120" w:after="120" w:line="288" w:lineRule="auto"/>
        <w:ind w:left="907"/>
        <w:jc w:val="left"/>
      </w:pPr>
      <w:r>
        <w:rPr>
          <w:rFonts w:eastAsia="等线" w:ascii="Arial" w:cs="Arial" w:hAnsi="Arial"/>
          <w:sz w:val="22"/>
        </w:rPr>
        <w:t>内向孤傲： 低调、不迎合华尔街的规则，按照自己的想法塑造公司文化，有着很强的独立人格和判断能力。</w:t>
      </w:r>
    </w:p>
    <w:p>
      <w:pPr>
        <w:numPr>
          <w:numId w:val="26"/>
        </w:numPr>
        <w:spacing w:before="120" w:after="120" w:line="288" w:lineRule="auto"/>
        <w:ind w:left="0"/>
        <w:jc w:val="left"/>
      </w:pPr>
      <w:r>
        <w:rPr>
          <w:rFonts w:eastAsia="等线" w:ascii="Arial" w:cs="Arial" w:hAnsi="Arial"/>
          <w:sz w:val="22"/>
        </w:rPr>
        <w:t>Julio Palmaz (Expandable Vascular Stents) （梁美婷）</w:t>
      </w:r>
    </w:p>
    <w:p>
      <w:pPr>
        <w:spacing w:before="120" w:after="120" w:line="288" w:lineRule="auto"/>
        <w:ind w:left="453"/>
        <w:jc w:val="left"/>
      </w:pPr>
      <w:r>
        <w:rPr>
          <w:rFonts w:eastAsia="等线" w:ascii="Arial" w:cs="Arial" w:hAnsi="Arial"/>
          <w:sz w:val="22"/>
        </w:rPr>
        <w:t>照片：</w:t>
      </w:r>
    </w:p>
    <w:p>
      <w:pPr>
        <w:spacing w:before="120" w:after="120" w:line="288" w:lineRule="auto"/>
        <w:ind w:left="453"/>
        <w:jc w:val="center"/>
      </w:pPr>
      <w:r>
        <w:drawing>
          <wp:inline distT="0" distR="0" distB="0" distL="0">
            <wp:extent cx="3743325" cy="23431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743325" cy="2343150"/>
                    </a:xfrm>
                    <a:prstGeom prst="rect">
                      <a:avLst/>
                    </a:prstGeom>
                  </pic:spPr>
                </pic:pic>
              </a:graphicData>
            </a:graphic>
          </wp:inline>
        </w:drawing>
      </w:r>
    </w:p>
    <w:p>
      <w:pPr>
        <w:numPr>
          <w:numId w:val="27"/>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：美国（出生于阿根廷）</w:t>
      </w:r>
    </w:p>
    <w:p>
      <w:pPr>
        <w:numPr>
          <w:numId w:val="28"/>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：介入放射学、心血管器械（可膨胀金属血管内支架）</w:t>
      </w:r>
    </w:p>
    <w:p>
      <w:pPr>
        <w:numPr>
          <w:numId w:val="29"/>
        </w:numPr>
        <w:spacing w:before="120" w:after="120" w:line="288" w:lineRule="auto"/>
        <w:ind w:left="453"/>
        <w:jc w:val="left"/>
      </w:pPr>
      <w:r>
        <w:rPr>
          <w:rFonts w:eastAsia="等线" w:ascii="Arial" w:cs="Arial" w:hAnsi="Arial"/>
          <w:b w:val="true"/>
          <w:sz w:val="22"/>
        </w:rPr>
        <w:t>突破式创新</w:t>
      </w:r>
      <w:r>
        <w:rPr>
          <w:rFonts w:eastAsia="等线" w:ascii="Arial" w:cs="Arial" w:hAnsi="Arial"/>
          <w:sz w:val="22"/>
        </w:rPr>
        <w:t>：帕尔马兹发明了球囊膨胀式不锈钢支架，以永久性机械支撑解决了球囊血管成形术后动脉急性塌陷与再狭窄的死穴。在材料力学与血管工程上，它首次实现了可塑金属网在血管内的稳定支撑，攻克了世界级临床技术难题。</w:t>
      </w:r>
    </w:p>
    <w:p>
      <w:pPr>
        <w:numPr>
          <w:numId w:val="30"/>
        </w:numPr>
        <w:spacing w:before="120" w:after="120" w:line="288" w:lineRule="auto"/>
        <w:ind w:left="453"/>
        <w:jc w:val="left"/>
      </w:pPr>
      <w:r>
        <w:rPr>
          <w:rFonts w:eastAsia="等线" w:ascii="Arial" w:cs="Arial" w:hAnsi="Arial"/>
          <w:b w:val="true"/>
          <w:sz w:val="22"/>
        </w:rPr>
        <w:t>颠覆式创新</w:t>
      </w:r>
      <w:r>
        <w:rPr>
          <w:rFonts w:eastAsia="等线" w:ascii="Arial" w:cs="Arial" w:hAnsi="Arial"/>
          <w:sz w:val="22"/>
        </w:rPr>
        <w:t>：在市场格局上，它直接使创伤极小的经皮介入治疗成为成熟标准，自下而上地替代了大量原本需要全身麻醉、开胸与体外循环的心脏搭桥手术，深刻重构了心胸外科与心内科的分工版图。</w:t>
      </w:r>
    </w:p>
    <w:p>
      <w:pPr>
        <w:numPr>
          <w:numId w:val="31"/>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32"/>
        </w:numPr>
        <w:spacing w:before="120" w:after="120" w:line="288" w:lineRule="auto"/>
        <w:ind w:left="907"/>
        <w:jc w:val="left"/>
      </w:pPr>
      <w:r>
        <w:rPr>
          <w:rFonts w:eastAsia="等线" w:ascii="Arial" w:cs="Arial" w:hAnsi="Arial"/>
          <w:sz w:val="22"/>
        </w:rPr>
        <w:t>孤注一掷： 当时主流医学界普遍认定“在血管里长期留存金属必死无疑”，遭遇了学术界孤立和经费断裂，但他凭借很强的抗压耐力默默把实验做到底。坚信严谨的物理力学和客观实验结果远胜于权威专家的主观成见。</w:t>
      </w:r>
    </w:p>
    <w:p>
      <w:pPr>
        <w:numPr>
          <w:numId w:val="33"/>
        </w:numPr>
        <w:spacing w:before="120" w:after="120" w:line="288" w:lineRule="auto"/>
        <w:ind w:left="907"/>
        <w:jc w:val="left"/>
      </w:pPr>
      <w:r>
        <w:rPr>
          <w:rFonts w:eastAsia="等线" w:ascii="Arial" w:cs="Arial" w:hAnsi="Arial"/>
          <w:sz w:val="22"/>
        </w:rPr>
        <w:t>发散敏锐感： 善于在枯燥的生活细节中发现灵感，能在工业金属展的铁丝网和堵塞的人体血管之间建立奇妙联系，思维跳脱且不受专业壁垒的限制。</w:t>
      </w:r>
    </w:p>
    <w:p>
      <w:pPr>
        <w:numPr>
          <w:numId w:val="34"/>
        </w:numPr>
        <w:spacing w:before="120" w:after="120" w:line="288" w:lineRule="auto"/>
        <w:ind w:left="0"/>
        <w:jc w:val="left"/>
      </w:pPr>
      <w:r>
        <w:rPr>
          <w:rFonts w:eastAsia="等线" w:ascii="Arial" w:cs="Arial" w:hAnsi="Arial"/>
          <w:sz w:val="22"/>
        </w:rPr>
        <w:t>Devi Shetty (High-Volume Healthcare Delivery)（梁美婷）</w:t>
      </w:r>
    </w:p>
    <w:p>
      <w:pPr>
        <w:spacing w:before="120" w:after="120" w:line="288" w:lineRule="auto"/>
        <w:ind w:left="453"/>
        <w:jc w:val="left"/>
      </w:pPr>
      <w:r>
        <w:rPr>
          <w:rFonts w:eastAsia="等线" w:ascii="Arial" w:cs="Arial" w:hAnsi="Arial"/>
          <w:b w:val="true"/>
          <w:sz w:val="22"/>
        </w:rPr>
        <w:t>照片</w:t>
      </w:r>
      <w:r>
        <w:rPr>
          <w:rFonts w:eastAsia="等线" w:ascii="Arial" w:cs="Arial" w:hAnsi="Arial"/>
          <w:sz w:val="22"/>
        </w:rPr>
        <w:t>：</w:t>
      </w:r>
    </w:p>
    <w:p>
      <w:pPr>
        <w:spacing w:before="120" w:after="120" w:line="288" w:lineRule="auto"/>
        <w:ind w:left="453"/>
        <w:jc w:val="center"/>
      </w:pPr>
      <w:r>
        <w:drawing>
          <wp:inline distT="0" distR="0" distB="0" distL="0">
            <wp:extent cx="3819525" cy="2533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3819525" cy="2533650"/>
                    </a:xfrm>
                    <a:prstGeom prst="rect">
                      <a:avLst/>
                    </a:prstGeom>
                  </pic:spPr>
                </pic:pic>
              </a:graphicData>
            </a:graphic>
          </wp:inline>
        </w:drawing>
      </w:r>
    </w:p>
    <w:p>
      <w:pPr>
        <w:numPr>
          <w:numId w:val="35"/>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：印度</w:t>
      </w:r>
    </w:p>
    <w:p>
      <w:pPr>
        <w:numPr>
          <w:numId w:val="36"/>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：医疗运营管理、低成本高产能医疗交付模式（普惠心脏外科）</w:t>
      </w:r>
    </w:p>
    <w:p>
      <w:pPr>
        <w:numPr>
          <w:numId w:val="37"/>
        </w:numPr>
        <w:spacing w:before="120" w:after="120" w:line="288" w:lineRule="auto"/>
        <w:ind w:left="453"/>
        <w:jc w:val="left"/>
      </w:pPr>
      <w:r>
        <w:rPr>
          <w:rFonts w:eastAsia="等线" w:ascii="Arial" w:cs="Arial" w:hAnsi="Arial"/>
          <w:b w:val="true"/>
          <w:sz w:val="22"/>
        </w:rPr>
        <w:t>颠覆式创新</w:t>
      </w:r>
      <w:r>
        <w:rPr>
          <w:rFonts w:eastAsia="等线" w:ascii="Arial" w:cs="Arial" w:hAnsi="Arial"/>
          <w:sz w:val="22"/>
        </w:rPr>
        <w:t>：谢蒂将工业流水线分工与极限供应链集采引入心脏外科，将复杂开胸手术费用降至美国的2%并保持高水准治愈率。该成果属于颠覆式创新，其核心并非发明全新的手术器械或医学假说，而是通过服务模式与流程再造实现规模经济。它彻底颠覆了高昂、低频的传统精英医疗服务架构，成功开发了原本无力承担医疗费用的广阔非消费群体。</w:t>
      </w:r>
    </w:p>
    <w:p>
      <w:pPr>
        <w:numPr>
          <w:numId w:val="38"/>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39"/>
        </w:numPr>
        <w:spacing w:before="120" w:after="120" w:line="288" w:lineRule="auto"/>
        <w:ind w:left="907"/>
        <w:jc w:val="left"/>
      </w:pPr>
      <w:r>
        <w:rPr>
          <w:rFonts w:eastAsia="等线" w:ascii="Arial" w:cs="Arial" w:hAnsi="Arial"/>
          <w:sz w:val="22"/>
        </w:rPr>
        <w:t>反传统的逆向破坏性思维： 拒绝接受“顶尖手术就必须昂贵”的传统逻辑，敢于用冷酷的制造业降本思维倒逼传统医疗机制改革。</w:t>
      </w:r>
    </w:p>
    <w:p>
      <w:pPr>
        <w:numPr>
          <w:numId w:val="40"/>
        </w:numPr>
        <w:spacing w:before="120" w:after="120" w:line="288" w:lineRule="auto"/>
        <w:ind w:left="907"/>
        <w:jc w:val="left"/>
      </w:pPr>
      <w:r>
        <w:rPr>
          <w:rFonts w:eastAsia="等线" w:ascii="Arial" w:cs="Arial" w:hAnsi="Arial"/>
          <w:sz w:val="22"/>
        </w:rPr>
        <w:t>管理意志： 兼具顶级外科医生的冷静心智与铁血企业家的管理魄力，面对既得利益团体的阻力从不退让，推行严苛的标准化作业。</w:t>
      </w:r>
    </w:p>
    <w:p>
      <w:pPr>
        <w:numPr>
          <w:numId w:val="41"/>
        </w:numPr>
        <w:spacing w:before="120" w:after="120" w:line="288" w:lineRule="auto"/>
        <w:ind w:left="0"/>
        <w:jc w:val="left"/>
      </w:pPr>
      <w:r>
        <w:rPr>
          <w:rFonts w:eastAsia="等线" w:ascii="Arial" w:cs="Arial" w:hAnsi="Arial"/>
          <w:sz w:val="22"/>
        </w:rPr>
        <w:t>Homer Stryker (Mobile Orthopedic &amp; Hospital Hardware) （梁美婷）</w:t>
      </w:r>
    </w:p>
    <w:p>
      <w:pPr>
        <w:spacing w:before="120" w:after="120" w:line="288" w:lineRule="auto"/>
        <w:ind w:left="453"/>
        <w:jc w:val="left"/>
      </w:pPr>
      <w:r>
        <w:rPr>
          <w:rFonts w:eastAsia="等线" w:ascii="Arial" w:cs="Arial" w:hAnsi="Arial"/>
          <w:sz w:val="22"/>
        </w:rPr>
        <w:t>照片：</w:t>
      </w:r>
    </w:p>
    <w:p>
      <w:pPr>
        <w:spacing w:before="120" w:after="120" w:line="288" w:lineRule="auto"/>
        <w:ind w:left="453"/>
        <w:jc w:val="center"/>
      </w:pPr>
      <w:r>
        <w:drawing>
          <wp:inline distT="0" distR="0" distB="0" distL="0">
            <wp:extent cx="2590800" cy="34290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2590800" cy="3429000"/>
                    </a:xfrm>
                    <a:prstGeom prst="rect">
                      <a:avLst/>
                    </a:prstGeom>
                  </pic:spPr>
                </pic:pic>
              </a:graphicData>
            </a:graphic>
          </wp:inline>
        </w:drawing>
      </w:r>
    </w:p>
    <w:p>
      <w:pPr>
        <w:numPr>
          <w:numId w:val="42"/>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43"/>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：骨科临床硬件、手术动力工具与卧床护理设备</w:t>
      </w:r>
    </w:p>
    <w:p>
      <w:pPr>
        <w:numPr>
          <w:numId w:val="44"/>
        </w:numPr>
        <w:spacing w:before="120" w:after="120" w:line="288" w:lineRule="auto"/>
        <w:ind w:left="453"/>
        <w:jc w:val="left"/>
      </w:pPr>
      <w:r>
        <w:rPr>
          <w:rFonts w:eastAsia="等线" w:ascii="Arial" w:cs="Arial" w:hAnsi="Arial"/>
          <w:b w:val="true"/>
          <w:sz w:val="22"/>
        </w:rPr>
        <w:t>颠覆式创新</w:t>
      </w:r>
      <w:r>
        <w:rPr>
          <w:rFonts w:eastAsia="等线" w:ascii="Arial" w:cs="Arial" w:hAnsi="Arial"/>
          <w:sz w:val="22"/>
        </w:rPr>
        <w:t>：史赛克从临床一线痛点出发，研发出防止压疮的可翻转病床及“只切硬石膏不伤软组织”的高频震荡骨锯。该成果属于颠覆式创新，其设计没有高深前沿的理论门槛，而是精准瞄准传统操作中费时、危险且粗放的护理盲区。这种以一线医护效率为核心的专用实用工具，降低了高危操作的技能门槛，重构了基础骨科护理的执行范式。</w:t>
      </w:r>
    </w:p>
    <w:p>
      <w:pPr>
        <w:numPr>
          <w:numId w:val="45"/>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46"/>
        </w:numPr>
        <w:spacing w:before="120" w:after="120" w:line="288" w:lineRule="auto"/>
        <w:ind w:left="907"/>
        <w:jc w:val="left"/>
      </w:pPr>
      <w:r>
        <w:rPr>
          <w:rFonts w:eastAsia="等线" w:ascii="Arial" w:cs="Arial" w:hAnsi="Arial"/>
          <w:sz w:val="22"/>
        </w:rPr>
        <w:t xml:space="preserve">共情与觉察能力： </w:t>
      </w:r>
      <w:r>
        <w:rPr>
          <w:rFonts w:eastAsia="等线" w:ascii="Arial" w:cs="Arial" w:hAnsi="Arial"/>
          <w:sz w:val="22"/>
        </w:rPr>
        <w:t>当看到患者因骨折卧床长褥疮痛苦不堪、护士翻身极度劳累时，会发自本能的不适，无法忍受“将就不合理现状”的麻木。</w:t>
      </w:r>
    </w:p>
    <w:p>
      <w:pPr>
        <w:numPr>
          <w:numId w:val="47"/>
        </w:numPr>
        <w:spacing w:before="120" w:after="120" w:line="288" w:lineRule="auto"/>
        <w:ind w:left="907"/>
        <w:jc w:val="left"/>
      </w:pPr>
      <w:r>
        <w:rPr>
          <w:rFonts w:eastAsia="等线" w:ascii="Arial" w:cs="Arial" w:hAnsi="Arial"/>
          <w:sz w:val="22"/>
        </w:rPr>
        <w:t>功用主义： 不追高深理论，做任何创新的衡量标准直截了当——“它到底能不能切实减轻病人和医护的痛苦”。</w:t>
      </w:r>
    </w:p>
    <w:p>
      <w:pPr>
        <w:numPr>
          <w:numId w:val="48"/>
        </w:numPr>
        <w:spacing w:before="120" w:after="120" w:line="288" w:lineRule="auto"/>
        <w:ind w:left="0"/>
        <w:jc w:val="left"/>
      </w:pPr>
      <w:r>
        <w:rPr>
          <w:rFonts w:eastAsia="等线" w:ascii="Arial" w:cs="Arial" w:hAnsi="Arial"/>
          <w:sz w:val="22"/>
        </w:rPr>
        <w:t>Willem Kolff (Artificial Organs &amp; Hemodialysis) （梁美婷）</w:t>
      </w:r>
    </w:p>
    <w:p>
      <w:pPr>
        <w:spacing w:before="120" w:after="120" w:line="288" w:lineRule="auto"/>
        <w:ind w:left="453"/>
        <w:jc w:val="left"/>
      </w:pPr>
      <w:r>
        <w:rPr>
          <w:rFonts w:eastAsia="等线" w:ascii="Arial" w:cs="Arial" w:hAnsi="Arial"/>
          <w:sz w:val="22"/>
        </w:rPr>
        <w:t>照片：</w:t>
      </w:r>
    </w:p>
    <w:p>
      <w:pPr>
        <w:spacing w:before="120" w:after="120" w:line="288" w:lineRule="auto"/>
        <w:ind w:left="453"/>
        <w:jc w:val="center"/>
      </w:pPr>
      <w:r>
        <w:drawing>
          <wp:inline distT="0" distR="0" distB="0" distL="0">
            <wp:extent cx="3028950" cy="3429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3028950" cy="3429000"/>
                    </a:xfrm>
                    <a:prstGeom prst="rect">
                      <a:avLst/>
                    </a:prstGeom>
                  </pic:spPr>
                </pic:pic>
              </a:graphicData>
            </a:graphic>
          </wp:inline>
        </w:drawing>
      </w:r>
    </w:p>
    <w:p>
      <w:pPr>
        <w:numPr>
          <w:numId w:val="49"/>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：荷兰（后加入美国籍）</w:t>
      </w:r>
    </w:p>
    <w:p>
      <w:pPr>
        <w:numPr>
          <w:numId w:val="50"/>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：人工器官、体外生命支持（血液透析与人工心脏）</w:t>
      </w:r>
    </w:p>
    <w:p>
      <w:pPr>
        <w:numPr>
          <w:numId w:val="51"/>
        </w:numPr>
        <w:spacing w:before="120" w:after="120" w:line="288" w:lineRule="auto"/>
        <w:ind w:left="453"/>
        <w:jc w:val="left"/>
      </w:pPr>
      <w:r>
        <w:rPr>
          <w:rFonts w:eastAsia="等线" w:ascii="Arial" w:cs="Arial" w:hAnsi="Arial"/>
          <w:b w:val="true"/>
          <w:sz w:val="22"/>
        </w:rPr>
        <w:t>突破式创新</w:t>
      </w:r>
      <w:r>
        <w:rPr>
          <w:rFonts w:eastAsia="等线" w:ascii="Arial" w:cs="Arial" w:hAnsi="Arial"/>
          <w:sz w:val="22"/>
        </w:rPr>
        <w:t>：科尔夫二战期间用简易材料制作出首台功能性血液透析机，并主导研制了早期人工心脏。技术认知上，他彻底打破了生命科学认知壁垒，首次以工程机械装置全面接管人体复杂内脏功能，开辟了人工器官的学科纪元。</w:t>
      </w:r>
    </w:p>
    <w:p>
      <w:pPr>
        <w:numPr>
          <w:numId w:val="52"/>
        </w:numPr>
        <w:spacing w:before="120" w:after="120" w:line="288" w:lineRule="auto"/>
        <w:ind w:left="453"/>
        <w:jc w:val="left"/>
      </w:pPr>
      <w:r>
        <w:rPr>
          <w:rFonts w:eastAsia="等线" w:ascii="Arial" w:cs="Arial" w:hAnsi="Arial"/>
          <w:b w:val="true"/>
          <w:sz w:val="22"/>
        </w:rPr>
        <w:t>颠覆式创新</w:t>
      </w:r>
      <w:r>
        <w:rPr>
          <w:rFonts w:eastAsia="等线" w:ascii="Arial" w:cs="Arial" w:hAnsi="Arial"/>
          <w:sz w:val="22"/>
        </w:rPr>
        <w:t>：临床模式上，它推翻了“终末期肾衰竭患者只能等待死亡”的保守姑息范式，使透析成为常规门诊化治疗，催生了全新的全球透析中心连锁服务生态。</w:t>
      </w:r>
    </w:p>
    <w:p>
      <w:pPr>
        <w:numPr>
          <w:numId w:val="53"/>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w:t>
      </w:r>
    </w:p>
    <w:p>
      <w:pPr>
        <w:numPr>
          <w:numId w:val="54"/>
        </w:numPr>
        <w:spacing w:before="120" w:after="120" w:line="288" w:lineRule="auto"/>
        <w:ind w:left="907"/>
        <w:jc w:val="left"/>
      </w:pPr>
      <w:r>
        <w:rPr>
          <w:rFonts w:eastAsia="等线" w:ascii="Arial" w:cs="Arial" w:hAnsi="Arial"/>
          <w:sz w:val="22"/>
        </w:rPr>
        <w:t>无畏反抗精神： 在二战纳粹占领的恐怖氛围和物资极端匮乏的背景下，敢于对抗法西斯政府抢救生命。</w:t>
      </w:r>
    </w:p>
    <w:p>
      <w:pPr>
        <w:numPr>
          <w:numId w:val="55"/>
        </w:numPr>
        <w:spacing w:before="120" w:after="120" w:line="288" w:lineRule="auto"/>
        <w:ind w:left="907"/>
        <w:jc w:val="left"/>
      </w:pPr>
      <w:r>
        <w:rPr>
          <w:rFonts w:eastAsia="等线" w:ascii="Arial" w:cs="Arial" w:hAnsi="Arial"/>
          <w:sz w:val="22"/>
        </w:rPr>
        <w:t>赤子胸怀： 倾尽心血研制出救人的透析机后，放弃申请专利获利，而是将全部图纸无偿公开地给全球医院。</w:t>
      </w:r>
    </w:p>
    <w:p>
      <w:pPr>
        <w:numPr>
          <w:numId w:val="56"/>
        </w:numPr>
        <w:spacing w:before="120" w:after="120" w:line="288" w:lineRule="auto"/>
        <w:ind w:left="907"/>
        <w:jc w:val="left"/>
      </w:pPr>
      <w:r>
        <w:rPr>
          <w:rFonts w:eastAsia="等线" w:ascii="Arial" w:cs="Arial" w:hAnsi="Arial"/>
          <w:sz w:val="22"/>
        </w:rPr>
        <w:t>“造物狂”气质： 哪怕手里只有香肠肠衣和旧洗衣机，也能以超凡的创造力和生命力搭建出救命的神器。</w:t>
      </w:r>
    </w:p>
    <w:p>
      <w:pPr>
        <w:numPr>
          <w:numId w:val="57"/>
        </w:numPr>
        <w:spacing w:before="120" w:after="120" w:line="288" w:lineRule="auto"/>
        <w:ind w:left="0"/>
        <w:jc w:val="left"/>
      </w:pPr>
      <w:r>
        <w:rPr>
          <w:rFonts w:eastAsia="等线" w:ascii="Arial" w:cs="Arial" w:hAnsi="Arial"/>
          <w:sz w:val="22"/>
        </w:rPr>
        <w:t>瑞克·克里格（Rick Krieger）（李余涵）</w:t>
      </w:r>
    </w:p>
    <w:p>
      <w:pPr>
        <w:spacing w:before="120" w:after="120" w:line="288" w:lineRule="auto"/>
        <w:ind w:left="453"/>
        <w:jc w:val="left"/>
      </w:pPr>
      <w:r>
        <w:rPr>
          <w:rFonts w:eastAsia="等线" w:ascii="Arial" w:cs="Arial" w:hAnsi="Arial"/>
          <w:sz w:val="22"/>
        </w:rPr>
        <w:t>他的创新始于对一个日常矛盾的发现：</w:t>
      </w:r>
      <w:r>
        <w:rPr>
          <w:rFonts w:eastAsia="等线" w:ascii="Arial" w:cs="Arial" w:hAnsi="Arial"/>
          <w:b w:val="true"/>
          <w:sz w:val="22"/>
        </w:rPr>
        <w:t>患者需要解决的可能只是一个相对简单的健康问题，却必须承担复杂医疗体系带来的等待、费用和流程负担。</w:t>
      </w:r>
      <w:r>
        <w:rPr>
          <w:rFonts w:eastAsia="等线" w:ascii="Arial" w:cs="Arial" w:hAnsi="Arial"/>
          <w:sz w:val="22"/>
        </w:rPr>
        <w:t>他与团队创办 QuickMedx，也就是后来的 MinuteClinic，通过缩小服务范围、调整人员配置和进入零售场所，重新组织了一部分医疗服务。</w:t>
      </w:r>
    </w:p>
    <w:p>
      <w:pPr>
        <w:spacing w:before="120" w:after="120" w:line="288" w:lineRule="auto"/>
        <w:ind w:left="453"/>
        <w:jc w:val="left"/>
      </w:pPr>
      <w:r>
        <w:rPr>
          <w:rFonts w:eastAsia="等线" w:ascii="Arial" w:cs="Arial" w:hAnsi="Arial"/>
          <w:sz w:val="22"/>
        </w:rPr>
        <w:t>这一案例的颠覆性，不在于治疗技术更先进，而在于它改变了“由谁、在哪里、以怎样的成本提供服务”。克里斯滕森研究所直接将 MinuteClinic 列为低端颠覆的案例，但这不意味着它已经取代传统医疗体系。</w:t>
      </w:r>
      <w:hyperlink r:id="rId14">
        <w:r>
          <w:rPr>
            <w:rFonts w:eastAsia="等线" w:ascii="Arial" w:cs="Arial" w:hAnsi="Arial"/>
            <w:color w:val="3370ff"/>
            <w:sz w:val="22"/>
          </w:rPr>
          <w:t>克里斯滕森研究所</w:t>
        </w:r>
      </w:hyperlink>
    </w:p>
    <w:p>
      <w:pPr>
        <w:spacing w:before="120" w:after="120" w:line="288" w:lineRule="auto"/>
        <w:ind w:left="453"/>
        <w:jc w:val="left"/>
      </w:pPr>
      <w:r>
        <w:rPr>
          <w:rFonts w:eastAsia="等线" w:ascii="Arial" w:cs="Arial" w:hAnsi="Arial"/>
          <w:b w:val="true"/>
          <w:sz w:val="22"/>
        </w:rPr>
        <w:t>一、创新的起点：从一次不便中识别结构性问题</w:t>
      </w:r>
    </w:p>
    <w:p>
      <w:pPr>
        <w:spacing w:before="120" w:after="120" w:line="288" w:lineRule="auto"/>
        <w:ind w:left="453"/>
        <w:jc w:val="left"/>
      </w:pPr>
      <w:r>
        <w:rPr>
          <w:rFonts w:eastAsia="等线" w:ascii="Arial" w:cs="Arial" w:hAnsi="Arial"/>
          <w:sz w:val="22"/>
        </w:rPr>
        <w:t>根据加州医疗保健基金会研究报告的历史记录，克里格曾因带儿子进行链球菌咽喉感染检测而经历就医不便。这促使他思考：对于相对简单的问题，为什么不能提供更及时、便捷的诊疗方式？2000年，创始团队与当地食品零售商 Cub Foods 合作，开设了最初的诊所。</w:t>
      </w:r>
      <w:hyperlink r:id="rId15">
        <w:r>
          <w:rPr>
            <w:rFonts w:eastAsia="等线" w:ascii="Arial" w:cs="Arial" w:hAnsi="Arial"/>
            <w:color w:val="3370ff"/>
            <w:sz w:val="22"/>
          </w:rPr>
          <w:t>历史研究报告节选</w:t>
        </w:r>
      </w:hyperlink>
    </w:p>
    <w:p>
      <w:pPr>
        <w:spacing w:before="120" w:after="120" w:line="288" w:lineRule="auto"/>
        <w:ind w:left="453"/>
        <w:jc w:val="left"/>
      </w:pPr>
      <w:r>
        <w:rPr>
          <w:rFonts w:eastAsia="等线" w:ascii="Arial" w:cs="Arial" w:hAnsi="Arial"/>
          <w:sz w:val="22"/>
        </w:rPr>
        <w:t>这段经历的意义，不只是“因为排队，所以创业”。大多数人也经历过等待，但通常将其视为医院效率不高。克里格与团队进一步质疑了服务的组织方式：</w:t>
      </w:r>
      <w:r>
        <w:rPr>
          <w:rFonts w:eastAsia="等线" w:ascii="Arial" w:cs="Arial" w:hAnsi="Arial"/>
          <w:b w:val="true"/>
          <w:sz w:val="22"/>
        </w:rPr>
        <w:t>为什么复杂疾病和部分常见小病，需要通过相似的入口获得服务？</w:t>
      </w:r>
    </w:p>
    <w:p>
      <w:pPr>
        <w:spacing w:before="120" w:after="120" w:line="288" w:lineRule="auto"/>
        <w:ind w:left="453"/>
        <w:jc w:val="left"/>
      </w:pPr>
      <w:r>
        <w:rPr>
          <w:rFonts w:eastAsia="等线" w:ascii="Arial" w:cs="Arial" w:hAnsi="Arial"/>
          <w:sz w:val="22"/>
        </w:rPr>
        <w:t>这是一种从个体不满走向商业机会的推理：</w:t>
      </w:r>
    </w:p>
    <w:p>
      <w:pPr>
        <w:spacing w:before="120" w:after="120" w:line="288" w:lineRule="auto"/>
        <w:ind w:left="453"/>
        <w:jc w:val="left"/>
      </w:pPr>
      <w:r>
        <w:rPr>
          <w:rFonts w:eastAsia="等线" w:ascii="Arial" w:cs="Arial" w:hAnsi="Arial"/>
          <w:sz w:val="22"/>
        </w:rPr>
        <w:t>个人遇到的不便，可能并非偶然，而是既有体系长期形成的结果；如果许多人反复遇到同样的问题，就可能存在尚未被充分满足的需求。</w:t>
      </w:r>
    </w:p>
    <w:p>
      <w:pPr>
        <w:spacing w:before="120" w:after="120" w:line="288" w:lineRule="auto"/>
        <w:ind w:left="453"/>
        <w:jc w:val="left"/>
      </w:pPr>
      <w:r>
        <w:rPr>
          <w:rFonts w:eastAsia="等线" w:ascii="Arial" w:cs="Arial" w:hAnsi="Arial"/>
          <w:sz w:val="22"/>
        </w:rPr>
        <w:t>不过，“简单需求”并不能由患者自行准确判断。零售诊所仍需要专业评估、明确的服务边界和转诊机制。它能够简化的是适合标准化处理的服务，而不是取消医疗判断。</w:t>
      </w:r>
    </w:p>
    <w:p>
      <w:pPr>
        <w:spacing w:before="120" w:after="120" w:line="288" w:lineRule="auto"/>
        <w:ind w:left="453"/>
        <w:jc w:val="left"/>
      </w:pPr>
      <w:r>
        <w:rPr>
          <w:rFonts w:eastAsia="等线" w:ascii="Arial" w:cs="Arial" w:hAnsi="Arial"/>
          <w:b w:val="true"/>
          <w:sz w:val="22"/>
        </w:rPr>
        <w:t>二、重新定义患者购买的价值</w:t>
      </w:r>
    </w:p>
    <w:p>
      <w:pPr>
        <w:spacing w:before="120" w:after="120" w:line="288" w:lineRule="auto"/>
        <w:ind w:left="453"/>
        <w:jc w:val="left"/>
      </w:pPr>
      <w:r>
        <w:rPr>
          <w:rFonts w:eastAsia="等线" w:ascii="Arial" w:cs="Arial" w:hAnsi="Arial"/>
          <w:sz w:val="22"/>
        </w:rPr>
        <w:t>传统医疗服务强调专业能力、诊疗范围和资源配置，这些能力对复杂疾病十分重要。但患者在一次具体就诊中，未必需要调用整套能力。</w:t>
      </w:r>
    </w:p>
    <w:p>
      <w:pPr>
        <w:spacing w:before="120" w:after="120" w:line="288" w:lineRule="auto"/>
        <w:ind w:left="453"/>
        <w:jc w:val="left"/>
      </w:pPr>
      <w:r>
        <w:rPr>
          <w:rFonts w:eastAsia="等线" w:ascii="Arial" w:cs="Arial" w:hAnsi="Arial"/>
          <w:sz w:val="22"/>
        </w:rPr>
        <w:t>对于部分常见问题，患者所重视的价值还包括：</w:t>
      </w:r>
    </w:p>
    <w:p>
      <w:pPr>
        <w:numPr>
          <w:numId w:val="58"/>
        </w:numPr>
        <w:spacing w:before="120" w:after="120" w:line="288" w:lineRule="auto"/>
        <w:ind w:left="453"/>
        <w:jc w:val="left"/>
      </w:pPr>
      <w:r>
        <w:rPr>
          <w:rFonts w:eastAsia="等线" w:ascii="Arial" w:cs="Arial" w:hAnsi="Arial"/>
          <w:sz w:val="22"/>
        </w:rPr>
        <w:t>能否及时获得专业评估；</w:t>
      </w:r>
    </w:p>
    <w:p>
      <w:pPr>
        <w:numPr>
          <w:numId w:val="59"/>
        </w:numPr>
        <w:spacing w:before="120" w:after="120" w:line="288" w:lineRule="auto"/>
        <w:ind w:left="453"/>
        <w:jc w:val="left"/>
      </w:pPr>
      <w:r>
        <w:rPr>
          <w:rFonts w:eastAsia="等线" w:ascii="Arial" w:cs="Arial" w:hAnsi="Arial"/>
          <w:sz w:val="22"/>
        </w:rPr>
        <w:t>是否需要提前预约；</w:t>
      </w:r>
    </w:p>
    <w:p>
      <w:pPr>
        <w:numPr>
          <w:numId w:val="60"/>
        </w:numPr>
        <w:spacing w:before="120" w:after="120" w:line="288" w:lineRule="auto"/>
        <w:ind w:left="453"/>
        <w:jc w:val="left"/>
      </w:pPr>
      <w:r>
        <w:rPr>
          <w:rFonts w:eastAsia="等线" w:ascii="Arial" w:cs="Arial" w:hAnsi="Arial"/>
          <w:sz w:val="22"/>
        </w:rPr>
        <w:t>能否在工作之外的时间就诊；</w:t>
      </w:r>
    </w:p>
    <w:p>
      <w:pPr>
        <w:numPr>
          <w:numId w:val="61"/>
        </w:numPr>
        <w:spacing w:before="120" w:after="120" w:line="288" w:lineRule="auto"/>
        <w:ind w:left="453"/>
        <w:jc w:val="left"/>
      </w:pPr>
      <w:r>
        <w:rPr>
          <w:rFonts w:eastAsia="等线" w:ascii="Arial" w:cs="Arial" w:hAnsi="Arial"/>
          <w:sz w:val="22"/>
        </w:rPr>
        <w:t>费用能否提前了解；</w:t>
      </w:r>
    </w:p>
    <w:p>
      <w:pPr>
        <w:numPr>
          <w:numId w:val="62"/>
        </w:numPr>
        <w:spacing w:before="120" w:after="120" w:line="288" w:lineRule="auto"/>
        <w:ind w:left="453"/>
        <w:jc w:val="left"/>
      </w:pPr>
      <w:r>
        <w:rPr>
          <w:rFonts w:eastAsia="等线" w:ascii="Arial" w:cs="Arial" w:hAnsi="Arial"/>
          <w:sz w:val="22"/>
        </w:rPr>
        <w:t>能否尽快回到正常生活。</w:t>
      </w:r>
    </w:p>
    <w:p>
      <w:pPr>
        <w:spacing w:before="120" w:after="120" w:line="288" w:lineRule="auto"/>
        <w:ind w:left="453"/>
        <w:jc w:val="left"/>
      </w:pPr>
      <w:r>
        <w:rPr>
          <w:rFonts w:eastAsia="等线" w:ascii="Arial" w:cs="Arial" w:hAnsi="Arial"/>
          <w:sz w:val="22"/>
        </w:rPr>
        <w:t>因此，患者承担的成本不仅是医疗账单，还包括交通、等待、请假和安排照护等成本。</w:t>
      </w:r>
    </w:p>
    <w:p>
      <w:pPr>
        <w:spacing w:before="120" w:after="120" w:line="288" w:lineRule="auto"/>
        <w:ind w:left="453"/>
        <w:jc w:val="left"/>
      </w:pPr>
      <w:r>
        <w:rPr>
          <w:rFonts w:eastAsia="等线" w:ascii="Arial" w:cs="Arial" w:hAnsi="Arial"/>
          <w:sz w:val="22"/>
        </w:rPr>
        <w:t>克里格与团队的洞察，是把这些经常被视为“附带问题”的因素纳入服务设计。MinuteClinic 并没有在所有医学能力上超越传统机构，而是在有限服务范围内，提高了便利性和价格透明度。</w:t>
      </w:r>
    </w:p>
    <w:p>
      <w:pPr>
        <w:spacing w:before="120" w:after="120" w:line="288" w:lineRule="auto"/>
        <w:ind w:left="453"/>
        <w:jc w:val="left"/>
      </w:pPr>
      <w:r>
        <w:rPr>
          <w:rFonts w:eastAsia="等线" w:ascii="Arial" w:cs="Arial" w:hAnsi="Arial"/>
          <w:sz w:val="22"/>
        </w:rPr>
        <w:t>这意味着竞争标准发生了变化：</w:t>
      </w:r>
      <w:r>
        <w:rPr>
          <w:rFonts w:eastAsia="等线" w:ascii="Arial" w:cs="Arial" w:hAnsi="Arial"/>
          <w:b w:val="true"/>
          <w:sz w:val="22"/>
        </w:rPr>
        <w:t>服务的价值不仅取决于机构能处理多复杂的疾病，也取决于它是否适合患者当次需要完成的任务。</w:t>
      </w:r>
    </w:p>
    <w:p>
      <w:pPr>
        <w:spacing w:before="120" w:after="120" w:line="288" w:lineRule="auto"/>
        <w:ind w:left="453"/>
        <w:jc w:val="left"/>
      </w:pPr>
      <w:r>
        <w:rPr>
          <w:rFonts w:eastAsia="等线" w:ascii="Arial" w:cs="Arial" w:hAnsi="Arial"/>
          <w:b w:val="true"/>
          <w:sz w:val="22"/>
        </w:rPr>
        <w:t>三、商业模式的核心，是有意识地限制服务范围</w:t>
      </w:r>
    </w:p>
    <w:p>
      <w:pPr>
        <w:spacing w:before="120" w:after="120" w:line="288" w:lineRule="auto"/>
        <w:ind w:left="453"/>
        <w:jc w:val="left"/>
      </w:pPr>
      <w:r>
        <w:rPr>
          <w:rFonts w:eastAsia="等线" w:ascii="Arial" w:cs="Arial" w:hAnsi="Arial"/>
          <w:sz w:val="22"/>
        </w:rPr>
        <w:t>早期 QuickMedx 只提供针对有限常见病症的服务，采用每次35美元的固定收费，不进行保险结算。这个价格是当时的历史安排，并非今天的收费标准。克里格与史密斯后来解释，直接支付的设计旨在简化结算，并提供明确的费用预期。</w:t>
      </w:r>
      <w:hyperlink r:id="rId16">
        <w:r>
          <w:rPr>
            <w:rFonts w:eastAsia="等线" w:ascii="Arial" w:cs="Arial" w:hAnsi="Arial"/>
            <w:color w:val="3370ff"/>
            <w:sz w:val="22"/>
          </w:rPr>
          <w:t>创始人回顾</w:t>
        </w:r>
      </w:hyperlink>
    </w:p>
    <w:p>
      <w:pPr>
        <w:spacing w:before="120" w:after="120" w:line="288" w:lineRule="auto"/>
        <w:ind w:left="453"/>
        <w:jc w:val="left"/>
      </w:pPr>
      <w:r>
        <w:rPr>
          <w:rFonts w:eastAsia="等线" w:ascii="Arial" w:cs="Arial" w:hAnsi="Arial"/>
          <w:sz w:val="22"/>
        </w:rPr>
        <w:t>限制服务范围看似降低了竞争力，却是整个模式成立的基础。</w:t>
      </w:r>
    </w:p>
    <w:p>
      <w:pPr>
        <w:spacing w:before="120" w:after="120" w:line="288" w:lineRule="auto"/>
        <w:ind w:left="453"/>
        <w:jc w:val="left"/>
      </w:pPr>
      <w:r>
        <w:rPr>
          <w:rFonts w:eastAsia="等线" w:ascii="Arial" w:cs="Arial" w:hAnsi="Arial"/>
          <w:sz w:val="22"/>
        </w:rPr>
        <w:t>如果一家诊所承诺处理几乎所有健康问题，就需要更广泛的专业人员、设备和后台支持；如果只承接经过筛选的服务，就有可能配置与之匹配的资源。</w:t>
      </w:r>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8" o:title=""/>
          </v:shape>
          <o:OLEObject DrawAspect="Icon" ObjectID="_1718471219" ProgID="Excel.Sheet.12" ShapeID="_x0000_i1025" Type="Embed" r:id="rId17"/>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CVS 的历史资料记载，MinuteClinic 主要由执业护士和医师助理等专业人员提供有限范围的服务，并为超出范围的患者提供转诊；电子记录与临床指南也是其运营的重要组成部分。</w:t>
      </w:r>
      <w:hyperlink r:id="rId19">
        <w:r>
          <w:rPr>
            <w:rFonts w:eastAsia="等线" w:ascii="Arial" w:cs="Arial" w:hAnsi="Arial"/>
            <w:color w:val="3370ff"/>
            <w:sz w:val="22"/>
          </w:rPr>
          <w:t>CVS 2006</w:t>
        </w:r>
      </w:hyperlink>
      <w:hyperlink r:id="rId20">
        <w:r>
          <w:rPr>
            <w:rFonts w:eastAsia="等线" w:ascii="Arial" w:cs="Arial" w:hAnsi="Arial"/>
            <w:color w:val="3370ff"/>
            <w:sz w:val="22"/>
          </w:rPr>
          <w:t>年年报</w:t>
        </w:r>
      </w:hyperlink>
      <w:r>
        <w:rPr>
          <w:rFonts w:eastAsia="等线" w:ascii="Arial" w:cs="Arial" w:hAnsi="Arial"/>
          <w:sz w:val="22"/>
        </w:rPr>
        <w:t>、</w:t>
      </w:r>
      <w:hyperlink r:id="rId21">
        <w:r>
          <w:rPr>
            <w:rFonts w:eastAsia="等线" w:ascii="Arial" w:cs="Arial" w:hAnsi="Arial"/>
            <w:color w:val="3370ff"/>
            <w:sz w:val="22"/>
          </w:rPr>
          <w:t>CVS 2009</w:t>
        </w:r>
      </w:hyperlink>
      <w:hyperlink r:id="rId22">
        <w:r>
          <w:rPr>
            <w:rFonts w:eastAsia="等线" w:ascii="Arial" w:cs="Arial" w:hAnsi="Arial"/>
            <w:color w:val="3370ff"/>
            <w:sz w:val="22"/>
          </w:rPr>
          <w:t>年报告</w:t>
        </w:r>
      </w:hyperlink>
    </w:p>
    <w:p>
      <w:pPr>
        <w:spacing w:before="120" w:after="120" w:line="288" w:lineRule="auto"/>
        <w:ind w:left="453"/>
        <w:jc w:val="left"/>
      </w:pPr>
      <w:r>
        <w:rPr>
          <w:rFonts w:eastAsia="等线" w:ascii="Arial" w:cs="Arial" w:hAnsi="Arial"/>
          <w:sz w:val="22"/>
        </w:rPr>
        <w:t>这些安排相互依赖。仅把诊所搬进商店，不会自动产生低成本；仅降低收费，也不会自动形成可持续业务。</w:t>
      </w:r>
      <w:r>
        <w:rPr>
          <w:rFonts w:eastAsia="等线" w:ascii="Arial" w:cs="Arial" w:hAnsi="Arial"/>
          <w:b w:val="true"/>
          <w:sz w:val="22"/>
        </w:rPr>
        <w:t>真正的创新是让服务范围、专业人员、流程、场所和收费方式共同支持同一种价值主张。</w:t>
      </w:r>
    </w:p>
    <w:p>
      <w:pPr>
        <w:spacing w:before="120" w:after="120" w:line="288" w:lineRule="auto"/>
        <w:ind w:left="453"/>
        <w:jc w:val="left"/>
      </w:pPr>
      <w:r>
        <w:rPr>
          <w:rFonts w:eastAsia="等线" w:ascii="Arial" w:cs="Arial" w:hAnsi="Arial"/>
          <w:b w:val="true"/>
          <w:sz w:val="22"/>
        </w:rPr>
        <w:t>四、为什么这属于低端颠覆，而不仅是普通的服务改进？</w:t>
      </w:r>
    </w:p>
    <w:p>
      <w:pPr>
        <w:spacing w:before="120" w:after="120" w:line="288" w:lineRule="auto"/>
        <w:ind w:left="453"/>
        <w:jc w:val="left"/>
      </w:pPr>
      <w:r>
        <w:rPr>
          <w:rFonts w:eastAsia="等线" w:ascii="Arial" w:cs="Arial" w:hAnsi="Arial"/>
          <w:sz w:val="22"/>
        </w:rPr>
        <w:t>“低端”在这里指较低复杂度的需求和不同的成本结构，不意味着降低必要的医疗质量。</w:t>
      </w:r>
    </w:p>
    <w:p>
      <w:pPr>
        <w:spacing w:before="120" w:after="120" w:line="288" w:lineRule="auto"/>
        <w:ind w:left="453"/>
        <w:jc w:val="left"/>
      </w:pPr>
      <w:r>
        <w:rPr>
          <w:rFonts w:eastAsia="等线" w:ascii="Arial" w:cs="Arial" w:hAnsi="Arial"/>
          <w:sz w:val="22"/>
        </w:rPr>
        <w:t>MinuteClinic 的模式符合低端颠覆的几个关键特征。</w:t>
      </w:r>
    </w:p>
    <w:p>
      <w:pPr>
        <w:spacing w:before="120" w:after="120" w:line="288" w:lineRule="auto"/>
        <w:ind w:left="453"/>
        <w:jc w:val="left"/>
      </w:pPr>
      <w:r>
        <w:rPr>
          <w:rFonts w:eastAsia="等线" w:ascii="Arial" w:cs="Arial" w:hAnsi="Arial"/>
          <w:b w:val="true"/>
          <w:sz w:val="22"/>
        </w:rPr>
        <w:t>首先，它没有从传统机构最擅长的复杂业务入手。</w:t>
      </w:r>
      <w:r>
        <w:rPr>
          <w:rFonts w:eastAsia="等线" w:ascii="Arial" w:cs="Arial" w:hAnsi="Arial"/>
          <w:sz w:val="22"/>
        </w:rPr>
        <w:br/>
      </w:r>
      <w:r>
        <w:rPr>
          <w:rFonts w:eastAsia="等线" w:ascii="Arial" w:cs="Arial" w:hAnsi="Arial"/>
          <w:sz w:val="22"/>
        </w:rPr>
        <w:t>它主动放弃综合诊疗能力，先处理有限的常见问题。按照传统机构的综合能力标准，它明显“不够全面”；但对目标需求而言，这种范围较窄的服务仍可能足够合适。</w:t>
      </w:r>
    </w:p>
    <w:p>
      <w:pPr>
        <w:spacing w:before="120" w:after="120" w:line="288" w:lineRule="auto"/>
        <w:ind w:left="453"/>
        <w:jc w:val="left"/>
      </w:pPr>
      <w:r>
        <w:rPr>
          <w:rFonts w:eastAsia="等线" w:ascii="Arial" w:cs="Arial" w:hAnsi="Arial"/>
          <w:b w:val="true"/>
          <w:sz w:val="22"/>
        </w:rPr>
        <w:t>其次，它用另一套资源配置承接这些需求。</w:t>
      </w:r>
      <w:r>
        <w:rPr>
          <w:rFonts w:eastAsia="等线" w:ascii="Arial" w:cs="Arial" w:hAnsi="Arial"/>
          <w:sz w:val="22"/>
        </w:rPr>
        <w:br/>
      </w:r>
      <w:r>
        <w:rPr>
          <w:rFonts w:eastAsia="等线" w:ascii="Arial" w:cs="Arial" w:hAnsi="Arial"/>
          <w:sz w:val="22"/>
        </w:rPr>
        <w:t>有限服务范围使人员、场地和流程可以采用不同安排。成本差异因此具有组织基础，而不只是临时促销。</w:t>
      </w:r>
    </w:p>
    <w:p>
      <w:pPr>
        <w:spacing w:before="120" w:after="120" w:line="288" w:lineRule="auto"/>
        <w:ind w:left="453"/>
        <w:jc w:val="left"/>
      </w:pPr>
      <w:r>
        <w:rPr>
          <w:rFonts w:eastAsia="等线" w:ascii="Arial" w:cs="Arial" w:hAnsi="Arial"/>
          <w:b w:val="true"/>
          <w:sz w:val="22"/>
        </w:rPr>
        <w:t>再次，它改变了资源投入的优先次序。</w:t>
      </w:r>
      <w:r>
        <w:rPr>
          <w:rFonts w:eastAsia="等线" w:ascii="Arial" w:cs="Arial" w:hAnsi="Arial"/>
          <w:sz w:val="22"/>
        </w:rPr>
        <w:br/>
      </w:r>
      <w:r>
        <w:rPr>
          <w:rFonts w:eastAsia="等线" w:ascii="Arial" w:cs="Arial" w:hAnsi="Arial"/>
          <w:sz w:val="22"/>
        </w:rPr>
        <w:t>传统机构需要维持广泛诊疗能力，而零售诊所能够围绕便利、明确价格和有限服务建立运营。既有机构如果要完整复制这一模式，可能需要重新调整人员分工、服务边界和成本结构。</w:t>
      </w:r>
    </w:p>
    <w:p>
      <w:pPr>
        <w:spacing w:before="120" w:after="120" w:line="288" w:lineRule="auto"/>
        <w:ind w:left="453"/>
        <w:jc w:val="left"/>
      </w:pPr>
      <w:r>
        <w:rPr>
          <w:rFonts w:eastAsia="等线" w:ascii="Arial" w:cs="Arial" w:hAnsi="Arial"/>
          <w:sz w:val="22"/>
        </w:rPr>
        <w:t>最后这一点属于理论分析，不能据此断言所有传统医生都忽视了零售诊所。更准确的解释是：不同组织的资源和收入结构，会影响它们愿意重点服务哪些需求。</w:t>
      </w:r>
    </w:p>
    <w:p>
      <w:pPr>
        <w:spacing w:before="120" w:after="120" w:line="288" w:lineRule="auto"/>
        <w:ind w:left="453"/>
        <w:jc w:val="left"/>
      </w:pPr>
      <w:r>
        <w:rPr>
          <w:rFonts w:eastAsia="等线" w:ascii="Arial" w:cs="Arial" w:hAnsi="Arial"/>
          <w:sz w:val="22"/>
        </w:rPr>
        <w:t>它的潜在颠覆路径是：</w:t>
      </w:r>
      <w:r>
        <w:rPr>
          <w:rFonts w:eastAsia="等线" w:ascii="Arial" w:cs="Arial" w:hAnsi="Arial"/>
          <w:b w:val="true"/>
          <w:sz w:val="22"/>
        </w:rPr>
        <w:t>先承接较简单的需求，再逐步扩大能力，使更多原本属于传统机构的服务能够在新的体系中完成。</w:t>
      </w:r>
    </w:p>
    <w:p>
      <w:pPr>
        <w:spacing w:before="120" w:after="120" w:line="288" w:lineRule="auto"/>
        <w:ind w:left="453"/>
        <w:jc w:val="left"/>
      </w:pPr>
      <w:r>
        <w:rPr>
          <w:rFonts w:eastAsia="等线" w:ascii="Arial" w:cs="Arial" w:hAnsi="Arial"/>
          <w:b w:val="true"/>
          <w:sz w:val="22"/>
        </w:rPr>
        <w:t>五、从常见小病走向初级医疗，体现了能力扩展，也带来了新矛盾</w:t>
      </w:r>
    </w:p>
    <w:p>
      <w:pPr>
        <w:spacing w:before="120" w:after="120" w:line="288" w:lineRule="auto"/>
        <w:ind w:left="453"/>
        <w:jc w:val="left"/>
      </w:pPr>
      <w:r>
        <w:rPr>
          <w:rFonts w:eastAsia="等线" w:ascii="Arial" w:cs="Arial" w:hAnsi="Arial"/>
          <w:sz w:val="22"/>
        </w:rPr>
        <w:t>CVS 于2006年收购 MinuteClinic，零售网络为后续扩张提供了条件。2024年，CVS 宣布部分网点开始向特定保险计划成员提供网络内初级医疗服务，业务进一步涉及预防保健、慢性病管理和持续照护。</w:t>
      </w:r>
      <w:hyperlink r:id="rId23">
        <w:r>
          <w:rPr>
            <w:rFonts w:eastAsia="等线" w:ascii="Arial" w:cs="Arial" w:hAnsi="Arial"/>
            <w:color w:val="3370ff"/>
            <w:sz w:val="22"/>
          </w:rPr>
          <w:t>CVS</w:t>
        </w:r>
      </w:hyperlink>
      <w:hyperlink r:id="rId24">
        <w:r>
          <w:rPr>
            <w:rFonts w:eastAsia="等线" w:ascii="Arial" w:cs="Arial" w:hAnsi="Arial"/>
            <w:color w:val="3370ff"/>
            <w:sz w:val="22"/>
          </w:rPr>
          <w:t>公司历史</w:t>
        </w:r>
      </w:hyperlink>
      <w:r>
        <w:rPr>
          <w:rFonts w:eastAsia="等线" w:ascii="Arial" w:cs="Arial" w:hAnsi="Arial"/>
          <w:sz w:val="22"/>
        </w:rPr>
        <w:t>、</w:t>
      </w:r>
      <w:hyperlink r:id="rId25">
        <w:r>
          <w:rPr>
            <w:rFonts w:eastAsia="等线" w:ascii="Arial" w:cs="Arial" w:hAnsi="Arial"/>
            <w:color w:val="3370ff"/>
            <w:sz w:val="22"/>
          </w:rPr>
          <w:t>2024</w:t>
        </w:r>
      </w:hyperlink>
      <w:hyperlink r:id="rId26">
        <w:r>
          <w:rPr>
            <w:rFonts w:eastAsia="等线" w:ascii="Arial" w:cs="Arial" w:hAnsi="Arial"/>
            <w:color w:val="3370ff"/>
            <w:sz w:val="22"/>
          </w:rPr>
          <w:t>年初级医疗公告</w:t>
        </w:r>
      </w:hyperlink>
    </w:p>
    <w:p>
      <w:pPr>
        <w:spacing w:before="120" w:after="120" w:line="288" w:lineRule="auto"/>
        <w:ind w:left="453"/>
        <w:jc w:val="left"/>
      </w:pPr>
      <w:r>
        <w:rPr>
          <w:rFonts w:eastAsia="等线" w:ascii="Arial" w:cs="Arial" w:hAnsi="Arial"/>
          <w:sz w:val="22"/>
        </w:rPr>
        <w:t>这呈现了从有限、单次服务向更广泛需求扩展的轨迹。但这种扩展并非没有代价。</w:t>
      </w:r>
    </w:p>
    <w:p>
      <w:pPr>
        <w:spacing w:before="120" w:after="120" w:line="288" w:lineRule="auto"/>
        <w:ind w:left="453"/>
        <w:jc w:val="left"/>
      </w:pPr>
      <w:r>
        <w:rPr>
          <w:rFonts w:eastAsia="等线" w:ascii="Arial" w:cs="Arial" w:hAnsi="Arial"/>
          <w:sz w:val="22"/>
        </w:rPr>
        <w:t>简单服务容易限定范围和标准化；持续照护则需要更完整的病史、稳定的医患关系、复诊安排以及跨机构协调。能力越广，组织复杂度和运营成本也可能越高。</w:t>
      </w:r>
    </w:p>
    <w:p>
      <w:pPr>
        <w:spacing w:before="120" w:after="120" w:line="288" w:lineRule="auto"/>
        <w:ind w:left="453"/>
        <w:jc w:val="left"/>
      </w:pPr>
      <w:r>
        <w:rPr>
          <w:rFonts w:eastAsia="等线" w:ascii="Arial" w:cs="Arial" w:hAnsi="Arial"/>
          <w:sz w:val="22"/>
        </w:rPr>
        <w:t>因此，MinuteClinic 面临一个重要张力：</w:t>
      </w:r>
    </w:p>
    <w:p>
      <w:pPr>
        <w:spacing w:before="120" w:after="120" w:line="288" w:lineRule="auto"/>
        <w:ind w:left="453"/>
        <w:jc w:val="left"/>
      </w:pPr>
      <w:r>
        <w:rPr>
          <w:rFonts w:eastAsia="等线" w:ascii="Arial" w:cs="Arial" w:hAnsi="Arial"/>
          <w:b w:val="true"/>
          <w:sz w:val="22"/>
        </w:rPr>
        <w:t>扩大服务范围能够创造新的收入和患者价值，但也可能削弱早期模式的简单性与低成本优势。</w:t>
      </w:r>
    </w:p>
    <w:p>
      <w:pPr>
        <w:spacing w:before="120" w:after="120" w:line="288" w:lineRule="auto"/>
        <w:ind w:left="453"/>
        <w:jc w:val="left"/>
      </w:pPr>
      <w:r>
        <w:rPr>
          <w:rFonts w:eastAsia="等线" w:ascii="Arial" w:cs="Arial" w:hAnsi="Arial"/>
          <w:sz w:val="22"/>
        </w:rPr>
        <w:t>低端切入并不能保证长期成功。企业必须在能力升级与成本控制之间不断调整，也必须证明扩展后的服务仍能保持质量和连续性。</w:t>
      </w:r>
    </w:p>
    <w:p>
      <w:pPr>
        <w:spacing w:before="120" w:after="120" w:line="288" w:lineRule="auto"/>
        <w:ind w:left="453"/>
        <w:jc w:val="left"/>
      </w:pPr>
      <w:r>
        <w:rPr>
          <w:rFonts w:eastAsia="等线" w:ascii="Arial" w:cs="Arial" w:hAnsi="Arial"/>
          <w:sz w:val="22"/>
        </w:rPr>
        <w:t>同样，业务扩展不等于已经实现对传统基层医疗的全面替代。这个案例支持的是颠覆式创新机制的分析，而不是一个已经结束的“新模式击败旧模式”的故事。</w:t>
      </w:r>
    </w:p>
    <w:p>
      <w:pPr>
        <w:spacing w:before="120" w:after="120" w:line="288" w:lineRule="auto"/>
        <w:ind w:left="453"/>
        <w:jc w:val="left"/>
      </w:pPr>
      <w:r>
        <w:rPr>
          <w:rFonts w:eastAsia="等线" w:ascii="Arial" w:cs="Arial" w:hAnsi="Arial"/>
          <w:b w:val="true"/>
          <w:sz w:val="22"/>
        </w:rPr>
        <w:t>六、商业价值来自怎样的机制？</w:t>
      </w:r>
    </w:p>
    <w:p>
      <w:pPr>
        <w:spacing w:before="120" w:after="120" w:line="288" w:lineRule="auto"/>
        <w:ind w:left="453"/>
        <w:jc w:val="left"/>
      </w:pPr>
      <w:r>
        <w:rPr>
          <w:rFonts w:eastAsia="等线" w:ascii="Arial" w:cs="Arial" w:hAnsi="Arial"/>
          <w:sz w:val="22"/>
        </w:rPr>
        <w:t>克里格的创新可以从价值创造、价值交付和价值获取三个层面理解。</w:t>
      </w:r>
    </w:p>
    <w:p>
      <w:pPr>
        <w:spacing w:before="120" w:after="120" w:line="288" w:lineRule="auto"/>
        <w:ind w:left="453"/>
      </w:pPr>
      <w:r>
        <w:object>
          <v:shape id="_x0000_i1026" style="width:414pt;height:197pt;mso-width-percent:0;mso-height-percent:0;mso-width-percent:0;mso-height-percent:0" type="#_x0000_t75" o:ole="">
            <v:imagedata r:id="rId28" o:title=""/>
          </v:shape>
          <o:OLEObject DrawAspect="Icon" ObjectID="_1718471220" ProgID="Excel.Sheet.12" ShapeID="_x0000_i1026" Type="Embed" r:id="rId27"/>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jc w:val="left"/>
      </w:pPr>
      <w:r>
        <w:rPr>
          <w:rFonts w:eastAsia="等线" w:ascii="Arial" w:cs="Arial" w:hAnsi="Arial"/>
          <w:sz w:val="22"/>
        </w:rPr>
        <w:t>其中最容易被忽视的是利用率。</w:t>
      </w:r>
    </w:p>
    <w:p>
      <w:pPr>
        <w:spacing w:before="120" w:after="120" w:line="288" w:lineRule="auto"/>
        <w:ind w:left="453"/>
        <w:jc w:val="left"/>
      </w:pPr>
      <w:r>
        <w:rPr>
          <w:rFonts w:eastAsia="等线" w:ascii="Arial" w:cs="Arial" w:hAnsi="Arial"/>
          <w:sz w:val="22"/>
        </w:rPr>
        <w:t>即使单次服务流程更简单，如果患者数量不足，诊所仍需承担专业人员和场地成本。因此，“成本较低”只是盈利的必要条件之一，稳定需求、合适位置和运营效率同样重要。</w:t>
      </w:r>
    </w:p>
    <w:p>
      <w:pPr>
        <w:spacing w:before="120" w:after="120" w:line="288" w:lineRule="auto"/>
        <w:ind w:left="453"/>
        <w:jc w:val="left"/>
      </w:pPr>
      <w:r>
        <w:rPr>
          <w:rFonts w:eastAsia="等线" w:ascii="Arial" w:cs="Arial" w:hAnsi="Arial"/>
          <w:sz w:val="22"/>
        </w:rPr>
        <w:t>CVS 的加入，还带来了另一层商业逻辑：诊疗服务与零售网络之间可能形成联系。CVS 在2006年年报中将 MinuteClinic 与门店客流和医疗服务角色的扩大联系起来。</w:t>
      </w:r>
      <w:hyperlink r:id="rId29">
        <w:r>
          <w:rPr>
            <w:rFonts w:eastAsia="等线" w:ascii="Arial" w:cs="Arial" w:hAnsi="Arial"/>
            <w:color w:val="3370ff"/>
            <w:sz w:val="22"/>
          </w:rPr>
          <w:t>CVS 2006</w:t>
        </w:r>
      </w:hyperlink>
      <w:hyperlink r:id="rId30">
        <w:r>
          <w:rPr>
            <w:rFonts w:eastAsia="等线" w:ascii="Arial" w:cs="Arial" w:hAnsi="Arial"/>
            <w:color w:val="3370ff"/>
            <w:sz w:val="22"/>
          </w:rPr>
          <w:t>年年报</w:t>
        </w:r>
      </w:hyperlink>
    </w:p>
    <w:p>
      <w:pPr>
        <w:spacing w:before="120" w:after="120" w:line="288" w:lineRule="auto"/>
        <w:ind w:left="453"/>
        <w:jc w:val="left"/>
      </w:pPr>
      <w:r>
        <w:rPr>
          <w:rFonts w:eastAsia="等线" w:ascii="Arial" w:cs="Arial" w:hAnsi="Arial"/>
          <w:sz w:val="22"/>
        </w:rPr>
        <w:t>但收购和扩张不能单独证明所有网点盈利，也不能证明整个医疗体系的总支出必然下降。单次服务价格降低，与全社会医疗支出减少，是两个不同的问题；如果便利性使就诊数量增加，总支出还会受到利用量变化的影响。</w:t>
      </w:r>
    </w:p>
    <w:p>
      <w:pPr>
        <w:spacing w:before="120" w:after="120" w:line="288" w:lineRule="auto"/>
        <w:ind w:left="453"/>
        <w:jc w:val="left"/>
      </w:pPr>
      <w:r>
        <w:rPr>
          <w:rFonts w:eastAsia="等线" w:ascii="Arial" w:cs="Arial" w:hAnsi="Arial"/>
          <w:b w:val="true"/>
          <w:sz w:val="22"/>
        </w:rPr>
        <w:t>七、克里格的创新者特征，体现在哪些具体行为中？</w:t>
      </w:r>
    </w:p>
    <w:p>
      <w:pPr>
        <w:spacing w:before="120" w:after="120" w:line="288" w:lineRule="auto"/>
        <w:ind w:left="453"/>
        <w:jc w:val="left"/>
      </w:pPr>
      <w:r>
        <w:rPr>
          <w:rFonts w:eastAsia="等线" w:ascii="Arial" w:cs="Arial" w:hAnsi="Arial"/>
          <w:sz w:val="22"/>
        </w:rPr>
        <w:t>克里格的个人贡献，应放在团队和组织演进中评价。他是机会识别与早期商业模式形成的重要参与者；临床设计依靠医生等专业伙伴，后续扩张也涉及其他经营者和 CVS。</w:t>
      </w:r>
    </w:p>
    <w:p>
      <w:pPr>
        <w:spacing w:before="120" w:after="120" w:line="288" w:lineRule="auto"/>
        <w:ind w:left="453"/>
        <w:jc w:val="left"/>
      </w:pPr>
      <w:r>
        <w:rPr>
          <w:rFonts w:eastAsia="等线" w:ascii="Arial" w:cs="Arial" w:hAnsi="Arial"/>
          <w:sz w:val="22"/>
        </w:rPr>
        <w:t>在这一边界内，他体现了几种有代表性的创新能力。</w:t>
      </w:r>
    </w:p>
    <w:p>
      <w:pPr>
        <w:spacing w:before="120" w:after="120" w:line="288" w:lineRule="auto"/>
        <w:ind w:left="453"/>
        <w:jc w:val="left"/>
      </w:pPr>
      <w:r>
        <w:rPr>
          <w:rFonts w:eastAsia="等线" w:ascii="Arial" w:cs="Arial" w:hAnsi="Arial"/>
          <w:b w:val="true"/>
          <w:sz w:val="22"/>
        </w:rPr>
        <w:t>第一，从用户体验中识别结构性机会。</w:t>
      </w:r>
      <w:r>
        <w:rPr>
          <w:rFonts w:eastAsia="等线" w:ascii="Arial" w:cs="Arial" w:hAnsi="Arial"/>
          <w:sz w:val="22"/>
        </w:rPr>
        <w:br/>
      </w:r>
      <w:r>
        <w:rPr>
          <w:rFonts w:eastAsia="等线" w:ascii="Arial" w:cs="Arial" w:hAnsi="Arial"/>
          <w:sz w:val="22"/>
        </w:rPr>
        <w:t>他没有把等待完全归因于某家机构效率不高，而是进一步思考服务能否以不同方式组织。这使个人经历转化为具有普遍性的商业问题。</w:t>
      </w:r>
    </w:p>
    <w:p>
      <w:pPr>
        <w:spacing w:before="120" w:after="120" w:line="288" w:lineRule="auto"/>
        <w:ind w:left="453"/>
        <w:jc w:val="left"/>
      </w:pPr>
      <w:r>
        <w:rPr>
          <w:rFonts w:eastAsia="等线" w:ascii="Arial" w:cs="Arial" w:hAnsi="Arial"/>
          <w:b w:val="true"/>
          <w:sz w:val="22"/>
        </w:rPr>
        <w:t>第二，能够通过取舍建立优势。</w:t>
      </w:r>
      <w:r>
        <w:rPr>
          <w:rFonts w:eastAsia="等线" w:ascii="Arial" w:cs="Arial" w:hAnsi="Arial"/>
          <w:sz w:val="22"/>
        </w:rPr>
        <w:br/>
      </w:r>
      <w:r>
        <w:rPr>
          <w:rFonts w:eastAsia="等线" w:ascii="Arial" w:cs="Arial" w:hAnsi="Arial"/>
          <w:sz w:val="22"/>
        </w:rPr>
        <w:t>早期诊所没有追求功能全面，而是明确哪些需求适合自己处理。服务范围的限制，为成本控制与流程设计创造了条件。</w:t>
      </w:r>
    </w:p>
    <w:p>
      <w:pPr>
        <w:spacing w:before="120" w:after="120" w:line="288" w:lineRule="auto"/>
        <w:ind w:left="453"/>
        <w:jc w:val="left"/>
      </w:pPr>
      <w:r>
        <w:rPr>
          <w:rFonts w:eastAsia="等线" w:ascii="Arial" w:cs="Arial" w:hAnsi="Arial"/>
          <w:b w:val="true"/>
          <w:sz w:val="22"/>
        </w:rPr>
        <w:t>第三，能够连接不同领域的能力。</w:t>
      </w:r>
      <w:r>
        <w:rPr>
          <w:rFonts w:eastAsia="等线" w:ascii="Arial" w:cs="Arial" w:hAnsi="Arial"/>
          <w:sz w:val="22"/>
        </w:rPr>
        <w:br/>
      </w:r>
      <w:r>
        <w:rPr>
          <w:rFonts w:eastAsia="等线" w:ascii="Arial" w:cs="Arial" w:hAnsi="Arial"/>
          <w:sz w:val="22"/>
        </w:rPr>
        <w:t>这一模式需要医疗专业知识、零售选址、服务运营、信息系统和支付安排共同作用。复合能力主要体现为理解这些环节之间的关系，并组织专业伙伴协作。</w:t>
      </w:r>
    </w:p>
    <w:p>
      <w:pPr>
        <w:spacing w:before="120" w:after="120" w:line="288" w:lineRule="auto"/>
        <w:ind w:left="453"/>
        <w:jc w:val="left"/>
      </w:pPr>
      <w:r>
        <w:rPr>
          <w:rFonts w:eastAsia="等线" w:ascii="Arial" w:cs="Arial" w:hAnsi="Arial"/>
          <w:b w:val="true"/>
          <w:sz w:val="22"/>
        </w:rPr>
        <w:t>第四，能够将创意落实为可经营的组织。</w:t>
      </w:r>
      <w:r>
        <w:rPr>
          <w:rFonts w:eastAsia="等线" w:ascii="Arial" w:cs="Arial" w:hAnsi="Arial"/>
          <w:sz w:val="22"/>
        </w:rPr>
        <w:br/>
      </w:r>
      <w:r>
        <w:rPr>
          <w:rFonts w:eastAsia="等线" w:ascii="Arial" w:cs="Arial" w:hAnsi="Arial"/>
          <w:sz w:val="22"/>
        </w:rPr>
        <w:t xml:space="preserve"> “看病更方便”只是愿望。把服务项目、人员、流程、价格和场所落实下来，才使它成为可实际交付的产品。</w:t>
      </w:r>
    </w:p>
    <w:p>
      <w:pPr>
        <w:spacing w:before="120" w:after="120" w:line="288" w:lineRule="auto"/>
        <w:ind w:left="453"/>
        <w:jc w:val="left"/>
      </w:pPr>
      <w:r>
        <w:rPr>
          <w:rFonts w:eastAsia="等线" w:ascii="Arial" w:cs="Arial" w:hAnsi="Arial"/>
          <w:sz w:val="22"/>
        </w:rPr>
        <w:t>这些特点比“敢于冒险”或“有商业头脑”更能解释他的创新贡献，因为它们对应的是可以观察和分析的决策。</w:t>
      </w:r>
    </w:p>
    <w:p>
      <w:pPr>
        <w:spacing w:before="120" w:after="120" w:line="288" w:lineRule="auto"/>
        <w:ind w:left="453"/>
        <w:jc w:val="left"/>
      </w:pPr>
      <w:r>
        <w:rPr>
          <w:rFonts w:eastAsia="等线" w:ascii="Arial" w:cs="Arial" w:hAnsi="Arial"/>
          <w:b w:val="true"/>
          <w:sz w:val="22"/>
        </w:rPr>
        <w:t>八、这一案例对“创新”的理解带来了什么变化？</w:t>
      </w:r>
    </w:p>
    <w:p>
      <w:pPr>
        <w:spacing w:before="120" w:after="120" w:line="288" w:lineRule="auto"/>
        <w:ind w:left="453"/>
        <w:jc w:val="left"/>
      </w:pPr>
      <w:r>
        <w:rPr>
          <w:rFonts w:eastAsia="等线" w:ascii="Arial" w:cs="Arial" w:hAnsi="Arial"/>
          <w:sz w:val="22"/>
        </w:rPr>
        <w:t>克里格没有发现新的疾病机理，也没有发明新的药物。他与团队改变的是已有医疗知识和专业能力的组织方式。</w:t>
      </w:r>
    </w:p>
    <w:p>
      <w:pPr>
        <w:spacing w:before="120" w:after="120" w:line="288" w:lineRule="auto"/>
        <w:ind w:left="453"/>
        <w:jc w:val="left"/>
      </w:pPr>
      <w:r>
        <w:rPr>
          <w:rFonts w:eastAsia="等线" w:ascii="Arial" w:cs="Arial" w:hAnsi="Arial"/>
          <w:sz w:val="22"/>
        </w:rPr>
        <w:t>这表明，医疗领域的创新存在不同方向：一类扩大人类能够治疗的疾病范围，另一类改善既有治疗与服务如何到达患者。MinuteClinic 属于后者。它通过重新划分服务任务，使一部分需求能够由不同成本结构的组织承接。</w:t>
      </w:r>
    </w:p>
    <w:p>
      <w:pPr>
        <w:spacing w:before="120" w:after="120" w:line="288" w:lineRule="auto"/>
        <w:ind w:left="453"/>
        <w:jc w:val="left"/>
      </w:pPr>
      <w:r>
        <w:rPr>
          <w:rFonts w:eastAsia="等线" w:ascii="Arial" w:cs="Arial" w:hAnsi="Arial"/>
          <w:sz w:val="22"/>
        </w:rPr>
        <w:t>它最重要的启示是：</w:t>
      </w:r>
      <w:r>
        <w:rPr>
          <w:rFonts w:eastAsia="等线" w:ascii="Arial" w:cs="Arial" w:hAnsi="Arial"/>
          <w:b w:val="true"/>
          <w:sz w:val="22"/>
        </w:rPr>
        <w:t>先进的综合能力并不总是所有需求的最佳配置。创新机会也可能来自识别哪些任务可以被分离出来，并为这些任务建立更合适的服务体系。</w:t>
      </w:r>
    </w:p>
    <w:p>
      <w:pPr>
        <w:spacing w:before="120" w:after="120" w:line="288" w:lineRule="auto"/>
        <w:ind w:left="453"/>
        <w:jc w:val="left"/>
      </w:pPr>
      <w:r>
        <w:rPr>
          <w:rFonts w:eastAsia="等线" w:ascii="Arial" w:cs="Arial" w:hAnsi="Arial"/>
          <w:sz w:val="22"/>
        </w:rPr>
        <w:t>对克里格的评价，应落在这一具体贡献上：他与团队将一种反复出现的就医不便，转化为可运营、可扩展的商业模式。其颠覆性存在于资源配置和竞争方式的改变之中，而不是某项医学技术的性能跃迁。</w:t>
      </w:r>
    </w:p>
    <w:p>
      <w:pPr>
        <w:numPr>
          <w:numId w:val="63"/>
        </w:numPr>
        <w:spacing w:before="120" w:after="120" w:line="288" w:lineRule="auto"/>
        <w:ind w:left="0"/>
        <w:jc w:val="left"/>
      </w:pPr>
      <w:r>
        <w:rPr>
          <w:rFonts w:eastAsia="等线" w:ascii="Arial" w:cs="Arial" w:hAnsi="Arial"/>
          <w:b w:val="true"/>
          <w:sz w:val="22"/>
        </w:rPr>
        <w:t>Robert Langer（朱可欣</w:t>
      </w:r>
      <w:r>
        <w:rPr>
          <w:rFonts w:eastAsia="等线" w:ascii="Arial" w:cs="Arial" w:hAnsi="Arial"/>
          <w:b w:val="true"/>
          <w:sz w:val="22"/>
        </w:rPr>
        <w:t xml:space="preserve"> &amp; 梁美婷</w:t>
      </w:r>
      <w:r>
        <w:rPr>
          <w:rFonts w:eastAsia="等线" w:ascii="Arial" w:cs="Arial" w:hAnsi="Arial"/>
          <w:b w:val="true"/>
          <w:sz w:val="22"/>
        </w:rPr>
        <w:t>）</w:t>
      </w:r>
    </w:p>
    <w:p>
      <w:pPr>
        <w:numPr>
          <w:numId w:val="64"/>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790700" cy="17430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31"/>
                    <a:stretch>
                      <a:fillRect/>
                    </a:stretch>
                  </pic:blipFill>
                  <pic:spPr>
                    <a:xfrm>
                      <a:off x="0" y="0"/>
                      <a:ext cx="1790700" cy="1743075"/>
                    </a:xfrm>
                    <a:prstGeom prst="rect">
                      <a:avLst/>
                    </a:prstGeom>
                  </pic:spPr>
                </pic:pic>
              </a:graphicData>
            </a:graphic>
          </wp:inline>
        </w:drawing>
      </w:r>
    </w:p>
    <w:p>
      <w:pPr>
        <w:numPr>
          <w:numId w:val="65"/>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66"/>
        </w:numPr>
        <w:spacing w:before="120" w:after="120" w:line="288" w:lineRule="auto"/>
        <w:ind w:left="453"/>
        <w:jc w:val="left"/>
      </w:pPr>
      <w:r>
        <w:rPr>
          <w:rFonts w:eastAsia="等线" w:ascii="Arial" w:cs="Arial" w:hAnsi="Arial"/>
          <w:b w:val="true"/>
          <w:sz w:val="22"/>
        </w:rPr>
        <w:t>创新角度：</w:t>
      </w:r>
    </w:p>
    <w:p>
      <w:pPr>
        <w:numPr>
          <w:numId w:val="67"/>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改变药物递送方式（口服或注射），Langer 开创性地利用高分子材料实现药物可控、持续释放，并进一步将生物材料应用于组织工程。</w:t>
      </w:r>
    </w:p>
    <w:p>
      <w:pPr>
        <w:numPr>
          <w:numId w:val="68"/>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Langer在广义上推动了药物治疗模式变革，长效控释制剂可以减少给药频率，改善治疗依从性，并催生植入式给药、靶向递送等新市场。</w:t>
      </w:r>
    </w:p>
    <w:p>
      <w:pPr>
        <w:numPr>
          <w:numId w:val="69"/>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生物医药工程（领导着全球最大的生物医学工程实验室）、药物递送（Drug Delivery）、组织工程（Tissue Engineering）、科研商业化（Academic Entrepreneurship）。</w:t>
      </w:r>
    </w:p>
    <w:p>
      <w:pPr>
        <w:numPr>
          <w:numId w:val="70"/>
        </w:numPr>
        <w:spacing w:before="120" w:after="120" w:line="288" w:lineRule="auto"/>
        <w:ind w:left="453"/>
        <w:jc w:val="left"/>
      </w:pPr>
      <w:r>
        <w:rPr>
          <w:rFonts w:eastAsia="等线" w:ascii="Arial" w:cs="Arial" w:hAnsi="Arial"/>
          <w:b w:val="true"/>
          <w:sz w:val="22"/>
        </w:rPr>
        <w:t>特点：</w:t>
      </w:r>
    </w:p>
    <w:p>
      <w:pPr>
        <w:numPr>
          <w:numId w:val="71"/>
        </w:numPr>
        <w:spacing w:before="120" w:after="120" w:line="288" w:lineRule="auto"/>
        <w:ind w:left="907"/>
        <w:jc w:val="left"/>
      </w:pPr>
      <w:r>
        <w:rPr>
          <w:rFonts w:eastAsia="等线" w:ascii="Arial" w:cs="Arial" w:hAnsi="Arial"/>
          <w:b w:val="true"/>
          <w:sz w:val="22"/>
        </w:rPr>
        <w:t>问题导向：</w:t>
      </w:r>
      <w:r>
        <w:rPr>
          <w:rFonts w:eastAsia="等线" w:ascii="Arial" w:cs="Arial" w:hAnsi="Arial"/>
          <w:sz w:val="22"/>
        </w:rPr>
        <w:t>发现传统给药方式难以实现大分子药物的持续、有效释放，因此从药物递送技术入手。</w:t>
      </w:r>
    </w:p>
    <w:p>
      <w:pPr>
        <w:numPr>
          <w:numId w:val="72"/>
        </w:numPr>
        <w:spacing w:before="120" w:after="120" w:line="288" w:lineRule="auto"/>
        <w:ind w:left="907"/>
        <w:jc w:val="left"/>
      </w:pPr>
      <w:r>
        <w:rPr>
          <w:rFonts w:eastAsia="等线" w:ascii="Arial" w:cs="Arial" w:hAnsi="Arial"/>
          <w:b w:val="true"/>
          <w:sz w:val="22"/>
        </w:rPr>
        <w:t>跨界整合：</w:t>
      </w:r>
      <w:r>
        <w:rPr>
          <w:rFonts w:eastAsia="等线" w:ascii="Arial" w:cs="Arial" w:hAnsi="Arial"/>
          <w:sz w:val="22"/>
        </w:rPr>
        <w:t>将高分子材料工程与药物治疗相结合，开创重要的药物递送技术。</w:t>
      </w:r>
    </w:p>
    <w:p>
      <w:pPr>
        <w:numPr>
          <w:numId w:val="73"/>
        </w:numPr>
        <w:spacing w:before="120" w:after="120" w:line="288" w:lineRule="auto"/>
        <w:ind w:left="907"/>
        <w:jc w:val="left"/>
      </w:pPr>
      <w:r>
        <w:rPr>
          <w:rFonts w:eastAsia="等线" w:ascii="Arial" w:cs="Arial" w:hAnsi="Arial"/>
          <w:b w:val="true"/>
          <w:sz w:val="22"/>
        </w:rPr>
        <w:t>系统思维与追求价值转化：</w:t>
      </w:r>
      <w:r>
        <w:rPr>
          <w:rFonts w:eastAsia="等线" w:ascii="Arial" w:cs="Arial" w:hAnsi="Arial"/>
          <w:sz w:val="22"/>
        </w:rPr>
        <w:t>Robert Langer 不仅发明药物递送技术，还积极通过技术许可与创业推动科研成果应用。MIT技术许可办公室介绍，其专利已被许可或再许可给数百家企业。</w:t>
      </w:r>
    </w:p>
    <w:p>
      <w:pPr>
        <w:numPr>
          <w:numId w:val="74"/>
        </w:numPr>
        <w:spacing w:before="120" w:after="120" w:line="288" w:lineRule="auto"/>
        <w:ind w:left="907"/>
        <w:jc w:val="left"/>
      </w:pPr>
      <w:r>
        <w:rPr>
          <w:rFonts w:eastAsia="等线" w:ascii="Arial" w:cs="Arial" w:hAnsi="Arial"/>
          <w:b w:val="true"/>
          <w:sz w:val="22"/>
        </w:rPr>
        <w:t>不害怕失败：</w:t>
      </w:r>
      <w:r>
        <w:rPr>
          <w:rFonts w:eastAsia="等线" w:ascii="Arial" w:cs="Arial" w:hAnsi="Arial"/>
          <w:sz w:val="22"/>
        </w:rPr>
        <w:t xml:space="preserve"> 职业早期连续被拒9次科研经费申请、申请数十所顶尖大学教职基本上都被拒绝，但对否定和挫败毫无怨尤。</w:t>
      </w:r>
    </w:p>
    <w:p>
      <w:pPr>
        <w:numPr>
          <w:numId w:val="75"/>
        </w:numPr>
        <w:spacing w:before="120" w:after="120" w:line="288" w:lineRule="auto"/>
        <w:ind w:left="907"/>
        <w:jc w:val="left"/>
      </w:pPr>
      <w:r>
        <w:rPr>
          <w:rFonts w:eastAsia="等线" w:ascii="Arial" w:cs="Arial" w:hAnsi="Arial"/>
          <w:b w:val="true"/>
          <w:sz w:val="22"/>
        </w:rPr>
        <w:t>好奇心：</w:t>
      </w:r>
      <w:r>
        <w:rPr>
          <w:rFonts w:eastAsia="等线" w:ascii="Arial" w:cs="Arial" w:hAnsi="Arial"/>
          <w:sz w:val="22"/>
        </w:rPr>
        <w:t xml:space="preserve"> 面对“这在科学上不可能实现”的断言，不仅不退缩，还会激兴奋感，把解决未解难题当成终生乐趣。</w:t>
      </w:r>
    </w:p>
    <w:p>
      <w:pPr>
        <w:numPr>
          <w:numId w:val="76"/>
        </w:numPr>
        <w:spacing w:before="120" w:after="120" w:line="288" w:lineRule="auto"/>
        <w:ind w:left="0"/>
        <w:jc w:val="left"/>
      </w:pPr>
      <w:r>
        <w:rPr>
          <w:rFonts w:eastAsia="等线" w:ascii="Arial" w:cs="Arial" w:hAnsi="Arial"/>
          <w:b w:val="true"/>
          <w:sz w:val="22"/>
        </w:rPr>
        <w:t>Demis Hassabis（朱可欣）</w:t>
      </w:r>
    </w:p>
    <w:p>
      <w:pPr>
        <w:numPr>
          <w:numId w:val="77"/>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2085975" cy="20288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32"/>
                    <a:stretch>
                      <a:fillRect/>
                    </a:stretch>
                  </pic:blipFill>
                  <pic:spPr>
                    <a:xfrm>
                      <a:off x="0" y="0"/>
                      <a:ext cx="2085975" cy="2028825"/>
                    </a:xfrm>
                    <a:prstGeom prst="rect">
                      <a:avLst/>
                    </a:prstGeom>
                  </pic:spPr>
                </pic:pic>
              </a:graphicData>
            </a:graphic>
          </wp:inline>
        </w:drawing>
      </w:r>
    </w:p>
    <w:p>
      <w:pPr>
        <w:numPr>
          <w:numId w:val="78"/>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英国</w:t>
      </w:r>
    </w:p>
    <w:p>
      <w:pPr>
        <w:numPr>
          <w:numId w:val="79"/>
        </w:numPr>
        <w:spacing w:before="120" w:after="120" w:line="288" w:lineRule="auto"/>
        <w:ind w:left="453"/>
        <w:jc w:val="left"/>
      </w:pPr>
      <w:r>
        <w:rPr>
          <w:rFonts w:eastAsia="等线" w:ascii="Arial" w:cs="Arial" w:hAnsi="Arial"/>
          <w:b w:val="true"/>
          <w:sz w:val="22"/>
        </w:rPr>
        <w:t>创新角度：</w:t>
      </w:r>
    </w:p>
    <w:p>
      <w:pPr>
        <w:numPr>
          <w:numId w:val="80"/>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 xml:space="preserve"> 领导Google DeepMind团队开发 AlphaFold，利用深度学习技术实现蛋白质三维结构的高精度预测，突破传统结构生物学高度依赖复杂实验测定的技术限制，解决了困扰科学界数十年的蛋白质结构预测难题。</w:t>
      </w:r>
    </w:p>
    <w:p>
      <w:pPr>
        <w:numPr>
          <w:numId w:val="81"/>
        </w:numPr>
        <w:spacing w:before="120" w:after="120" w:line="288" w:lineRule="auto"/>
        <w:ind w:left="907"/>
        <w:jc w:val="left"/>
      </w:pPr>
      <w:r>
        <w:rPr>
          <w:rFonts w:eastAsia="等线" w:ascii="Arial" w:cs="Arial" w:hAnsi="Arial"/>
          <w:b w:val="true"/>
          <w:sz w:val="22"/>
        </w:rPr>
        <w:t xml:space="preserve">颠覆性创新： </w:t>
      </w:r>
      <w:r>
        <w:rPr>
          <w:rFonts w:eastAsia="等线" w:ascii="Arial" w:cs="Arial" w:hAnsi="Arial"/>
          <w:sz w:val="22"/>
        </w:rPr>
        <w:t>推动结构生物学研究由高度依赖实验测定，转向“AI预测辅助实验验证”的新模式，显著降低获取蛋白质结构信息的时间成本与技术门槛。同时创立 Isomorphic Labs，探索以AI驱动药物发现和分子设计，有望重塑传统制药研发流程。</w:t>
      </w:r>
    </w:p>
    <w:p>
      <w:pPr>
        <w:numPr>
          <w:numId w:val="82"/>
        </w:numPr>
        <w:spacing w:before="120" w:after="120" w:line="288" w:lineRule="auto"/>
        <w:ind w:left="453"/>
        <w:jc w:val="left"/>
      </w:pPr>
      <w:r>
        <w:rPr>
          <w:rFonts w:eastAsia="等线" w:ascii="Arial" w:cs="Arial" w:hAnsi="Arial"/>
          <w:b w:val="true"/>
          <w:sz w:val="22"/>
        </w:rPr>
        <w:t xml:space="preserve">创新领域： </w:t>
      </w:r>
      <w:r>
        <w:rPr>
          <w:rFonts w:eastAsia="等线" w:ascii="Arial" w:cs="Arial" w:hAnsi="Arial"/>
          <w:sz w:val="22"/>
        </w:rPr>
        <w:t>人工智能与计算生物学（AI for Science）、蛋白质结构预测（Protein Structure Prediction）、分子相互作用建模（Biomolecular Interaction Modeling）</w:t>
      </w:r>
    </w:p>
    <w:p>
      <w:pPr>
        <w:numPr>
          <w:numId w:val="83"/>
        </w:numPr>
        <w:spacing w:before="120" w:after="120" w:line="288" w:lineRule="auto"/>
        <w:ind w:left="453"/>
        <w:jc w:val="left"/>
      </w:pPr>
      <w:r>
        <w:rPr>
          <w:rFonts w:eastAsia="等线" w:ascii="Arial" w:cs="Arial" w:hAnsi="Arial"/>
          <w:sz w:val="22"/>
        </w:rPr>
        <w:t>特点：</w:t>
      </w:r>
    </w:p>
    <w:p>
      <w:pPr>
        <w:numPr>
          <w:numId w:val="84"/>
        </w:numPr>
        <w:spacing w:before="120" w:after="120" w:line="288" w:lineRule="auto"/>
        <w:ind w:left="907"/>
        <w:jc w:val="left"/>
      </w:pPr>
      <w:r>
        <w:rPr>
          <w:rFonts w:eastAsia="等线" w:ascii="Arial" w:cs="Arial" w:hAnsi="Arial"/>
          <w:b w:val="true"/>
          <w:sz w:val="22"/>
        </w:rPr>
        <w:t xml:space="preserve">跨学科整合： </w:t>
      </w:r>
      <w:r>
        <w:rPr>
          <w:rFonts w:eastAsia="等线" w:ascii="Arial" w:cs="Arial" w:hAnsi="Arial"/>
          <w:sz w:val="22"/>
        </w:rPr>
        <w:t>兼具计算机科学、神经科学和人工智能研究背景，将AI领域积累的深度学习与预测建模能力应用于结构生物学，使原本属于不同学科的研究方法产生新的科学价值。</w:t>
      </w:r>
    </w:p>
    <w:p>
      <w:pPr>
        <w:numPr>
          <w:numId w:val="85"/>
        </w:numPr>
        <w:spacing w:before="120" w:after="120" w:line="288" w:lineRule="auto"/>
        <w:ind w:left="907"/>
        <w:jc w:val="left"/>
      </w:pPr>
      <w:r>
        <w:rPr>
          <w:rFonts w:eastAsia="等线" w:ascii="Arial" w:cs="Arial" w:hAnsi="Arial"/>
          <w:b w:val="true"/>
          <w:sz w:val="22"/>
        </w:rPr>
        <w:t>长期主义与愿景驱动：</w:t>
      </w:r>
      <w:r>
        <w:rPr>
          <w:rFonts w:eastAsia="等线" w:ascii="Arial" w:cs="Arial" w:hAnsi="Arial"/>
          <w:sz w:val="22"/>
        </w:rPr>
        <w:t xml:space="preserve"> AlphaFold体现了他不局限于短期商业回报，而是围绕长期科学目标持续投入、攻克高难度问题的创新理念。</w:t>
      </w:r>
    </w:p>
    <w:p>
      <w:pPr>
        <w:numPr>
          <w:numId w:val="86"/>
        </w:numPr>
        <w:spacing w:before="120" w:after="120" w:line="288" w:lineRule="auto"/>
        <w:ind w:left="907"/>
        <w:jc w:val="left"/>
      </w:pPr>
      <w:r>
        <w:rPr>
          <w:rFonts w:eastAsia="等线" w:ascii="Arial" w:cs="Arial" w:hAnsi="Arial"/>
          <w:b w:val="true"/>
          <w:sz w:val="22"/>
        </w:rPr>
        <w:t>追求价值转化：</w:t>
      </w:r>
      <w:r>
        <w:rPr>
          <w:rFonts w:eastAsia="等线" w:ascii="Arial" w:cs="Arial" w:hAnsi="Arial"/>
          <w:sz w:val="22"/>
        </w:rPr>
        <w:t>在推动AlphaFold基础研究的同时，通过 Isomorphic Labs 将AI技术进一步应用于药物研发，并与诺华（Novartis）、礼来（Eli Lilly）、强生（Johnson &amp; Johnson）等制药企业建立研究合作，探索从算法创新走向药物研发应用的产业路径。</w:t>
      </w:r>
    </w:p>
    <w:p>
      <w:pPr>
        <w:spacing w:before="120" w:after="120" w:line="288" w:lineRule="auto"/>
        <w:ind w:left="453"/>
        <w:jc w:val="left"/>
      </w:pPr>
      <w:r>
        <w:rPr>
          <w:rFonts w:eastAsia="等线" w:ascii="Arial" w:cs="Arial" w:hAnsi="Arial"/>
          <w:sz w:val="22"/>
        </w:rPr>
        <w:t>介绍：</w:t>
      </w:r>
      <w:r>
        <w:rPr>
          <w:rFonts w:eastAsia="等线" w:ascii="Arial" w:cs="Arial" w:hAnsi="Arial"/>
          <w:sz w:val="22"/>
        </w:rPr>
        <w:t>https://mp.weixin.qq.com/s/SaNX-zE7NG9jlHuPifv6Zw?scene=1&amp;click_id=13</w:t>
      </w:r>
    </w:p>
    <w:p>
      <w:pPr>
        <w:numPr>
          <w:numId w:val="87"/>
        </w:numPr>
        <w:spacing w:before="120" w:after="120" w:line="288" w:lineRule="auto"/>
        <w:ind w:left="0"/>
        <w:jc w:val="left"/>
      </w:pPr>
      <w:r>
        <w:rPr>
          <w:rFonts w:eastAsia="等线" w:ascii="Arial" w:cs="Arial" w:hAnsi="Arial"/>
          <w:b w:val="true"/>
          <w:sz w:val="22"/>
        </w:rPr>
        <w:t>邓宏魁 （朱可欣）</w:t>
      </w:r>
    </w:p>
    <w:p>
      <w:pPr>
        <w:numPr>
          <w:numId w:val="88"/>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914525" cy="20288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3"/>
                    <a:stretch>
                      <a:fillRect/>
                    </a:stretch>
                  </pic:blipFill>
                  <pic:spPr>
                    <a:xfrm>
                      <a:off x="0" y="0"/>
                      <a:ext cx="1914525" cy="2028825"/>
                    </a:xfrm>
                    <a:prstGeom prst="rect">
                      <a:avLst/>
                    </a:prstGeom>
                  </pic:spPr>
                </pic:pic>
              </a:graphicData>
            </a:graphic>
          </wp:inline>
        </w:drawing>
      </w:r>
    </w:p>
    <w:p>
      <w:pPr>
        <w:numPr>
          <w:numId w:val="89"/>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中国</w:t>
      </w:r>
    </w:p>
    <w:p>
      <w:pPr>
        <w:numPr>
          <w:numId w:val="90"/>
        </w:numPr>
        <w:spacing w:before="120" w:after="120" w:line="288" w:lineRule="auto"/>
        <w:ind w:left="453"/>
        <w:jc w:val="left"/>
      </w:pPr>
      <w:r>
        <w:rPr>
          <w:rFonts w:eastAsia="等线" w:ascii="Arial" w:cs="Arial" w:hAnsi="Arial"/>
          <w:b w:val="true"/>
          <w:sz w:val="22"/>
        </w:rPr>
        <w:t>创新角度：</w:t>
      </w:r>
    </w:p>
    <w:p>
      <w:pPr>
        <w:numPr>
          <w:numId w:val="91"/>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开创了利用化学小分子实现体细胞重编程的新技术路径。传统诱导多能干细胞（iPSC）技术主要依赖导入特定转录因子，存在外源基因整合等潜在风险。邓宏魁团队提出通过化学小分子组合调控细胞命运，并于2013年成功利用7种小分子将小鼠体细胞重编程为多能干细胞；2022年进一步实现人类体细胞的化学重编程，这一成果为细胞命运调控和再生医学开辟了新的技术路线。</w:t>
      </w:r>
    </w:p>
    <w:p>
      <w:pPr>
        <w:numPr>
          <w:numId w:val="92"/>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化学重编程技术有望改变传统细胞治疗的技术基础，使研究人员能够通过更可调控的化学方法获得用于疾病研究和再生医学的多能干细胞。2024年，邓宏魁参与的合作团队在《Cell》发表1型糖尿病患者的再生胰岛移植研究，报告一名患者在移植后第75天实现脱离外源胰岛素，并在论文报告的一年随访期间维持这一状态。这为未来通过移植功能性细胞改善疾病，而不只是长期补充缺失的生理功能，提供了早期临床证据。</w:t>
      </w:r>
    </w:p>
    <w:p>
      <w:pPr>
        <w:numPr>
          <w:numId w:val="93"/>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干细胞生物学（Stem Cell Biology）、化学重编程（Chemical Reprogramming）、再生医学（Regenerative Medicine）、细胞替代治疗（Cell Replacement Therapy）。</w:t>
      </w:r>
    </w:p>
    <w:p>
      <w:pPr>
        <w:numPr>
          <w:numId w:val="94"/>
        </w:numPr>
        <w:spacing w:before="120" w:after="120" w:line="288" w:lineRule="auto"/>
        <w:ind w:left="453"/>
        <w:jc w:val="left"/>
      </w:pPr>
      <w:r>
        <w:rPr>
          <w:rFonts w:eastAsia="等线" w:ascii="Arial" w:cs="Arial" w:hAnsi="Arial"/>
          <w:b w:val="true"/>
          <w:sz w:val="22"/>
        </w:rPr>
        <w:t>特点：</w:t>
      </w:r>
    </w:p>
    <w:p>
      <w:pPr>
        <w:numPr>
          <w:numId w:val="95"/>
        </w:numPr>
        <w:spacing w:before="120" w:after="120" w:line="288" w:lineRule="auto"/>
        <w:ind w:left="907"/>
        <w:jc w:val="left"/>
      </w:pPr>
      <w:r>
        <w:rPr>
          <w:rFonts w:eastAsia="等线" w:ascii="Arial" w:cs="Arial" w:hAnsi="Arial"/>
          <w:b w:val="true"/>
          <w:sz w:val="22"/>
        </w:rPr>
        <w:t>不拘泥于既有技术路径：</w:t>
      </w:r>
      <w:r>
        <w:rPr>
          <w:rFonts w:eastAsia="等线" w:ascii="Arial" w:cs="Arial" w:hAnsi="Arial"/>
          <w:sz w:val="22"/>
        </w:rPr>
        <w:t>在山中伸弥已经通过转录因子实现细胞重编程的背景下，邓宏魁没有停留于提高既有方法的效率，而是尝试通过化学小分子建立完全不同的重编程路线，体现了重新审视成熟技术方案、寻找替代性技术原理的能力。</w:t>
      </w:r>
    </w:p>
    <w:p>
      <w:pPr>
        <w:numPr>
          <w:numId w:val="96"/>
        </w:numPr>
        <w:spacing w:before="120" w:after="120" w:line="288" w:lineRule="auto"/>
        <w:ind w:left="907"/>
        <w:jc w:val="left"/>
      </w:pPr>
      <w:r>
        <w:rPr>
          <w:rFonts w:eastAsia="等线" w:ascii="Arial" w:cs="Arial" w:hAnsi="Arial"/>
          <w:b w:val="true"/>
          <w:sz w:val="22"/>
        </w:rPr>
        <w:t>循序验证与持续推进：</w:t>
      </w:r>
      <w:r>
        <w:rPr>
          <w:rFonts w:eastAsia="等线" w:ascii="Arial" w:cs="Arial" w:hAnsi="Arial"/>
          <w:sz w:val="22"/>
        </w:rPr>
        <w:t>从2013年小鼠细胞重编程，到2022年人类细胞重编程，再到2024年参与临床转化研究，邓宏魁带领团队逐步跨越了物种差异、技术可行性和临床应用等不同阶段的挑战。</w:t>
      </w:r>
    </w:p>
    <w:p>
      <w:pPr>
        <w:numPr>
          <w:numId w:val="97"/>
        </w:numPr>
        <w:spacing w:before="120" w:after="120" w:line="288" w:lineRule="auto"/>
        <w:ind w:left="0"/>
        <w:jc w:val="left"/>
      </w:pPr>
      <w:r>
        <w:rPr>
          <w:rFonts w:eastAsia="等线" w:ascii="Arial" w:cs="Arial" w:hAnsi="Arial"/>
          <w:b w:val="true"/>
          <w:sz w:val="22"/>
        </w:rPr>
        <w:t>李时珍（朱可欣）| 药物知识分类与系统重构</w:t>
      </w:r>
    </w:p>
    <w:p>
      <w:pPr>
        <w:numPr>
          <w:numId w:val="98"/>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666875" cy="17335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4"/>
                    <a:stretch>
                      <a:fillRect/>
                    </a:stretch>
                  </pic:blipFill>
                  <pic:spPr>
                    <a:xfrm>
                      <a:off x="0" y="0"/>
                      <a:ext cx="1666875" cy="1733550"/>
                    </a:xfrm>
                    <a:prstGeom prst="rect">
                      <a:avLst/>
                    </a:prstGeom>
                  </pic:spPr>
                </pic:pic>
              </a:graphicData>
            </a:graphic>
          </wp:inline>
        </w:drawing>
      </w:r>
    </w:p>
    <w:p>
      <w:pPr>
        <w:numPr>
          <w:numId w:val="99"/>
        </w:numPr>
        <w:spacing w:before="120" w:after="120" w:line="288" w:lineRule="auto"/>
        <w:ind w:left="453"/>
        <w:jc w:val="left"/>
      </w:pPr>
      <w:r>
        <w:rPr>
          <w:rFonts w:eastAsia="等线" w:ascii="Arial" w:cs="Arial" w:hAnsi="Arial"/>
          <w:b w:val="true"/>
          <w:sz w:val="22"/>
        </w:rPr>
        <w:t>国籍：中国（明代）</w:t>
      </w:r>
    </w:p>
    <w:p>
      <w:pPr>
        <w:numPr>
          <w:numId w:val="100"/>
        </w:numPr>
        <w:spacing w:before="120" w:after="120" w:line="288" w:lineRule="auto"/>
        <w:ind w:left="453"/>
        <w:jc w:val="left"/>
      </w:pPr>
      <w:r>
        <w:rPr>
          <w:rFonts w:eastAsia="等线" w:ascii="Arial" w:cs="Arial" w:hAnsi="Arial"/>
          <w:b w:val="true"/>
          <w:sz w:val="22"/>
        </w:rPr>
        <w:t>创新角度：</w:t>
      </w:r>
    </w:p>
    <w:p>
      <w:pPr>
        <w:numPr>
          <w:numId w:val="101"/>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重构了中国古代药物知识的分类与记录体系。李时珍历经约27年的文献考证、实地调查与反复修订，于1578年完成《本草纲目》，系统收录药物1892种、方剂11096首，并按照16部、60类重新组织药物知识。他不仅重新分类，还通过“释名、集解、正误、修治、气味、主治、发明、附方”等项目规范药物信息的记录方式，推动传统本草知识从相对分散的经验记载，发展为结构更清晰、便于检索和比较的知识体系。</w:t>
      </w:r>
    </w:p>
    <w:p>
      <w:pPr>
        <w:numPr>
          <w:numId w:val="102"/>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本草纲目》改变了传统医学知识主要依靠历代典籍分别积累、反复查证的使用方式，将大量零散的药物信息整合为相对统一的参考体系，降低了后世医者检索、比较和学习药物知识的难度。1596年，该书在李时珍逝世后于南京刊行，此后多次翻刻，并传播至日本、朝鲜及欧洲等地区，对本草学与博物学的发展产生了长期影响。</w:t>
      </w:r>
    </w:p>
    <w:p>
      <w:pPr>
        <w:numPr>
          <w:numId w:val="103"/>
        </w:numPr>
        <w:spacing w:before="120" w:after="120" w:line="288" w:lineRule="auto"/>
        <w:ind w:left="453"/>
        <w:jc w:val="left"/>
      </w:pPr>
      <w:r>
        <w:rPr>
          <w:rFonts w:eastAsia="等线" w:ascii="Arial" w:cs="Arial" w:hAnsi="Arial"/>
          <w:b w:val="true"/>
          <w:sz w:val="22"/>
        </w:rPr>
        <w:t xml:space="preserve">创新领域： </w:t>
      </w:r>
      <w:r>
        <w:rPr>
          <w:rFonts w:eastAsia="等线" w:ascii="Arial" w:cs="Arial" w:hAnsi="Arial"/>
          <w:sz w:val="22"/>
        </w:rPr>
        <w:t>本草学（Traditional Materia Medica）、药物分类与知识组织（Pharmacological Classification）、博物学（Natural History）、医学文献整理与知识传播（Medical Knowledge Organization and Dissemination）。</w:t>
      </w:r>
    </w:p>
    <w:p>
      <w:pPr>
        <w:numPr>
          <w:numId w:val="104"/>
        </w:numPr>
        <w:spacing w:before="120" w:after="120" w:line="288" w:lineRule="auto"/>
        <w:ind w:left="453"/>
        <w:jc w:val="left"/>
      </w:pPr>
      <w:r>
        <w:rPr>
          <w:rFonts w:eastAsia="等线" w:ascii="Arial" w:cs="Arial" w:hAnsi="Arial"/>
          <w:b w:val="true"/>
          <w:sz w:val="22"/>
        </w:rPr>
        <w:t>特点：</w:t>
      </w:r>
    </w:p>
    <w:p>
      <w:pPr>
        <w:numPr>
          <w:numId w:val="105"/>
        </w:numPr>
        <w:spacing w:before="120" w:after="120" w:line="288" w:lineRule="auto"/>
        <w:ind w:left="907"/>
        <w:jc w:val="left"/>
      </w:pPr>
      <w:r>
        <w:rPr>
          <w:rFonts w:eastAsia="等线" w:ascii="Arial" w:cs="Arial" w:hAnsi="Arial"/>
          <w:b w:val="true"/>
          <w:sz w:val="22"/>
        </w:rPr>
        <w:t>注重长期积累：</w:t>
      </w:r>
      <w:r>
        <w:rPr>
          <w:rFonts w:eastAsia="等线" w:ascii="Arial" w:cs="Arial" w:hAnsi="Arial"/>
          <w:sz w:val="22"/>
        </w:rPr>
        <w:t>编写《本草纲目》历经约27年，其间参考800余种文献，并多次开展实地调查，经过三次较大的修改才完成定稿。这体现了将庞杂知识体系持续检验、更新和完善的能力。</w:t>
      </w:r>
    </w:p>
    <w:p>
      <w:pPr>
        <w:numPr>
          <w:numId w:val="106"/>
        </w:numPr>
        <w:spacing w:before="120" w:after="120" w:line="288" w:lineRule="auto"/>
        <w:ind w:left="907"/>
        <w:jc w:val="left"/>
      </w:pPr>
      <w:r>
        <w:rPr>
          <w:rFonts w:eastAsia="等线" w:ascii="Arial" w:cs="Arial" w:hAnsi="Arial"/>
          <w:b w:val="true"/>
          <w:sz w:val="22"/>
        </w:rPr>
        <w:t>批判性思维、乐于实践：</w:t>
      </w:r>
      <w:r>
        <w:rPr>
          <w:rFonts w:eastAsia="等线" w:ascii="Arial" w:cs="Arial" w:hAnsi="Arial"/>
          <w:sz w:val="22"/>
        </w:rPr>
        <w:t xml:space="preserve"> 不盲目接受前人典籍中的结论，而是通过实地观察与调查重新核实药物信息。例如，前人曾记载穿山甲依靠张开鳞片引诱蚂蚁取食，李时珍通过观察纠正了这一错误认识，体现了对传统知识保持批判性判断的精神。</w:t>
      </w:r>
    </w:p>
    <w:p>
      <w:pPr>
        <w:numPr>
          <w:numId w:val="107"/>
        </w:numPr>
        <w:spacing w:before="120" w:after="120" w:line="288" w:lineRule="auto"/>
        <w:ind w:left="0"/>
        <w:jc w:val="left"/>
      </w:pPr>
      <w:r>
        <w:rPr>
          <w:rFonts w:eastAsia="等线" w:ascii="Arial" w:cs="Arial" w:hAnsi="Arial"/>
          <w:b w:val="true"/>
          <w:sz w:val="22"/>
        </w:rPr>
        <w:t>葛洪（朱可欣）</w:t>
      </w:r>
    </w:p>
    <w:p>
      <w:pPr>
        <w:numPr>
          <w:numId w:val="108"/>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885950" cy="14954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5"/>
                    <a:stretch>
                      <a:fillRect/>
                    </a:stretch>
                  </pic:blipFill>
                  <pic:spPr>
                    <a:xfrm>
                      <a:off x="0" y="0"/>
                      <a:ext cx="1885950" cy="1495425"/>
                    </a:xfrm>
                    <a:prstGeom prst="rect">
                      <a:avLst/>
                    </a:prstGeom>
                  </pic:spPr>
                </pic:pic>
              </a:graphicData>
            </a:graphic>
          </wp:inline>
        </w:drawing>
      </w:r>
    </w:p>
    <w:p>
      <w:pPr>
        <w:numPr>
          <w:numId w:val="109"/>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中国（东晋）</w:t>
      </w:r>
    </w:p>
    <w:p>
      <w:pPr>
        <w:numPr>
          <w:numId w:val="110"/>
        </w:numPr>
        <w:spacing w:before="120" w:after="120" w:line="288" w:lineRule="auto"/>
        <w:ind w:left="453"/>
        <w:jc w:val="left"/>
      </w:pPr>
      <w:r>
        <w:rPr>
          <w:rFonts w:eastAsia="等线" w:ascii="Arial" w:cs="Arial" w:hAnsi="Arial"/>
          <w:b w:val="true"/>
          <w:sz w:val="22"/>
        </w:rPr>
        <w:t>创新角度：</w:t>
      </w:r>
    </w:p>
    <w:p>
      <w:pPr>
        <w:numPr>
          <w:numId w:val="111"/>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古代医学典籍数量众多、内容庞杂，部分治疗方法依赖珍贵药材或复杂操作，普通民众难以掌握。葛洪重新筛选、精简既有医方，优先收录材料相对容易取得、操作较为简便的急症处理方法，并按照不同疾病与紧急情况组织内容，形成了《肘后备急方》。</w:t>
      </w:r>
    </w:p>
    <w:p>
      <w:pPr>
        <w:numPr>
          <w:numId w:val="112"/>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 xml:space="preserve"> 葛洪在自序中强调采用价格较低、容易获得的药材，反映出他有意识地为资源不足的人群设计解决方案。从广义上看，这与新市场颠覆所关注的 Nonconsumption（原本未被充分服务的需求） 有相似性，即通过降低使用门槛扩大服务覆盖范围。</w:t>
      </w:r>
    </w:p>
    <w:p>
      <w:pPr>
        <w:numPr>
          <w:numId w:val="113"/>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医学知识普及（Medical Knowledge Dissemination）、实用医方编纂（Practical Medical Prescriptions）。</w:t>
      </w:r>
    </w:p>
    <w:p>
      <w:pPr>
        <w:numPr>
          <w:numId w:val="114"/>
        </w:numPr>
        <w:spacing w:before="120" w:after="120" w:line="288" w:lineRule="auto"/>
        <w:ind w:left="453"/>
        <w:jc w:val="left"/>
      </w:pPr>
      <w:r>
        <w:rPr>
          <w:rFonts w:eastAsia="等线" w:ascii="Arial" w:cs="Arial" w:hAnsi="Arial"/>
          <w:b w:val="true"/>
          <w:sz w:val="22"/>
        </w:rPr>
        <w:t>特点：</w:t>
      </w:r>
    </w:p>
    <w:p>
      <w:pPr>
        <w:numPr>
          <w:numId w:val="115"/>
        </w:numPr>
        <w:spacing w:before="120" w:after="120" w:line="288" w:lineRule="auto"/>
        <w:ind w:left="907"/>
        <w:jc w:val="left"/>
      </w:pPr>
      <w:r>
        <w:rPr>
          <w:rFonts w:eastAsia="等线" w:ascii="Arial" w:cs="Arial" w:hAnsi="Arial"/>
          <w:b w:val="true"/>
          <w:sz w:val="22"/>
        </w:rPr>
        <w:t>简约务实：</w:t>
      </w:r>
      <w:r>
        <w:rPr>
          <w:rFonts w:eastAsia="等线" w:ascii="Arial" w:cs="Arial" w:hAnsi="Arial"/>
          <w:sz w:val="22"/>
        </w:rPr>
        <w:t>在药材稀缺、部分药材价格昂贵的历史条件下，他优先收录较易取得、成本较低、操作较简便的急症处理法，面向普通家庭和偏远地区，而非追求治疗方法的复杂性。</w:t>
      </w:r>
    </w:p>
    <w:p>
      <w:pPr>
        <w:numPr>
          <w:numId w:val="116"/>
        </w:numPr>
        <w:spacing w:before="120" w:after="120" w:line="288" w:lineRule="auto"/>
        <w:ind w:left="907"/>
        <w:jc w:val="left"/>
      </w:pPr>
      <w:r>
        <w:rPr>
          <w:rFonts w:eastAsia="等线" w:ascii="Arial" w:cs="Arial" w:hAnsi="Arial"/>
          <w:b w:val="true"/>
          <w:sz w:val="22"/>
        </w:rPr>
        <w:t>具备用户视角：</w:t>
      </w:r>
      <w:r>
        <w:rPr>
          <w:rFonts w:eastAsia="等线" w:ascii="Arial" w:cs="Arial" w:hAnsi="Arial"/>
          <w:sz w:val="22"/>
        </w:rPr>
        <w:t>充分考虑非专业使用者的认知局限，有意识降低专业知识的理解和操作门槛。</w:t>
      </w:r>
    </w:p>
    <w:p>
      <w:pPr>
        <w:numPr>
          <w:numId w:val="117"/>
        </w:numPr>
        <w:spacing w:before="120" w:after="120" w:line="288" w:lineRule="auto"/>
        <w:ind w:left="907"/>
        <w:jc w:val="left"/>
      </w:pPr>
      <w:r>
        <w:rPr>
          <w:rFonts w:eastAsia="等线" w:ascii="Arial" w:cs="Arial" w:hAnsi="Arial"/>
          <w:b w:val="true"/>
          <w:sz w:val="22"/>
        </w:rPr>
        <w:t>希望创造价值普惠：</w:t>
      </w:r>
      <w:r>
        <w:rPr>
          <w:rFonts w:eastAsia="等线" w:ascii="Arial" w:cs="Arial" w:hAnsi="Arial"/>
          <w:sz w:val="22"/>
        </w:rPr>
        <w:t>创新目标不止于保存医术，更看重打破知识壁垒，实现医疗经验的广泛传播与社会救急价值。</w:t>
      </w:r>
    </w:p>
    <w:p>
      <w:pPr>
        <w:numPr>
          <w:numId w:val="118"/>
        </w:numPr>
        <w:spacing w:before="120" w:after="120" w:line="288" w:lineRule="auto"/>
        <w:ind w:left="0"/>
        <w:jc w:val="left"/>
      </w:pPr>
      <w:r>
        <w:rPr>
          <w:rFonts w:eastAsia="等线" w:ascii="Arial" w:cs="Arial" w:hAnsi="Arial"/>
          <w:b w:val="true"/>
          <w:sz w:val="22"/>
        </w:rPr>
        <w:t>张仲景（朱可欣）</w:t>
      </w:r>
    </w:p>
    <w:p>
      <w:pPr>
        <w:numPr>
          <w:numId w:val="119"/>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866900" cy="21812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6"/>
                    <a:stretch>
                      <a:fillRect/>
                    </a:stretch>
                  </pic:blipFill>
                  <pic:spPr>
                    <a:xfrm>
                      <a:off x="0" y="0"/>
                      <a:ext cx="1866900" cy="2181225"/>
                    </a:xfrm>
                    <a:prstGeom prst="rect">
                      <a:avLst/>
                    </a:prstGeom>
                  </pic:spPr>
                </pic:pic>
              </a:graphicData>
            </a:graphic>
          </wp:inline>
        </w:drawing>
      </w:r>
    </w:p>
    <w:p>
      <w:pPr>
        <w:numPr>
          <w:numId w:val="120"/>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中国（东汉末年）</w:t>
      </w:r>
    </w:p>
    <w:p>
      <w:pPr>
        <w:numPr>
          <w:numId w:val="121"/>
        </w:numPr>
        <w:spacing w:before="120" w:after="120" w:line="288" w:lineRule="auto"/>
        <w:ind w:left="453"/>
        <w:jc w:val="left"/>
      </w:pPr>
      <w:r>
        <w:rPr>
          <w:rFonts w:eastAsia="等线" w:ascii="Arial" w:cs="Arial" w:hAnsi="Arial"/>
          <w:b w:val="true"/>
          <w:sz w:val="22"/>
        </w:rPr>
        <w:t>创新角度：</w:t>
      </w:r>
    </w:p>
    <w:p>
      <w:pPr>
        <w:numPr>
          <w:numId w:val="122"/>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在《伤寒杂病论》中，根据患者的不同症状、病情变化及疾病发展阶段，归纳相应的治疗原则与方药选择。尤其是在外感热病研究中，他将复杂的临床表现组织为太阳、阳明、少阳、太阴、少阴、厥阴六类病证，并建立病证与治疗方法之间的对应关系，推动传统医学从经验性用方，发展出更加系统的临床分析和决策框架。后世将这一体系概括为“六经辨证”，成为传统中医辨证论治的重要基础。</w:t>
      </w:r>
    </w:p>
    <w:p>
      <w:pPr>
        <w:numPr>
          <w:numId w:val="123"/>
        </w:numPr>
        <w:spacing w:before="120" w:after="120" w:line="288" w:lineRule="auto"/>
        <w:ind w:left="907"/>
        <w:jc w:val="left"/>
      </w:pPr>
      <w:r>
        <w:rPr>
          <w:rFonts w:eastAsia="等线" w:ascii="Arial" w:cs="Arial" w:hAnsi="Arial"/>
          <w:b w:val="true"/>
          <w:sz w:val="22"/>
        </w:rPr>
        <w:t xml:space="preserve">颠覆性创新： </w:t>
      </w:r>
      <w:r>
        <w:rPr>
          <w:rFonts w:eastAsia="等线" w:ascii="Arial" w:cs="Arial" w:hAnsi="Arial"/>
          <w:sz w:val="22"/>
        </w:rPr>
        <w:t>诊疗决策方法的历史性变革，改变了传统医学知识的使用逻辑：医者不只是依据疾病名称机械选择方药，而是根据患者所呈现的不同病证及其变化，决定相应治疗方案。</w:t>
      </w:r>
    </w:p>
    <w:p>
      <w:pPr>
        <w:numPr>
          <w:numId w:val="124"/>
        </w:numPr>
        <w:spacing w:before="120" w:after="120" w:line="288" w:lineRule="auto"/>
        <w:ind w:left="453"/>
        <w:jc w:val="left"/>
      </w:pPr>
      <w:r>
        <w:rPr>
          <w:rFonts w:eastAsia="等线" w:ascii="Arial" w:cs="Arial" w:hAnsi="Arial"/>
          <w:b w:val="true"/>
          <w:sz w:val="22"/>
        </w:rPr>
        <w:t xml:space="preserve">创新领域： </w:t>
      </w:r>
      <w:r>
        <w:rPr>
          <w:rFonts w:eastAsia="等线" w:ascii="Arial" w:cs="Arial" w:hAnsi="Arial"/>
          <w:sz w:val="22"/>
        </w:rPr>
        <w:t>中医方剂学（Traditional Chinese Medical Formulas），传统临床医学（Traditional Clinical Medicine）</w:t>
      </w:r>
    </w:p>
    <w:p>
      <w:pPr>
        <w:numPr>
          <w:numId w:val="125"/>
        </w:numPr>
        <w:spacing w:before="120" w:after="120" w:line="288" w:lineRule="auto"/>
        <w:ind w:left="453"/>
        <w:jc w:val="left"/>
      </w:pPr>
      <w:r>
        <w:rPr>
          <w:rFonts w:eastAsia="等线" w:ascii="Arial" w:cs="Arial" w:hAnsi="Arial"/>
          <w:b w:val="true"/>
          <w:sz w:val="22"/>
        </w:rPr>
        <w:t>特点：</w:t>
      </w:r>
    </w:p>
    <w:p>
      <w:pPr>
        <w:numPr>
          <w:numId w:val="126"/>
        </w:numPr>
        <w:spacing w:before="120" w:after="120" w:line="288" w:lineRule="auto"/>
        <w:ind w:left="907"/>
        <w:jc w:val="left"/>
      </w:pPr>
      <w:r>
        <w:rPr>
          <w:rFonts w:eastAsia="等线" w:ascii="Arial" w:cs="Arial" w:hAnsi="Arial"/>
          <w:b w:val="true"/>
          <w:sz w:val="22"/>
        </w:rPr>
        <w:t>审慎灵活，强调动态施治：</w:t>
      </w:r>
      <w:r>
        <w:rPr>
          <w:rFonts w:eastAsia="等线" w:ascii="Arial" w:cs="Arial" w:hAnsi="Arial"/>
          <w:sz w:val="22"/>
        </w:rPr>
        <w:t>面对同一类疾病，他并不机械套用固定治法，而是根据患者所呈现的病证及病情变化调整方药，把治疗视为动态判断和调整的过程。</w:t>
      </w:r>
    </w:p>
    <w:p>
      <w:pPr>
        <w:numPr>
          <w:numId w:val="127"/>
        </w:numPr>
        <w:spacing w:before="120" w:after="120" w:line="288" w:lineRule="auto"/>
        <w:ind w:left="907"/>
        <w:jc w:val="left"/>
      </w:pPr>
      <w:r>
        <w:rPr>
          <w:rFonts w:eastAsia="等线" w:ascii="Arial" w:cs="Arial" w:hAnsi="Arial"/>
          <w:b w:val="true"/>
          <w:sz w:val="22"/>
        </w:rPr>
        <w:t>整合创新：</w:t>
      </w:r>
      <w:r>
        <w:rPr>
          <w:rFonts w:eastAsia="等线" w:ascii="Arial" w:cs="Arial" w:hAnsi="Arial"/>
          <w:sz w:val="22"/>
        </w:rPr>
        <w:t>据传世自序，张仲景参考《素问》《九卷》《八十一难》等既有文献，又结合临床经验编写《伤寒杂病论》。他不是简单照搬前人理论，而是把既有医学理论与临床经验重新整合，发展为能够指导实践的诊疗体系。</w:t>
      </w:r>
    </w:p>
    <w:p>
      <w:pPr>
        <w:numPr>
          <w:numId w:val="128"/>
        </w:numPr>
        <w:spacing w:before="120" w:after="120" w:line="288" w:lineRule="auto"/>
        <w:ind w:left="0"/>
        <w:jc w:val="left"/>
      </w:pPr>
      <w:r>
        <w:rPr>
          <w:rFonts w:eastAsia="等线" w:ascii="Arial" w:cs="Arial" w:hAnsi="Arial"/>
          <w:sz w:val="22"/>
        </w:rPr>
        <w:t>大卫·贝克（李余涵）</w:t>
      </w:r>
    </w:p>
    <w:p>
      <w:pPr>
        <w:spacing w:before="120" w:after="120" w:line="288" w:lineRule="auto"/>
        <w:ind w:left="453"/>
        <w:jc w:val="left"/>
      </w:pPr>
      <w:r>
        <w:rPr>
          <w:rFonts w:eastAsia="等线" w:ascii="Arial" w:cs="Arial" w:hAnsi="Arial"/>
          <w:sz w:val="22"/>
        </w:rPr>
        <w:t>他的创新价值，在于将计算蛋白质设计从科学方法转化为可持续产生应用的平台。他与团队发展了设计新蛋白质的能力，并通过软件许可、衍生企业和产业合作，推动相关成果进入生物医药研发。其代表性不仅是取得科学突破，还在于连接科研、人才、知识产权与商业组织，使一种底层技术能够支持多个产品和创业项目。</w:t>
      </w:r>
    </w:p>
    <w:p>
      <w:pPr>
        <w:spacing w:before="120" w:after="120" w:line="288" w:lineRule="auto"/>
        <w:ind w:left="453"/>
        <w:jc w:val="left"/>
      </w:pPr>
      <w:r>
        <w:rPr>
          <w:rFonts w:eastAsia="等线" w:ascii="Arial" w:cs="Arial" w:hAnsi="Arial"/>
          <w:sz w:val="22"/>
        </w:rPr>
        <w:t>具体介绍：</w:t>
      </w:r>
      <w:r>
        <w:rPr>
          <w:rFonts w:eastAsia="等线" w:ascii="Arial" w:cs="Arial" w:hAnsi="Arial"/>
          <w:sz w:val="22"/>
        </w:rPr>
        <w:t>https://mp.weixin.qq.com/s/PQUtSddZV6rj183CgkOw3Q</w:t>
      </w:r>
    </w:p>
    <w:p>
      <w:pPr>
        <w:spacing w:before="120" w:after="120" w:line="288" w:lineRule="auto"/>
        <w:ind w:left="453"/>
        <w:jc w:val="left"/>
      </w:pPr>
    </w:p>
    <w:p>
      <w:pPr>
        <w:numPr>
          <w:numId w:val="129"/>
        </w:numPr>
        <w:spacing w:before="120" w:after="120" w:line="288" w:lineRule="auto"/>
        <w:ind w:left="0"/>
        <w:jc w:val="left"/>
      </w:pPr>
      <w:r>
        <w:rPr>
          <w:rFonts w:eastAsia="等线" w:ascii="Arial" w:cs="Arial" w:hAnsi="Arial"/>
          <w:b w:val="true"/>
          <w:sz w:val="22"/>
        </w:rPr>
        <w:t>Gavriel Iddan 加夫里尔·伊丹｜PillCam 胶囊内镜（李嘉欣）</w:t>
      </w:r>
    </w:p>
    <w:p>
      <w:pPr>
        <w:spacing w:before="120" w:after="120" w:line="288" w:lineRule="auto"/>
        <w:ind w:left="453"/>
        <w:jc w:val="left"/>
      </w:pPr>
    </w:p>
    <w:p>
      <w:pPr>
        <w:spacing w:before="120" w:after="120" w:line="288" w:lineRule="auto"/>
        <w:ind w:left="453"/>
        <w:jc w:val="left"/>
      </w:pPr>
      <w:r>
        <w:drawing>
          <wp:inline distT="0" distR="0" distB="0" distL="0">
            <wp:extent cx="2771775" cy="17049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7"/>
                    <a:stretch>
                      <a:fillRect/>
                    </a:stretch>
                  </pic:blipFill>
                  <pic:spPr>
                    <a:xfrm>
                      <a:off x="0" y="0"/>
                      <a:ext cx="2771775" cy="1704975"/>
                    </a:xfrm>
                    <a:prstGeom prst="rect">
                      <a:avLst/>
                    </a:prstGeom>
                  </pic:spPr>
                </pic:pic>
              </a:graphicData>
            </a:graphic>
          </wp:inline>
        </w:drawing>
      </w:r>
    </w:p>
    <w:p>
      <w:pPr>
        <w:numPr>
          <w:numId w:val="130"/>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 xml:space="preserve"> 以色列</w:t>
      </w:r>
    </w:p>
    <w:p>
      <w:pPr>
        <w:numPr>
          <w:numId w:val="131"/>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 xml:space="preserve"> 产品创新、跨领域技术整合、医疗检查方式创新。</w:t>
      </w:r>
    </w:p>
    <w:p>
      <w:pPr>
        <w:numPr>
          <w:numId w:val="132"/>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br/>
      </w:r>
      <w:r>
        <w:rPr>
          <w:rFonts w:eastAsia="等线" w:ascii="Arial" w:cs="Arial" w:hAnsi="Arial"/>
          <w:sz w:val="22"/>
        </w:rPr>
        <w:t>Iddan 与团队将微型摄像头、照明、电池和无线传输集成到可吞服的胶囊内镜中，使医生能够观察传统内镜较难到达的小肠。其突破在于将多项技术整合成一种新的体内成像方式。</w:t>
      </w:r>
      <w:hyperlink r:id="rId38">
        <w:r>
          <w:rPr>
            <w:rFonts w:eastAsia="等线" w:ascii="Arial" w:cs="Arial" w:hAnsi="Arial"/>
            <w:color w:val="3370ff"/>
            <w:sz w:val="22"/>
          </w:rPr>
          <w:t>来源：欧洲专利局</w:t>
        </w:r>
      </w:hyperlink>
    </w:p>
    <w:p>
      <w:pPr>
        <w:numPr>
          <w:numId w:val="133"/>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br/>
      </w:r>
      <w:r>
        <w:rPr>
          <w:rFonts w:eastAsia="等线" w:ascii="Arial" w:cs="Arial" w:hAnsi="Arial"/>
          <w:sz w:val="22"/>
        </w:rPr>
        <w:t>胶囊内镜改变了部分消化道检查的体验和流程，但现有证据不足以将其直接认定为经典的低端或新市场颠覆。</w:t>
      </w:r>
      <w:r>
        <w:rPr>
          <w:rFonts w:eastAsia="等线" w:ascii="Arial" w:cs="Arial" w:hAnsi="Arial"/>
          <w:b w:val="true"/>
          <w:sz w:val="22"/>
        </w:rPr>
        <w:t>更适合定位为突破性产品创新。</w:t>
      </w:r>
      <w:r>
        <w:rPr>
          <w:rFonts w:eastAsia="等线" w:ascii="Arial" w:cs="Arial" w:hAnsi="Arial"/>
          <w:sz w:val="22"/>
        </w:rPr>
        <w:t xml:space="preserve"> 它补充了传统内镜的能力，也不能完成所有传统内镜能够进行的操作。</w:t>
      </w:r>
    </w:p>
    <w:p>
      <w:pPr>
        <w:numPr>
          <w:numId w:val="134"/>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消化道诊断、胶囊内镜、微型医疗器械、无线医学影像。</w:t>
      </w:r>
    </w:p>
    <w:p>
      <w:pPr>
        <w:numPr>
          <w:numId w:val="135"/>
        </w:numPr>
        <w:spacing w:before="120" w:after="120" w:line="288" w:lineRule="auto"/>
        <w:ind w:left="453"/>
        <w:jc w:val="left"/>
      </w:pPr>
      <w:r>
        <w:rPr>
          <w:rFonts w:eastAsia="等线" w:ascii="Arial" w:cs="Arial" w:hAnsi="Arial"/>
          <w:b w:val="true"/>
          <w:sz w:val="22"/>
        </w:rPr>
        <w:t>特点：</w:t>
      </w:r>
    </w:p>
    <w:p>
      <w:pPr>
        <w:numPr>
          <w:numId w:val="136"/>
        </w:numPr>
        <w:spacing w:before="120" w:after="120" w:line="288" w:lineRule="auto"/>
        <w:ind w:left="907"/>
        <w:jc w:val="left"/>
      </w:pPr>
      <w:r>
        <w:rPr>
          <w:rFonts w:eastAsia="等线" w:ascii="Arial" w:cs="Arial" w:hAnsi="Arial"/>
          <w:b w:val="true"/>
          <w:sz w:val="22"/>
        </w:rPr>
        <w:t>跨界整合：</w:t>
      </w:r>
      <w:r>
        <w:rPr>
          <w:rFonts w:eastAsia="等线" w:ascii="Arial" w:cs="Arial" w:hAnsi="Arial"/>
          <w:sz w:val="22"/>
        </w:rPr>
        <w:t xml:space="preserve"> 将光电工程与临床诊断需求连接起来。</w:t>
      </w:r>
    </w:p>
    <w:p>
      <w:pPr>
        <w:numPr>
          <w:numId w:val="137"/>
        </w:numPr>
        <w:spacing w:before="120" w:after="120" w:line="288" w:lineRule="auto"/>
        <w:ind w:left="907"/>
        <w:jc w:val="left"/>
      </w:pPr>
      <w:r>
        <w:rPr>
          <w:rFonts w:eastAsia="等线" w:ascii="Arial" w:cs="Arial" w:hAnsi="Arial"/>
          <w:b w:val="true"/>
          <w:sz w:val="22"/>
        </w:rPr>
        <w:t>问题导向：</w:t>
      </w:r>
      <w:r>
        <w:rPr>
          <w:rFonts w:eastAsia="等线" w:ascii="Arial" w:cs="Arial" w:hAnsi="Arial"/>
          <w:sz w:val="22"/>
        </w:rPr>
        <w:t xml:space="preserve"> 聚焦小肠内部难以直接观察的具体问题。</w:t>
      </w:r>
    </w:p>
    <w:p>
      <w:pPr>
        <w:numPr>
          <w:numId w:val="138"/>
        </w:numPr>
        <w:spacing w:before="120" w:after="120" w:line="288" w:lineRule="auto"/>
        <w:ind w:left="907"/>
        <w:jc w:val="left"/>
      </w:pPr>
      <w:r>
        <w:rPr>
          <w:rFonts w:eastAsia="等线" w:ascii="Arial" w:cs="Arial" w:hAnsi="Arial"/>
          <w:b w:val="true"/>
          <w:sz w:val="22"/>
        </w:rPr>
        <w:t>系统设计：</w:t>
      </w:r>
      <w:r>
        <w:rPr>
          <w:rFonts w:eastAsia="等线" w:ascii="Arial" w:cs="Arial" w:hAnsi="Arial"/>
          <w:sz w:val="22"/>
        </w:rPr>
        <w:t xml:space="preserve"> 同时考虑胶囊、体外接收装置和医生阅片流程。</w:t>
      </w:r>
    </w:p>
    <w:p>
      <w:pPr>
        <w:numPr>
          <w:numId w:val="139"/>
        </w:numPr>
        <w:spacing w:before="120" w:after="120" w:line="288" w:lineRule="auto"/>
        <w:ind w:left="907"/>
        <w:jc w:val="left"/>
      </w:pPr>
      <w:r>
        <w:rPr>
          <w:rFonts w:eastAsia="等线" w:ascii="Arial" w:cs="Arial" w:hAnsi="Arial"/>
          <w:b w:val="true"/>
          <w:sz w:val="22"/>
        </w:rPr>
        <w:t>成果转化：</w:t>
      </w:r>
      <w:r>
        <w:rPr>
          <w:rFonts w:eastAsia="等线" w:ascii="Arial" w:cs="Arial" w:hAnsi="Arial"/>
          <w:sz w:val="22"/>
        </w:rPr>
        <w:t xml:space="preserve"> 参与将原型推进到临床产品与市场应用。</w:t>
      </w:r>
    </w:p>
    <w:p>
      <w:pPr>
        <w:numPr>
          <w:numId w:val="140"/>
        </w:numPr>
        <w:spacing w:before="120" w:after="120" w:line="288" w:lineRule="auto"/>
        <w:ind w:left="453"/>
        <w:jc w:val="left"/>
      </w:pPr>
      <w:r>
        <w:rPr>
          <w:rFonts w:eastAsia="等线" w:ascii="Arial" w:cs="Arial" w:hAnsi="Arial"/>
          <w:b w:val="true"/>
          <w:sz w:val="22"/>
        </w:rPr>
        <w:t>链接：</w:t>
      </w:r>
      <w:hyperlink r:id="rId39">
        <w:r>
          <w:rPr>
            <w:rFonts w:eastAsia="等线" w:ascii="Arial" w:cs="Arial" w:hAnsi="Arial"/>
            <w:color w:val="3370ff"/>
            <w:sz w:val="22"/>
          </w:rPr>
          <w:t>商业化来源</w:t>
        </w:r>
      </w:hyperlink>
      <w:r>
        <w:rPr>
          <w:rFonts w:eastAsia="等线" w:ascii="Arial" w:cs="Arial" w:hAnsi="Arial"/>
          <w:sz w:val="22"/>
        </w:rPr>
        <w:t>、</w:t>
      </w:r>
      <w:hyperlink r:id="rId40">
        <w:r>
          <w:rPr>
            <w:rFonts w:eastAsia="等线" w:ascii="Arial" w:cs="Arial" w:hAnsi="Arial"/>
            <w:color w:val="3370ff"/>
            <w:sz w:val="22"/>
          </w:rPr>
          <w:t>PillCam 官方产品页</w:t>
        </w:r>
      </w:hyperlink>
    </w:p>
    <w:p>
      <w:pPr>
        <w:spacing w:before="120" w:after="120" w:line="288" w:lineRule="auto"/>
        <w:ind w:left="453"/>
        <w:jc w:val="left"/>
      </w:pPr>
    </w:p>
    <w:p>
      <w:pPr>
        <w:numPr>
          <w:numId w:val="141"/>
        </w:numPr>
        <w:spacing w:before="120" w:after="120" w:line="288" w:lineRule="auto"/>
        <w:ind w:left="0"/>
        <w:jc w:val="left"/>
      </w:pPr>
      <w:r>
        <w:rPr>
          <w:rFonts w:eastAsia="等线" w:ascii="Arial" w:cs="Arial" w:hAnsi="Arial"/>
          <w:b w:val="true"/>
          <w:sz w:val="22"/>
        </w:rPr>
        <w:t>Jonathan Rothberg｜Butterfly 手持芯片超声（李嘉欣）</w:t>
      </w:r>
    </w:p>
    <w:p>
      <w:pPr>
        <w:spacing w:before="120" w:after="120" w:line="288" w:lineRule="auto"/>
        <w:ind w:left="453"/>
        <w:jc w:val="center"/>
      </w:pPr>
      <w:r>
        <w:drawing>
          <wp:inline distT="0" distR="0" distB="0" distL="0">
            <wp:extent cx="2781300" cy="18573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41"/>
                    <a:stretch>
                      <a:fillRect/>
                    </a:stretch>
                  </pic:blipFill>
                  <pic:spPr>
                    <a:xfrm>
                      <a:off x="0" y="0"/>
                      <a:ext cx="2781300" cy="1857375"/>
                    </a:xfrm>
                    <a:prstGeom prst="rect">
                      <a:avLst/>
                    </a:prstGeom>
                  </pic:spPr>
                </pic:pic>
              </a:graphicData>
            </a:graphic>
          </wp:inline>
        </w:drawing>
      </w:r>
    </w:p>
    <w:p>
      <w:pPr>
        <w:numPr>
          <w:numId w:val="142"/>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 xml:space="preserve"> 美国</w:t>
      </w:r>
    </w:p>
    <w:p>
      <w:pPr>
        <w:numPr>
          <w:numId w:val="143"/>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 xml:space="preserve"> 技术架构创新、产品便携化、医疗可及性创新。</w:t>
      </w:r>
    </w:p>
    <w:p>
      <w:pPr>
        <w:numPr>
          <w:numId w:val="144"/>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br/>
      </w:r>
      <w:r>
        <w:rPr>
          <w:rFonts w:eastAsia="等线" w:ascii="Arial" w:cs="Arial" w:hAnsi="Arial"/>
          <w:sz w:val="22"/>
        </w:rPr>
        <w:t>Rothberg 创办的 Butterfly Network 将半导体技术用于超声设备，以芯片上的大量微型换能单元替代传统压电晶体方案，形成连接兼容手机或平板的手持超声产品。其核心是改变底层技术架构，并让单个探头支持多种检查用途。</w:t>
      </w:r>
      <w:hyperlink r:id="rId42">
        <w:r>
          <w:rPr>
            <w:rFonts w:eastAsia="等线" w:ascii="Arial" w:cs="Arial" w:hAnsi="Arial"/>
            <w:color w:val="3370ff"/>
            <w:sz w:val="22"/>
          </w:rPr>
          <w:t>来源：Butterfly 技术介绍</w:t>
        </w:r>
      </w:hyperlink>
    </w:p>
    <w:p>
      <w:pPr>
        <w:numPr>
          <w:numId w:val="145"/>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br/>
      </w:r>
      <w:r>
        <w:rPr>
          <w:rFonts w:eastAsia="等线" w:ascii="Arial" w:cs="Arial" w:hAnsi="Arial"/>
          <w:sz w:val="22"/>
        </w:rPr>
        <w:t>手持化和简化设备配置，使超声更容易进入床旁、基层和资源有限的场景，</w:t>
      </w:r>
      <w:r>
        <w:rPr>
          <w:rFonts w:eastAsia="等线" w:ascii="Arial" w:cs="Arial" w:hAnsi="Arial"/>
          <w:b w:val="true"/>
          <w:sz w:val="22"/>
        </w:rPr>
        <w:t>具备新市场颠覆的潜力</w:t>
      </w:r>
      <w:r>
        <w:rPr>
          <w:rFonts w:eastAsia="等线" w:ascii="Arial" w:cs="Arial" w:hAnsi="Arial"/>
          <w:sz w:val="22"/>
        </w:rPr>
        <w:t>。但要证明已经实现颠覆，还需要市场进入路径及对既有厂商影响的证据，不宜写成“已经取代传统超声”。</w:t>
      </w:r>
    </w:p>
    <w:p>
      <w:pPr>
        <w:numPr>
          <w:numId w:val="146"/>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医学影像、半导体医疗器械、即时超声检查（POCUS）、数字医疗。</w:t>
      </w:r>
    </w:p>
    <w:p>
      <w:pPr>
        <w:numPr>
          <w:numId w:val="147"/>
        </w:numPr>
        <w:spacing w:before="120" w:after="120" w:line="288" w:lineRule="auto"/>
        <w:ind w:left="453"/>
        <w:jc w:val="left"/>
      </w:pPr>
      <w:r>
        <w:rPr>
          <w:rFonts w:eastAsia="等线" w:ascii="Arial" w:cs="Arial" w:hAnsi="Arial"/>
          <w:b w:val="true"/>
          <w:sz w:val="22"/>
        </w:rPr>
        <w:t>特点：</w:t>
      </w:r>
    </w:p>
    <w:p>
      <w:pPr>
        <w:numPr>
          <w:numId w:val="148"/>
        </w:numPr>
        <w:spacing w:before="120" w:after="120" w:line="288" w:lineRule="auto"/>
        <w:ind w:left="907"/>
        <w:jc w:val="left"/>
      </w:pPr>
      <w:r>
        <w:rPr>
          <w:rFonts w:eastAsia="等线" w:ascii="Arial" w:cs="Arial" w:hAnsi="Arial"/>
          <w:b w:val="true"/>
          <w:sz w:val="22"/>
        </w:rPr>
        <w:t>技术迁移：</w:t>
      </w:r>
      <w:r>
        <w:rPr>
          <w:rFonts w:eastAsia="等线" w:ascii="Arial" w:cs="Arial" w:hAnsi="Arial"/>
          <w:sz w:val="22"/>
        </w:rPr>
        <w:t xml:space="preserve"> 善于把半导体领域的方法引入生命科学与医疗。</w:t>
      </w:r>
    </w:p>
    <w:p>
      <w:pPr>
        <w:numPr>
          <w:numId w:val="149"/>
        </w:numPr>
        <w:spacing w:before="120" w:after="120" w:line="288" w:lineRule="auto"/>
        <w:ind w:left="907"/>
        <w:jc w:val="left"/>
      </w:pPr>
      <w:r>
        <w:rPr>
          <w:rFonts w:eastAsia="等线" w:ascii="Arial" w:cs="Arial" w:hAnsi="Arial"/>
          <w:b w:val="true"/>
          <w:sz w:val="22"/>
        </w:rPr>
        <w:t>可及性意识：</w:t>
      </w:r>
      <w:r>
        <w:rPr>
          <w:rFonts w:eastAsia="等线" w:ascii="Arial" w:cs="Arial" w:hAnsi="Arial"/>
          <w:sz w:val="22"/>
        </w:rPr>
        <w:t xml:space="preserve"> 将便携性与使用场景纳入产品价值。</w:t>
      </w:r>
    </w:p>
    <w:p>
      <w:pPr>
        <w:numPr>
          <w:numId w:val="150"/>
        </w:numPr>
        <w:spacing w:before="120" w:after="120" w:line="288" w:lineRule="auto"/>
        <w:ind w:left="907"/>
        <w:jc w:val="left"/>
      </w:pPr>
      <w:r>
        <w:rPr>
          <w:rFonts w:eastAsia="等线" w:ascii="Arial" w:cs="Arial" w:hAnsi="Arial"/>
          <w:b w:val="true"/>
          <w:sz w:val="22"/>
        </w:rPr>
        <w:t>团队组织：</w:t>
      </w:r>
      <w:r>
        <w:rPr>
          <w:rFonts w:eastAsia="等线" w:ascii="Arial" w:cs="Arial" w:hAnsi="Arial"/>
          <w:sz w:val="22"/>
        </w:rPr>
        <w:t xml:space="preserve"> 连接芯片、软件、临床和商业团队。</w:t>
      </w:r>
    </w:p>
    <w:p>
      <w:pPr>
        <w:numPr>
          <w:numId w:val="151"/>
        </w:numPr>
        <w:spacing w:before="120" w:after="120" w:line="288" w:lineRule="auto"/>
        <w:ind w:left="907"/>
        <w:jc w:val="left"/>
      </w:pPr>
      <w:r>
        <w:rPr>
          <w:rFonts w:eastAsia="等线" w:ascii="Arial" w:cs="Arial" w:hAnsi="Arial"/>
          <w:b w:val="true"/>
          <w:sz w:val="22"/>
        </w:rPr>
        <w:t>创业转化：</w:t>
      </w:r>
      <w:r>
        <w:rPr>
          <w:rFonts w:eastAsia="等线" w:ascii="Arial" w:cs="Arial" w:hAnsi="Arial"/>
          <w:sz w:val="22"/>
        </w:rPr>
        <w:t xml:space="preserve"> 通过创办企业推进技术开发和产品销售。</w:t>
      </w:r>
    </w:p>
    <w:p>
      <w:pPr>
        <w:numPr>
          <w:numId w:val="152"/>
        </w:numPr>
        <w:spacing w:before="120" w:after="120" w:line="288" w:lineRule="auto"/>
        <w:ind w:left="453"/>
        <w:jc w:val="left"/>
      </w:pPr>
      <w:r>
        <w:rPr>
          <w:rFonts w:eastAsia="等线" w:ascii="Arial" w:cs="Arial" w:hAnsi="Arial"/>
          <w:b w:val="true"/>
          <w:sz w:val="22"/>
        </w:rPr>
        <w:t>链接：</w:t>
      </w:r>
      <w:hyperlink r:id="rId43">
        <w:r>
          <w:rPr>
            <w:rFonts w:eastAsia="等线" w:ascii="Arial" w:cs="Arial" w:hAnsi="Arial"/>
            <w:color w:val="3370ff"/>
            <w:sz w:val="22"/>
          </w:rPr>
          <w:t>官方产品与购买入口</w:t>
        </w:r>
      </w:hyperlink>
      <w:r>
        <w:rPr>
          <w:rFonts w:eastAsia="等线" w:ascii="Arial" w:cs="Arial" w:hAnsi="Arial"/>
          <w:sz w:val="22"/>
        </w:rPr>
        <w:t>、</w:t>
      </w:r>
      <w:hyperlink r:id="rId44">
        <w:r>
          <w:rPr>
            <w:rFonts w:eastAsia="等线" w:ascii="Arial" w:cs="Arial" w:hAnsi="Arial"/>
            <w:color w:val="3370ff"/>
            <w:sz w:val="22"/>
          </w:rPr>
          <w:t>创始人身份来源</w:t>
        </w:r>
      </w:hyperlink>
    </w:p>
    <w:p>
      <w:pPr>
        <w:spacing w:before="120" w:after="120" w:line="288" w:lineRule="auto"/>
        <w:ind w:left="453"/>
        <w:jc w:val="left"/>
      </w:pPr>
    </w:p>
    <w:p>
      <w:pPr>
        <w:numPr>
          <w:numId w:val="153"/>
        </w:numPr>
        <w:spacing w:before="120" w:after="120" w:line="288" w:lineRule="auto"/>
        <w:ind w:left="0"/>
        <w:jc w:val="left"/>
      </w:pPr>
      <w:r>
        <w:rPr>
          <w:rFonts w:eastAsia="等线" w:ascii="Arial" w:cs="Arial" w:hAnsi="Arial"/>
          <w:b w:val="true"/>
          <w:sz w:val="22"/>
        </w:rPr>
        <w:t>Hugh Herr｜BiOM／Empower 动力踝足假肢（李嘉欣）</w:t>
      </w:r>
    </w:p>
    <w:p>
      <w:pPr>
        <w:spacing w:before="120" w:after="120" w:line="288" w:lineRule="auto"/>
        <w:ind w:left="453"/>
        <w:jc w:val="center"/>
      </w:pPr>
      <w:r>
        <w:drawing>
          <wp:inline distT="0" distR="0" distB="0" distL="0">
            <wp:extent cx="1466850" cy="1857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45"/>
                    <a:stretch>
                      <a:fillRect/>
                    </a:stretch>
                  </pic:blipFill>
                  <pic:spPr>
                    <a:xfrm>
                      <a:off x="0" y="0"/>
                      <a:ext cx="1466850" cy="1857375"/>
                    </a:xfrm>
                    <a:prstGeom prst="rect">
                      <a:avLst/>
                    </a:prstGeom>
                  </pic:spPr>
                </pic:pic>
              </a:graphicData>
            </a:graphic>
          </wp:inline>
        </w:drawing>
      </w:r>
    </w:p>
    <w:p>
      <w:pPr>
        <w:numPr>
          <w:numId w:val="154"/>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 xml:space="preserve"> 美国</w:t>
      </w:r>
    </w:p>
    <w:p>
      <w:pPr>
        <w:numPr>
          <w:numId w:val="155"/>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 xml:space="preserve"> 用户驱动创新、仿生技术创新、科研商业化。</w:t>
      </w:r>
    </w:p>
    <w:p>
      <w:pPr>
        <w:numPr>
          <w:numId w:val="156"/>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br/>
      </w:r>
      <w:r>
        <w:rPr>
          <w:rFonts w:eastAsia="等线" w:ascii="Arial" w:cs="Arial" w:hAnsi="Arial"/>
          <w:sz w:val="22"/>
        </w:rPr>
        <w:t>Herr 本人是双腿截肢者。他与团队将人体运动机理、机械结构、传感器和控制技术结合，开发能够在行走时提供主动助力的动力踝足假肢，使假肢能够模拟部分生物踝关节功能。</w:t>
      </w:r>
      <w:hyperlink r:id="rId46">
        <w:r>
          <w:rPr>
            <w:rFonts w:eastAsia="等线" w:ascii="Arial" w:cs="Arial" w:hAnsi="Arial"/>
            <w:color w:val="3370ff"/>
            <w:sz w:val="22"/>
          </w:rPr>
          <w:t>来源：MIT 人物介绍</w:t>
        </w:r>
      </w:hyperlink>
    </w:p>
    <w:p>
      <w:pPr>
        <w:numPr>
          <w:numId w:val="157"/>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br/>
      </w:r>
      <w:r>
        <w:rPr>
          <w:rFonts w:eastAsia="等线" w:ascii="Arial" w:cs="Arial" w:hAnsi="Arial"/>
          <w:sz w:val="22"/>
        </w:rPr>
        <w:t>其主要贡献是提高假肢性能与使用体验，没有充分证据表明它从低价、简单的产品切入市场。</w:t>
      </w:r>
      <w:r>
        <w:rPr>
          <w:rFonts w:eastAsia="等线" w:ascii="Arial" w:cs="Arial" w:hAnsi="Arial"/>
          <w:b w:val="true"/>
          <w:sz w:val="22"/>
        </w:rPr>
        <w:t>更适合归为突破性的持续性创新</w:t>
      </w:r>
      <w:r>
        <w:rPr>
          <w:rFonts w:eastAsia="等线" w:ascii="Arial" w:cs="Arial" w:hAnsi="Arial"/>
          <w:sz w:val="22"/>
        </w:rPr>
        <w:t>：沿着更自然、更有效的行走这一方向，提高既有产品能力。</w:t>
      </w:r>
    </w:p>
    <w:p>
      <w:pPr>
        <w:numPr>
          <w:numId w:val="158"/>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生物机电一体化、康复工程、动力假肢、人体运动控制。</w:t>
      </w:r>
    </w:p>
    <w:p>
      <w:pPr>
        <w:numPr>
          <w:numId w:val="159"/>
        </w:numPr>
        <w:spacing w:before="120" w:after="120" w:line="288" w:lineRule="auto"/>
        <w:ind w:left="453"/>
        <w:jc w:val="left"/>
      </w:pPr>
      <w:r>
        <w:rPr>
          <w:rFonts w:eastAsia="等线" w:ascii="Arial" w:cs="Arial" w:hAnsi="Arial"/>
          <w:b w:val="true"/>
          <w:sz w:val="22"/>
        </w:rPr>
        <w:t>特点：</w:t>
      </w:r>
    </w:p>
    <w:p>
      <w:pPr>
        <w:numPr>
          <w:numId w:val="160"/>
        </w:numPr>
        <w:spacing w:before="120" w:after="120" w:line="288" w:lineRule="auto"/>
        <w:ind w:left="907"/>
        <w:jc w:val="left"/>
      </w:pPr>
      <w:r>
        <w:rPr>
          <w:rFonts w:eastAsia="等线" w:ascii="Arial" w:cs="Arial" w:hAnsi="Arial"/>
          <w:b w:val="true"/>
          <w:sz w:val="22"/>
        </w:rPr>
        <w:t>用户洞察：</w:t>
      </w:r>
      <w:r>
        <w:rPr>
          <w:rFonts w:eastAsia="等线" w:ascii="Arial" w:cs="Arial" w:hAnsi="Arial"/>
          <w:sz w:val="22"/>
        </w:rPr>
        <w:t xml:space="preserve"> 将自身使用体验转化为具体研发问题。</w:t>
      </w:r>
    </w:p>
    <w:p>
      <w:pPr>
        <w:numPr>
          <w:numId w:val="161"/>
        </w:numPr>
        <w:spacing w:before="120" w:after="120" w:line="288" w:lineRule="auto"/>
        <w:ind w:left="907"/>
        <w:jc w:val="left"/>
      </w:pPr>
      <w:r>
        <w:rPr>
          <w:rFonts w:eastAsia="等线" w:ascii="Arial" w:cs="Arial" w:hAnsi="Arial"/>
          <w:b w:val="true"/>
          <w:sz w:val="22"/>
        </w:rPr>
        <w:t>跨学科协作：</w:t>
      </w:r>
      <w:r>
        <w:rPr>
          <w:rFonts w:eastAsia="等线" w:ascii="Arial" w:cs="Arial" w:hAnsi="Arial"/>
          <w:sz w:val="22"/>
        </w:rPr>
        <w:t xml:space="preserve"> 结合人体生理、机械工程与控制技术。</w:t>
      </w:r>
    </w:p>
    <w:p>
      <w:pPr>
        <w:numPr>
          <w:numId w:val="162"/>
        </w:numPr>
        <w:spacing w:before="120" w:after="120" w:line="288" w:lineRule="auto"/>
        <w:ind w:left="907"/>
        <w:jc w:val="left"/>
      </w:pPr>
      <w:r>
        <w:rPr>
          <w:rFonts w:eastAsia="等线" w:ascii="Arial" w:cs="Arial" w:hAnsi="Arial"/>
          <w:b w:val="true"/>
          <w:sz w:val="22"/>
        </w:rPr>
        <w:t>功能导向：</w:t>
      </w:r>
      <w:r>
        <w:rPr>
          <w:rFonts w:eastAsia="等线" w:ascii="Arial" w:cs="Arial" w:hAnsi="Arial"/>
          <w:sz w:val="22"/>
        </w:rPr>
        <w:t xml:space="preserve"> 关注步态、动力输出和行走负担。</w:t>
      </w:r>
    </w:p>
    <w:p>
      <w:pPr>
        <w:numPr>
          <w:numId w:val="163"/>
        </w:numPr>
        <w:spacing w:before="120" w:after="120" w:line="288" w:lineRule="auto"/>
        <w:ind w:left="907"/>
        <w:jc w:val="left"/>
      </w:pPr>
      <w:r>
        <w:rPr>
          <w:rFonts w:eastAsia="等线" w:ascii="Arial" w:cs="Arial" w:hAnsi="Arial"/>
          <w:b w:val="true"/>
          <w:sz w:val="22"/>
        </w:rPr>
        <w:t>转化能力：</w:t>
      </w:r>
      <w:r>
        <w:rPr>
          <w:rFonts w:eastAsia="等线" w:ascii="Arial" w:cs="Arial" w:hAnsi="Arial"/>
          <w:sz w:val="22"/>
        </w:rPr>
        <w:t xml:space="preserve"> 推动研究成果进入企业制造与临床配置体系。</w:t>
      </w:r>
    </w:p>
    <w:p>
      <w:pPr>
        <w:numPr>
          <w:numId w:val="164"/>
        </w:numPr>
        <w:spacing w:before="120" w:after="120" w:line="288" w:lineRule="auto"/>
        <w:ind w:left="453"/>
        <w:jc w:val="left"/>
      </w:pPr>
      <w:r>
        <w:rPr>
          <w:rFonts w:eastAsia="等线" w:ascii="Arial" w:cs="Arial" w:hAnsi="Arial"/>
          <w:b w:val="true"/>
          <w:sz w:val="22"/>
        </w:rPr>
        <w:t>链接：</w:t>
      </w:r>
      <w:hyperlink r:id="rId47">
        <w:r>
          <w:rPr>
            <w:rFonts w:eastAsia="等线" w:ascii="Arial" w:cs="Arial" w:hAnsi="Arial"/>
            <w:color w:val="3370ff"/>
            <w:sz w:val="22"/>
          </w:rPr>
          <w:t>MIT 商业产品说明</w:t>
        </w:r>
      </w:hyperlink>
      <w:r>
        <w:rPr>
          <w:rFonts w:eastAsia="等线" w:ascii="Arial" w:cs="Arial" w:hAnsi="Arial"/>
          <w:sz w:val="22"/>
        </w:rPr>
        <w:t>、</w:t>
      </w:r>
      <w:hyperlink r:id="rId48">
        <w:r>
          <w:rPr>
            <w:rFonts w:eastAsia="等线" w:ascii="Arial" w:cs="Arial" w:hAnsi="Arial"/>
            <w:color w:val="3370ff"/>
            <w:sz w:val="22"/>
          </w:rPr>
          <w:t>Empower 官方产品页</w:t>
        </w:r>
      </w:hyperlink>
    </w:p>
    <w:p>
      <w:pPr>
        <w:spacing w:before="120" w:after="120" w:line="288" w:lineRule="auto"/>
        <w:ind w:left="453"/>
        <w:jc w:val="left"/>
      </w:pPr>
    </w:p>
    <w:p>
      <w:pPr>
        <w:numPr>
          <w:numId w:val="165"/>
        </w:numPr>
        <w:spacing w:before="120" w:after="120" w:line="288" w:lineRule="auto"/>
        <w:ind w:left="0"/>
        <w:jc w:val="left"/>
      </w:pPr>
      <w:r>
        <w:rPr>
          <w:rFonts w:eastAsia="等线" w:ascii="Arial" w:cs="Arial" w:hAnsi="Arial"/>
          <w:b w:val="true"/>
          <w:sz w:val="22"/>
        </w:rPr>
        <w:t>Van Phillips｜Flex-Foot 碳纤维假肢（李嘉欣）</w:t>
      </w:r>
    </w:p>
    <w:p>
      <w:pPr>
        <w:spacing w:before="120" w:after="120" w:line="288" w:lineRule="auto"/>
        <w:ind w:left="453"/>
        <w:jc w:val="center"/>
      </w:pPr>
      <w:r>
        <w:drawing>
          <wp:inline distT="0" distR="0" distB="0" distL="0">
            <wp:extent cx="1419225" cy="22288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49"/>
                    <a:stretch>
                      <a:fillRect/>
                    </a:stretch>
                  </pic:blipFill>
                  <pic:spPr>
                    <a:xfrm>
                      <a:off x="0" y="0"/>
                      <a:ext cx="1419225" cy="2228850"/>
                    </a:xfrm>
                    <a:prstGeom prst="rect">
                      <a:avLst/>
                    </a:prstGeom>
                  </pic:spPr>
                </pic:pic>
              </a:graphicData>
            </a:graphic>
          </wp:inline>
        </w:drawing>
      </w:r>
    </w:p>
    <w:p>
      <w:pPr>
        <w:numPr>
          <w:numId w:val="166"/>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 xml:space="preserve"> 美国</w:t>
      </w:r>
    </w:p>
    <w:p>
      <w:pPr>
        <w:numPr>
          <w:numId w:val="167"/>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 xml:space="preserve"> 材料创新、产品结构创新、用户创业。</w:t>
      </w:r>
    </w:p>
    <w:p>
      <w:pPr>
        <w:numPr>
          <w:numId w:val="168"/>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br/>
      </w:r>
      <w:r>
        <w:rPr>
          <w:rFonts w:eastAsia="等线" w:ascii="Arial" w:cs="Arial" w:hAnsi="Arial"/>
          <w:sz w:val="22"/>
        </w:rPr>
        <w:t>Phillips 对传统假肢的僵硬和运动限制感到不满，与材料工程伙伴合作开发 Flex-Foot。通过碳纤维复合材料与弹性结构，让假肢在受力时储存能量，在迈步时释放能量，为更活跃的运动提供支持。</w:t>
      </w:r>
      <w:hyperlink r:id="rId50">
        <w:r>
          <w:rPr>
            <w:rFonts w:eastAsia="等线" w:ascii="Arial" w:cs="Arial" w:hAnsi="Arial"/>
            <w:color w:val="3370ff"/>
            <w:sz w:val="22"/>
          </w:rPr>
          <w:t>来源：MIT Lemelson</w:t>
        </w:r>
      </w:hyperlink>
    </w:p>
    <w:p>
      <w:pPr>
        <w:numPr>
          <w:numId w:val="169"/>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br/>
      </w:r>
      <w:r>
        <w:rPr>
          <w:rFonts w:eastAsia="等线" w:ascii="Arial" w:cs="Arial" w:hAnsi="Arial"/>
          <w:sz w:val="22"/>
        </w:rPr>
        <w:t>他的设计打破了假肢必须模仿人体脚部外形的惯例，但“打破设计惯例”并不直接等于商业理论中的颠覆。</w:t>
      </w:r>
      <w:r>
        <w:rPr>
          <w:rFonts w:eastAsia="等线" w:ascii="Arial" w:cs="Arial" w:hAnsi="Arial"/>
          <w:b w:val="true"/>
          <w:sz w:val="22"/>
        </w:rPr>
        <w:t>更适合定位为材料与结构上的突破性产品创新。</w:t>
      </w:r>
    </w:p>
    <w:p>
      <w:pPr>
        <w:numPr>
          <w:numId w:val="170"/>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假肢设计、康复辅助器械、碳纤维复合材料、运动生物力学。</w:t>
      </w:r>
    </w:p>
    <w:p>
      <w:pPr>
        <w:numPr>
          <w:numId w:val="171"/>
        </w:numPr>
        <w:spacing w:before="120" w:after="120" w:line="288" w:lineRule="auto"/>
        <w:ind w:left="453"/>
        <w:jc w:val="left"/>
      </w:pPr>
      <w:r>
        <w:rPr>
          <w:rFonts w:eastAsia="等线" w:ascii="Arial" w:cs="Arial" w:hAnsi="Arial"/>
          <w:b w:val="true"/>
          <w:sz w:val="22"/>
        </w:rPr>
        <w:t>特点：</w:t>
      </w:r>
    </w:p>
    <w:p>
      <w:pPr>
        <w:numPr>
          <w:numId w:val="172"/>
        </w:numPr>
        <w:spacing w:before="120" w:after="120" w:line="288" w:lineRule="auto"/>
        <w:ind w:left="907"/>
        <w:jc w:val="left"/>
      </w:pPr>
      <w:r>
        <w:rPr>
          <w:rFonts w:eastAsia="等线" w:ascii="Arial" w:cs="Arial" w:hAnsi="Arial"/>
          <w:b w:val="true"/>
          <w:sz w:val="22"/>
        </w:rPr>
        <w:t>需求敏感：</w:t>
      </w:r>
      <w:r>
        <w:rPr>
          <w:rFonts w:eastAsia="等线" w:ascii="Arial" w:cs="Arial" w:hAnsi="Arial"/>
          <w:sz w:val="22"/>
        </w:rPr>
        <w:t xml:space="preserve"> 从自己无法满意地运动这一痛点出发。</w:t>
      </w:r>
    </w:p>
    <w:p>
      <w:pPr>
        <w:numPr>
          <w:numId w:val="173"/>
        </w:numPr>
        <w:spacing w:before="120" w:after="120" w:line="288" w:lineRule="auto"/>
        <w:ind w:left="907"/>
        <w:jc w:val="left"/>
      </w:pPr>
      <w:r>
        <w:rPr>
          <w:rFonts w:eastAsia="等线" w:ascii="Arial" w:cs="Arial" w:hAnsi="Arial"/>
          <w:b w:val="true"/>
          <w:sz w:val="22"/>
        </w:rPr>
        <w:t>重新定义产品：</w:t>
      </w:r>
      <w:r>
        <w:rPr>
          <w:rFonts w:eastAsia="等线" w:ascii="Arial" w:cs="Arial" w:hAnsi="Arial"/>
          <w:sz w:val="22"/>
        </w:rPr>
        <w:t xml:space="preserve"> 将设计重点放在运动功能上。</w:t>
      </w:r>
    </w:p>
    <w:p>
      <w:pPr>
        <w:numPr>
          <w:numId w:val="174"/>
        </w:numPr>
        <w:spacing w:before="120" w:after="120" w:line="288" w:lineRule="auto"/>
        <w:ind w:left="907"/>
        <w:jc w:val="left"/>
      </w:pPr>
      <w:r>
        <w:rPr>
          <w:rFonts w:eastAsia="等线" w:ascii="Arial" w:cs="Arial" w:hAnsi="Arial"/>
          <w:b w:val="true"/>
          <w:sz w:val="22"/>
        </w:rPr>
        <w:t>反复试验：</w:t>
      </w:r>
      <w:r>
        <w:rPr>
          <w:rFonts w:eastAsia="等线" w:ascii="Arial" w:cs="Arial" w:hAnsi="Arial"/>
          <w:sz w:val="22"/>
        </w:rPr>
        <w:t xml:space="preserve"> 通过大量原型测试改进材料与结构。</w:t>
      </w:r>
    </w:p>
    <w:p>
      <w:pPr>
        <w:numPr>
          <w:numId w:val="175"/>
        </w:numPr>
        <w:spacing w:before="120" w:after="120" w:line="288" w:lineRule="auto"/>
        <w:ind w:left="907"/>
        <w:jc w:val="left"/>
      </w:pPr>
      <w:r>
        <w:rPr>
          <w:rFonts w:eastAsia="等线" w:ascii="Arial" w:cs="Arial" w:hAnsi="Arial"/>
          <w:b w:val="true"/>
          <w:sz w:val="22"/>
        </w:rPr>
        <w:t>合作创业：</w:t>
      </w:r>
      <w:r>
        <w:rPr>
          <w:rFonts w:eastAsia="等线" w:ascii="Arial" w:cs="Arial" w:hAnsi="Arial"/>
          <w:sz w:val="22"/>
        </w:rPr>
        <w:t xml:space="preserve"> 联合专业伙伴，把设计转化为企业产品。</w:t>
      </w:r>
    </w:p>
    <w:p>
      <w:pPr>
        <w:numPr>
          <w:numId w:val="176"/>
        </w:numPr>
        <w:spacing w:before="120" w:after="120" w:line="288" w:lineRule="auto"/>
        <w:ind w:left="453"/>
        <w:jc w:val="left"/>
      </w:pPr>
      <w:r>
        <w:rPr>
          <w:rFonts w:eastAsia="等线" w:ascii="Arial" w:cs="Arial" w:hAnsi="Arial"/>
          <w:b w:val="true"/>
          <w:sz w:val="22"/>
        </w:rPr>
        <w:t>链接：</w:t>
      </w:r>
      <w:hyperlink r:id="rId51">
        <w:r>
          <w:rPr>
            <w:rFonts w:eastAsia="等线" w:ascii="Arial" w:cs="Arial" w:hAnsi="Arial"/>
            <w:color w:val="3370ff"/>
            <w:sz w:val="22"/>
          </w:rPr>
          <w:t>创业与转化来源</w:t>
        </w:r>
      </w:hyperlink>
      <w:r>
        <w:rPr>
          <w:rFonts w:eastAsia="等线" w:ascii="Arial" w:cs="Arial" w:hAnsi="Arial"/>
          <w:sz w:val="22"/>
        </w:rPr>
        <w:t>、</w:t>
      </w:r>
      <w:hyperlink r:id="rId52">
        <w:r>
          <w:rPr>
            <w:rFonts w:eastAsia="等线" w:ascii="Arial" w:cs="Arial" w:hAnsi="Arial"/>
            <w:color w:val="3370ff"/>
            <w:sz w:val="22"/>
          </w:rPr>
          <w:t>Össur 官方产品目录，含 Flex-Foot Cheetah</w:t>
        </w:r>
      </w:hyperlink>
    </w:p>
    <w:p>
      <w:pPr>
        <w:spacing w:before="120" w:after="120" w:line="288" w:lineRule="auto"/>
        <w:ind w:left="453"/>
        <w:jc w:val="left"/>
      </w:pPr>
    </w:p>
    <w:p>
      <w:pPr>
        <w:numPr>
          <w:numId w:val="177"/>
        </w:numPr>
        <w:spacing w:before="120" w:after="120" w:line="288" w:lineRule="auto"/>
        <w:ind w:left="0"/>
        <w:jc w:val="left"/>
      </w:pPr>
      <w:r>
        <w:rPr>
          <w:rFonts w:eastAsia="等线" w:ascii="Arial" w:cs="Arial" w:hAnsi="Arial"/>
          <w:b w:val="true"/>
          <w:sz w:val="22"/>
        </w:rPr>
        <w:t>青柳卓雄｜脉搏血氧仪（李嘉欣）</w:t>
      </w:r>
    </w:p>
    <w:p>
      <w:pPr>
        <w:spacing w:before="120" w:after="120" w:line="288" w:lineRule="auto"/>
        <w:ind w:left="453"/>
        <w:jc w:val="center"/>
      </w:pPr>
      <w:r>
        <w:drawing>
          <wp:inline distT="0" distR="0" distB="0" distL="0">
            <wp:extent cx="1457325" cy="16287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53"/>
                    <a:stretch>
                      <a:fillRect/>
                    </a:stretch>
                  </pic:blipFill>
                  <pic:spPr>
                    <a:xfrm>
                      <a:off x="0" y="0"/>
                      <a:ext cx="1457325" cy="1628775"/>
                    </a:xfrm>
                    <a:prstGeom prst="rect">
                      <a:avLst/>
                    </a:prstGeom>
                  </pic:spPr>
                </pic:pic>
              </a:graphicData>
            </a:graphic>
          </wp:inline>
        </w:drawing>
      </w:r>
    </w:p>
    <w:p>
      <w:pPr>
        <w:numPr>
          <w:numId w:val="178"/>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 xml:space="preserve"> 日本</w:t>
      </w:r>
    </w:p>
    <w:p>
      <w:pPr>
        <w:numPr>
          <w:numId w:val="179"/>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 xml:space="preserve"> 测量原理创新、无创监测、企业内部创新。</w:t>
      </w:r>
    </w:p>
    <w:p>
      <w:pPr>
        <w:numPr>
          <w:numId w:val="180"/>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br/>
      </w:r>
      <w:r>
        <w:rPr>
          <w:rFonts w:eastAsia="等线" w:ascii="Arial" w:cs="Arial" w:hAnsi="Arial"/>
          <w:sz w:val="22"/>
        </w:rPr>
        <w:t>青柳卓雄发现，可以利用随心跳变化的光吸收信号估算动脉血氧饱和度，为无需反复抽血的连续血氧监测奠定基础。他把原本容易被视为干扰的脉动变化，转化为可利用的测量信号。</w:t>
      </w:r>
      <w:hyperlink r:id="rId54">
        <w:r>
          <w:rPr>
            <w:rFonts w:eastAsia="等线" w:ascii="Arial" w:cs="Arial" w:hAnsi="Arial"/>
            <w:color w:val="3370ff"/>
            <w:sz w:val="22"/>
          </w:rPr>
          <w:t>来源：日本光电</w:t>
        </w:r>
      </w:hyperlink>
    </w:p>
    <w:p>
      <w:pPr>
        <w:numPr>
          <w:numId w:val="181"/>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br/>
      </w:r>
      <w:r>
        <w:rPr>
          <w:rFonts w:eastAsia="等线" w:ascii="Arial" w:cs="Arial" w:hAnsi="Arial"/>
          <w:sz w:val="22"/>
        </w:rPr>
        <w:t>血氧监测后来扩展到医院、诊所和家庭，但这种普及依赖多个企业在传感器、光源和电子技术上的改进。</w:t>
      </w:r>
      <w:r>
        <w:rPr>
          <w:rFonts w:eastAsia="等线" w:ascii="Arial" w:cs="Arial" w:hAnsi="Arial"/>
          <w:b w:val="true"/>
          <w:sz w:val="22"/>
        </w:rPr>
        <w:t>对青柳个人，更稳妥的评价是基础测量技术的突破与早期产品化。</w:t>
      </w:r>
    </w:p>
    <w:p>
      <w:pPr>
        <w:numPr>
          <w:numId w:val="182"/>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生物医学测量、光学传感、患者监护、麻醉安全。</w:t>
      </w:r>
    </w:p>
    <w:p>
      <w:pPr>
        <w:numPr>
          <w:numId w:val="183"/>
        </w:numPr>
        <w:spacing w:before="120" w:after="120" w:line="288" w:lineRule="auto"/>
        <w:ind w:left="453"/>
        <w:jc w:val="left"/>
      </w:pPr>
      <w:r>
        <w:rPr>
          <w:rFonts w:eastAsia="等线" w:ascii="Arial" w:cs="Arial" w:hAnsi="Arial"/>
          <w:b w:val="true"/>
          <w:sz w:val="22"/>
        </w:rPr>
        <w:t>特点：</w:t>
      </w:r>
    </w:p>
    <w:p>
      <w:pPr>
        <w:numPr>
          <w:numId w:val="184"/>
        </w:numPr>
        <w:spacing w:before="120" w:after="120" w:line="288" w:lineRule="auto"/>
        <w:ind w:left="907"/>
        <w:jc w:val="left"/>
      </w:pPr>
      <w:r>
        <w:rPr>
          <w:rFonts w:eastAsia="等线" w:ascii="Arial" w:cs="Arial" w:hAnsi="Arial"/>
          <w:b w:val="true"/>
          <w:sz w:val="22"/>
        </w:rPr>
        <w:t>观察敏锐：</w:t>
      </w:r>
      <w:r>
        <w:rPr>
          <w:rFonts w:eastAsia="等线" w:ascii="Arial" w:cs="Arial" w:hAnsi="Arial"/>
          <w:sz w:val="22"/>
        </w:rPr>
        <w:t xml:space="preserve"> 从信号波动中发现新的测量机会。</w:t>
      </w:r>
    </w:p>
    <w:p>
      <w:pPr>
        <w:numPr>
          <w:numId w:val="185"/>
        </w:numPr>
        <w:spacing w:before="120" w:after="120" w:line="288" w:lineRule="auto"/>
        <w:ind w:left="907"/>
        <w:jc w:val="left"/>
      </w:pPr>
      <w:r>
        <w:rPr>
          <w:rFonts w:eastAsia="等线" w:ascii="Arial" w:cs="Arial" w:hAnsi="Arial"/>
          <w:b w:val="true"/>
          <w:sz w:val="22"/>
        </w:rPr>
        <w:t>重新解释问题：</w:t>
      </w:r>
      <w:r>
        <w:rPr>
          <w:rFonts w:eastAsia="等线" w:ascii="Arial" w:cs="Arial" w:hAnsi="Arial"/>
          <w:sz w:val="22"/>
        </w:rPr>
        <w:t xml:space="preserve"> 将“需要消除的干扰”转化为有效信息。</w:t>
      </w:r>
    </w:p>
    <w:p>
      <w:pPr>
        <w:numPr>
          <w:numId w:val="186"/>
        </w:numPr>
        <w:spacing w:before="120" w:after="120" w:line="288" w:lineRule="auto"/>
        <w:ind w:left="907"/>
        <w:jc w:val="left"/>
      </w:pPr>
      <w:r>
        <w:rPr>
          <w:rFonts w:eastAsia="等线" w:ascii="Arial" w:cs="Arial" w:hAnsi="Arial"/>
          <w:b w:val="true"/>
          <w:sz w:val="22"/>
        </w:rPr>
        <w:t>理论联系产品：</w:t>
      </w:r>
      <w:r>
        <w:rPr>
          <w:rFonts w:eastAsia="等线" w:ascii="Arial" w:cs="Arial" w:hAnsi="Arial"/>
          <w:sz w:val="22"/>
        </w:rPr>
        <w:t xml:space="preserve"> 将原理推进到实际仪器。</w:t>
      </w:r>
    </w:p>
    <w:p>
      <w:pPr>
        <w:numPr>
          <w:numId w:val="187"/>
        </w:numPr>
        <w:spacing w:before="120" w:after="120" w:line="288" w:lineRule="auto"/>
        <w:ind w:left="907"/>
        <w:jc w:val="left"/>
      </w:pPr>
      <w:r>
        <w:rPr>
          <w:rFonts w:eastAsia="等线" w:ascii="Arial" w:cs="Arial" w:hAnsi="Arial"/>
          <w:b w:val="true"/>
          <w:sz w:val="22"/>
        </w:rPr>
        <w:t>长期投入：</w:t>
      </w:r>
      <w:r>
        <w:rPr>
          <w:rFonts w:eastAsia="等线" w:ascii="Arial" w:cs="Arial" w:hAnsi="Arial"/>
          <w:sz w:val="22"/>
        </w:rPr>
        <w:t xml:space="preserve"> 在早期市场反应有限的情况下继续研究相关问题。</w:t>
      </w:r>
    </w:p>
    <w:p>
      <w:pPr>
        <w:numPr>
          <w:numId w:val="188"/>
        </w:numPr>
        <w:spacing w:before="120" w:after="120" w:line="288" w:lineRule="auto"/>
        <w:ind w:left="453"/>
        <w:jc w:val="left"/>
      </w:pPr>
      <w:r>
        <w:rPr>
          <w:rFonts w:eastAsia="等线" w:ascii="Arial" w:cs="Arial" w:hAnsi="Arial"/>
          <w:b w:val="true"/>
          <w:sz w:val="22"/>
        </w:rPr>
        <w:t>链接：</w:t>
      </w:r>
      <w:hyperlink r:id="rId55">
        <w:r>
          <w:rPr>
            <w:rFonts w:eastAsia="等线" w:ascii="Arial" w:cs="Arial" w:hAnsi="Arial"/>
            <w:color w:val="3370ff"/>
            <w:sz w:val="22"/>
          </w:rPr>
          <w:t>产品历史与人物贡献来源</w:t>
        </w:r>
      </w:hyperlink>
    </w:p>
    <w:p>
      <w:pPr>
        <w:spacing w:before="120" w:after="120" w:line="288" w:lineRule="auto"/>
        <w:ind w:left="453"/>
        <w:jc w:val="left"/>
      </w:pPr>
    </w:p>
    <w:p>
      <w:pPr>
        <w:numPr>
          <w:numId w:val="189"/>
        </w:numPr>
        <w:spacing w:before="120" w:after="120" w:line="288" w:lineRule="auto"/>
        <w:ind w:left="0"/>
        <w:jc w:val="left"/>
      </w:pPr>
      <w:r>
        <w:rPr>
          <w:rFonts w:eastAsia="等线" w:ascii="Arial" w:cs="Arial" w:hAnsi="Arial"/>
          <w:b w:val="true"/>
          <w:sz w:val="22"/>
        </w:rPr>
        <w:t>Govindappa Venkataswamy｜Aravind 眼科服务与 Aurolab （李嘉欣）</w:t>
      </w:r>
    </w:p>
    <w:p>
      <w:pPr>
        <w:spacing w:before="120" w:after="120" w:line="288" w:lineRule="auto"/>
        <w:ind w:left="453"/>
        <w:jc w:val="center"/>
      </w:pPr>
      <w:r>
        <w:drawing>
          <wp:inline distT="0" distR="0" distB="0" distL="0">
            <wp:extent cx="1143000" cy="16097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56"/>
                    <a:stretch>
                      <a:fillRect/>
                    </a:stretch>
                  </pic:blipFill>
                  <pic:spPr>
                    <a:xfrm>
                      <a:off x="0" y="0"/>
                      <a:ext cx="1143000" cy="1609725"/>
                    </a:xfrm>
                    <a:prstGeom prst="rect">
                      <a:avLst/>
                    </a:prstGeom>
                  </pic:spPr>
                </pic:pic>
              </a:graphicData>
            </a:graphic>
          </wp:inline>
        </w:drawing>
      </w:r>
    </w:p>
    <w:p>
      <w:pPr>
        <w:numPr>
          <w:numId w:val="190"/>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 xml:space="preserve"> 印度。</w:t>
      </w:r>
    </w:p>
    <w:p>
      <w:pPr>
        <w:numPr>
          <w:numId w:val="191"/>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 xml:space="preserve"> 商业模式创新、医疗服务流程创新、供应链创新。</w:t>
      </w:r>
    </w:p>
    <w:p>
      <w:pPr>
        <w:numPr>
          <w:numId w:val="192"/>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br/>
      </w:r>
      <w:r>
        <w:rPr>
          <w:rFonts w:eastAsia="等线" w:ascii="Arial" w:cs="Arial" w:hAnsi="Arial"/>
          <w:sz w:val="22"/>
        </w:rPr>
        <w:t>他的核心贡献主要在服务组织方式：将标准化分工、患者流程、社区筛查和耗材供应连接起来，提高眼科服务的可负担性。其团队建立 Aurolab，生产人工晶状体等耗材，进一步改善服务的成本基础。</w:t>
      </w:r>
      <w:hyperlink r:id="rId57">
        <w:r>
          <w:rPr>
            <w:rFonts w:eastAsia="等线" w:ascii="Arial" w:cs="Arial" w:hAnsi="Arial"/>
            <w:color w:val="3370ff"/>
            <w:sz w:val="22"/>
          </w:rPr>
          <w:t>来源：Aravind 创办历史</w:t>
        </w:r>
      </w:hyperlink>
      <w:r>
        <w:rPr>
          <w:rFonts w:eastAsia="等线" w:ascii="Arial" w:cs="Arial" w:hAnsi="Arial"/>
          <w:sz w:val="22"/>
        </w:rPr>
        <w:t>及</w:t>
      </w:r>
      <w:hyperlink r:id="rId58">
        <w:r>
          <w:rPr>
            <w:rFonts w:eastAsia="等线" w:ascii="Arial" w:cs="Arial" w:hAnsi="Arial"/>
            <w:color w:val="3370ff"/>
            <w:sz w:val="22"/>
          </w:rPr>
          <w:t>Aurolab 介绍</w:t>
        </w:r>
      </w:hyperlink>
    </w:p>
    <w:p>
      <w:pPr>
        <w:numPr>
          <w:numId w:val="193"/>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br/>
      </w:r>
      <w:r>
        <w:rPr>
          <w:rFonts w:eastAsia="等线" w:ascii="Arial" w:cs="Arial" w:hAnsi="Arial"/>
          <w:sz w:val="22"/>
        </w:rPr>
        <w:t>Aravind 面向部分原本无力获得眼科治疗的人群，以不同的成本和服务体系扩大医疗可及性，</w:t>
      </w:r>
      <w:r>
        <w:rPr>
          <w:rFonts w:eastAsia="等线" w:ascii="Arial" w:cs="Arial" w:hAnsi="Arial"/>
          <w:b w:val="true"/>
          <w:sz w:val="22"/>
        </w:rPr>
        <w:t>具有新市场颠覆的特征</w:t>
      </w:r>
      <w:r>
        <w:rPr>
          <w:rFonts w:eastAsia="等线" w:ascii="Arial" w:cs="Arial" w:hAnsi="Arial"/>
          <w:sz w:val="22"/>
        </w:rPr>
        <w:t>。不过，更严谨的表述是“可用颠覆性创新理论分析”，不能仅凭低价或免费就断言它完成了市场颠覆。</w:t>
      </w:r>
    </w:p>
    <w:p>
      <w:pPr>
        <w:numPr>
          <w:numId w:val="194"/>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 xml:space="preserve"> 眼科医疗服务、社会创业、医疗运营、低成本医疗耗材制造。</w:t>
      </w:r>
    </w:p>
    <w:p>
      <w:pPr>
        <w:numPr>
          <w:numId w:val="195"/>
        </w:numPr>
        <w:spacing w:before="120" w:after="120" w:line="288" w:lineRule="auto"/>
        <w:ind w:left="453"/>
        <w:jc w:val="left"/>
      </w:pPr>
      <w:r>
        <w:rPr>
          <w:rFonts w:eastAsia="等线" w:ascii="Arial" w:cs="Arial" w:hAnsi="Arial"/>
          <w:b w:val="true"/>
          <w:sz w:val="22"/>
        </w:rPr>
        <w:t>特点：</w:t>
      </w:r>
    </w:p>
    <w:p>
      <w:pPr>
        <w:numPr>
          <w:numId w:val="196"/>
        </w:numPr>
        <w:spacing w:before="120" w:after="120" w:line="288" w:lineRule="auto"/>
        <w:ind w:left="907"/>
        <w:jc w:val="left"/>
      </w:pPr>
      <w:r>
        <w:rPr>
          <w:rFonts w:eastAsia="等线" w:ascii="Arial" w:cs="Arial" w:hAnsi="Arial"/>
          <w:b w:val="true"/>
          <w:sz w:val="22"/>
        </w:rPr>
        <w:t>社会需求导向：</w:t>
      </w:r>
      <w:r>
        <w:rPr>
          <w:rFonts w:eastAsia="等线" w:ascii="Arial" w:cs="Arial" w:hAnsi="Arial"/>
          <w:sz w:val="22"/>
        </w:rPr>
        <w:t xml:space="preserve"> 将可避免的失明与医疗支付障碍联系起来。</w:t>
      </w:r>
    </w:p>
    <w:p>
      <w:pPr>
        <w:numPr>
          <w:numId w:val="197"/>
        </w:numPr>
        <w:spacing w:before="120" w:after="120" w:line="288" w:lineRule="auto"/>
        <w:ind w:left="907"/>
        <w:jc w:val="left"/>
      </w:pPr>
      <w:r>
        <w:rPr>
          <w:rFonts w:eastAsia="等线" w:ascii="Arial" w:cs="Arial" w:hAnsi="Arial"/>
          <w:b w:val="true"/>
          <w:sz w:val="22"/>
        </w:rPr>
        <w:t>系统思维：</w:t>
      </w:r>
      <w:r>
        <w:rPr>
          <w:rFonts w:eastAsia="等线" w:ascii="Arial" w:cs="Arial" w:hAnsi="Arial"/>
          <w:sz w:val="22"/>
        </w:rPr>
        <w:t xml:space="preserve"> 同时调整人员、流程、患者来源和耗材供应。</w:t>
      </w:r>
    </w:p>
    <w:p>
      <w:pPr>
        <w:numPr>
          <w:numId w:val="198"/>
        </w:numPr>
        <w:spacing w:before="120" w:after="120" w:line="288" w:lineRule="auto"/>
        <w:ind w:left="907"/>
        <w:jc w:val="left"/>
      </w:pPr>
      <w:r>
        <w:rPr>
          <w:rFonts w:eastAsia="等线" w:ascii="Arial" w:cs="Arial" w:hAnsi="Arial"/>
          <w:b w:val="true"/>
          <w:sz w:val="22"/>
        </w:rPr>
        <w:t>组织能力：</w:t>
      </w:r>
      <w:r>
        <w:rPr>
          <w:rFonts w:eastAsia="等线" w:ascii="Arial" w:cs="Arial" w:hAnsi="Arial"/>
          <w:sz w:val="22"/>
        </w:rPr>
        <w:t xml:space="preserve"> 将个人使命落实为能够持续运行的机构。</w:t>
      </w:r>
    </w:p>
    <w:p>
      <w:pPr>
        <w:numPr>
          <w:numId w:val="199"/>
        </w:numPr>
        <w:spacing w:before="120" w:after="120" w:line="288" w:lineRule="auto"/>
        <w:ind w:left="907"/>
        <w:jc w:val="left"/>
      </w:pPr>
      <w:r>
        <w:rPr>
          <w:rFonts w:eastAsia="等线" w:ascii="Arial" w:cs="Arial" w:hAnsi="Arial"/>
          <w:b w:val="true"/>
          <w:sz w:val="22"/>
        </w:rPr>
        <w:t>价值转化：</w:t>
      </w:r>
      <w:r>
        <w:rPr>
          <w:rFonts w:eastAsia="等线" w:ascii="Arial" w:cs="Arial" w:hAnsi="Arial"/>
          <w:sz w:val="22"/>
        </w:rPr>
        <w:t xml:space="preserve"> 把既有医学技术转化为更多患者能够获得的服务。</w:t>
      </w:r>
    </w:p>
    <w:p>
      <w:pPr>
        <w:numPr>
          <w:numId w:val="200"/>
        </w:numPr>
        <w:spacing w:before="120" w:after="120" w:line="288" w:lineRule="auto"/>
        <w:ind w:left="453"/>
        <w:jc w:val="left"/>
      </w:pPr>
      <w:r>
        <w:rPr>
          <w:rFonts w:eastAsia="等线" w:ascii="Arial" w:cs="Arial" w:hAnsi="Arial"/>
          <w:b w:val="true"/>
          <w:sz w:val="22"/>
        </w:rPr>
        <w:t>链接：</w:t>
      </w:r>
      <w:hyperlink r:id="rId59">
        <w:r>
          <w:rPr>
            <w:rFonts w:eastAsia="等线" w:ascii="Arial" w:cs="Arial" w:hAnsi="Arial"/>
            <w:color w:val="3370ff"/>
            <w:sz w:val="22"/>
          </w:rPr>
          <w:t>医疗服务数据</w:t>
        </w:r>
      </w:hyperlink>
      <w:r>
        <w:rPr>
          <w:rFonts w:eastAsia="等线" w:ascii="Arial" w:cs="Arial" w:hAnsi="Arial"/>
          <w:sz w:val="22"/>
        </w:rPr>
        <w:t>、</w:t>
      </w:r>
      <w:hyperlink r:id="rId60">
        <w:r>
          <w:rPr>
            <w:rFonts w:eastAsia="等线" w:ascii="Arial" w:cs="Arial" w:hAnsi="Arial"/>
            <w:color w:val="3370ff"/>
            <w:sz w:val="22"/>
          </w:rPr>
          <w:t>Aurolab 官方产品目录</w:t>
        </w:r>
      </w:hyperlink>
    </w:p>
    <w:p>
      <w:pPr>
        <w:spacing w:before="120" w:after="120" w:line="288" w:lineRule="auto"/>
        <w:ind w:left="453"/>
        <w:jc w:val="left"/>
      </w:pPr>
    </w:p>
    <w:p>
      <w:pPr>
        <w:numPr>
          <w:numId w:val="201"/>
        </w:numPr>
        <w:spacing w:before="120" w:after="120" w:line="288" w:lineRule="auto"/>
        <w:ind w:left="0"/>
        <w:jc w:val="left"/>
      </w:pPr>
      <w:r>
        <w:rPr>
          <w:rFonts w:eastAsia="等线" w:ascii="Arial" w:cs="Arial" w:hAnsi="Arial"/>
          <w:sz w:val="22"/>
        </w:rPr>
        <w:t>Godfrey Hounsfield｜CT 计算机断层扫描仪 (提莫）</w:t>
      </w:r>
    </w:p>
    <w:p>
      <w:pPr>
        <w:spacing w:before="120" w:after="120" w:line="288" w:lineRule="auto"/>
        <w:ind w:left="453"/>
        <w:jc w:val="left"/>
      </w:pPr>
      <w:r>
        <w:rPr>
          <w:rFonts w:eastAsia="等线" w:ascii="Arial" w:cs="Arial" w:hAnsi="Arial"/>
          <w:b w:val="true"/>
          <w:sz w:val="22"/>
        </w:rPr>
        <w:t xml:space="preserve">人物照片： </w:t>
      </w:r>
    </w:p>
    <w:p>
      <w:pPr>
        <w:spacing w:before="120" w:after="120" w:line="288" w:lineRule="auto"/>
        <w:ind w:left="453"/>
        <w:jc w:val="center"/>
      </w:pPr>
      <w:r>
        <w:drawing>
          <wp:inline distT="0" distR="0" distB="0" distL="0">
            <wp:extent cx="2724150" cy="27241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61"/>
                    <a:stretch>
                      <a:fillRect/>
                    </a:stretch>
                  </pic:blipFill>
                  <pic:spPr>
                    <a:xfrm>
                      <a:off x="0" y="0"/>
                      <a:ext cx="2724150" cy="2724150"/>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国籍：英国</w:t>
      </w:r>
    </w:p>
    <w:p>
      <w:p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在 EMI 中央研究实验室，把 X 射线投影数据交给计算机重建成人体断层图像，医生第一次能无创看到颅内软组织。1971 年完成首例临床扫描，EMI 随后推出商品化头部 CT，Hounsfield 与 Cormack 共享 1979 年诺贝尔生理学或医学奖。</w:t>
      </w:r>
    </w:p>
    <w:p>
      <w:pPr>
        <w:numPr>
          <w:numId w:val="202"/>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把数学原理变成全新的临床诊断设备，并通过企业进入医院。</w:t>
      </w:r>
    </w:p>
    <w:p>
      <w:pPr>
        <w:numPr>
          <w:numId w:val="203"/>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以无创的断层成像取代了侵入性的颅内检查（如气脑造影），改变了神经系统疾病的诊断方式。</w:t>
      </w:r>
    </w:p>
    <w:p>
      <w:pPr>
        <w:numPr>
          <w:numId w:val="204"/>
        </w:numPr>
        <w:spacing w:before="120" w:after="120" w:line="288" w:lineRule="auto"/>
        <w:ind w:left="453"/>
        <w:jc w:val="left"/>
      </w:pPr>
      <w:r>
        <w:rPr>
          <w:rFonts w:eastAsia="等线" w:ascii="Arial" w:cs="Arial" w:hAnsi="Arial"/>
          <w:sz w:val="22"/>
        </w:rPr>
        <w:t>创新领域：医学影像、诊断设备</w:t>
      </w:r>
    </w:p>
    <w:p>
      <w:pPr>
        <w:numPr>
          <w:numId w:val="205"/>
        </w:numPr>
        <w:spacing w:before="120" w:after="120" w:line="288" w:lineRule="auto"/>
        <w:ind w:left="453"/>
        <w:jc w:val="left"/>
      </w:pPr>
      <w:r>
        <w:rPr>
          <w:rFonts w:eastAsia="等线" w:ascii="Arial" w:cs="Arial" w:hAnsi="Arial"/>
          <w:sz w:val="22"/>
        </w:rPr>
        <w:t>特点：工程师出身，主动与神经放射科医生合作，让临床需求决定设计，擅长把数学原理做成能用的机器。</w:t>
      </w:r>
    </w:p>
    <w:p>
      <w:pPr>
        <w:numPr>
          <w:numId w:val="206"/>
        </w:numPr>
        <w:spacing w:before="120" w:after="120" w:line="288" w:lineRule="auto"/>
        <w:ind w:left="453"/>
        <w:jc w:val="left"/>
      </w:pPr>
      <w:r>
        <w:rPr>
          <w:rFonts w:eastAsia="等线" w:ascii="Arial" w:cs="Arial" w:hAnsi="Arial"/>
          <w:sz w:val="22"/>
        </w:rPr>
        <w:t>链接：</w:t>
      </w:r>
      <w:hyperlink r:id="rId62">
        <w:r>
          <w:rPr>
            <w:rFonts w:eastAsia="等线" w:ascii="Arial" w:cs="Arial" w:hAnsi="Arial"/>
            <w:color w:val="3370ff"/>
            <w:sz w:val="22"/>
          </w:rPr>
          <w:t>https://spectrum.ieee.org/invention-of-ct-scanner</w:t>
        </w:r>
      </w:hyperlink>
      <w:hyperlink r:id="rId63">
        <w:r>
          <w:rPr>
            <w:rFonts w:eastAsia="等线" w:ascii="Arial" w:cs="Arial" w:hAnsi="Arial"/>
            <w:color w:val="3370ff"/>
            <w:sz w:val="22"/>
          </w:rPr>
          <w:t>；</w:t>
        </w:r>
      </w:hyperlink>
      <w:hyperlink r:id="rId64">
        <w:r>
          <w:rPr>
            <w:rFonts w:eastAsia="等线" w:ascii="Arial" w:cs="Arial" w:hAnsi="Arial"/>
            <w:color w:val="3370ff"/>
            <w:sz w:val="22"/>
          </w:rPr>
          <w:t>https://ieeemilestones.ethw.org/Milestones:The_Birth_of_the_First_CT_Scanner</w:t>
        </w:r>
      </w:hyperlink>
      <w:hyperlink r:id="rId65">
        <w:r>
          <w:rPr>
            <w:rFonts w:eastAsia="等线" w:ascii="Arial" w:cs="Arial" w:hAnsi="Arial"/>
            <w:color w:val="3370ff"/>
            <w:sz w:val="22"/>
          </w:rPr>
          <w:t>；</w:t>
        </w:r>
      </w:hyperlink>
      <w:hyperlink r:id="rId66">
        <w:r>
          <w:rPr>
            <w:rFonts w:eastAsia="等线" w:ascii="Arial" w:cs="Arial" w:hAnsi="Arial"/>
            <w:color w:val="3370ff"/>
            <w:sz w:val="22"/>
          </w:rPr>
          <w:t>https://laskerfoundation.org/looking-deep-into-the-body/</w:t>
        </w:r>
      </w:hyperlink>
    </w:p>
    <w:p>
      <w:pPr>
        <w:numPr>
          <w:numId w:val="207"/>
        </w:numPr>
        <w:spacing w:before="120" w:after="120" w:line="288" w:lineRule="auto"/>
        <w:ind w:left="0"/>
        <w:jc w:val="left"/>
      </w:pPr>
      <w:r>
        <w:rPr>
          <w:rFonts w:eastAsia="等线" w:ascii="Arial" w:cs="Arial" w:hAnsi="Arial"/>
          <w:sz w:val="22"/>
        </w:rPr>
        <w:t>Raymond Damadian｜FONAR MRI 磁共振成像 (提莫）</w:t>
      </w:r>
    </w:p>
    <w:p>
      <w:pPr>
        <w:spacing w:before="120" w:after="120" w:line="288" w:lineRule="auto"/>
        <w:ind w:left="453"/>
        <w:jc w:val="left"/>
      </w:pPr>
      <w:r>
        <w:rPr>
          <w:rFonts w:eastAsia="等线" w:ascii="Arial" w:cs="Arial" w:hAnsi="Arial"/>
          <w:b w:val="true"/>
          <w:sz w:val="22"/>
        </w:rPr>
        <w:t xml:space="preserve">人物照片： </w:t>
      </w:r>
    </w:p>
    <w:p>
      <w:pPr>
        <w:spacing w:before="120" w:after="120" w:line="288" w:lineRule="auto"/>
        <w:ind w:left="453"/>
        <w:jc w:val="center"/>
      </w:pPr>
      <w:r>
        <w:drawing>
          <wp:inline distT="0" distR="0" distB="0" distL="0">
            <wp:extent cx="2009775" cy="24765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67"/>
                    <a:stretch>
                      <a:fillRect/>
                    </a:stretch>
                  </pic:blipFill>
                  <pic:spPr>
                    <a:xfrm>
                      <a:off x="0" y="0"/>
                      <a:ext cx="2009775" cy="2476500"/>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国籍：美国</w:t>
      </w:r>
    </w:p>
    <w:p>
      <w:pPr>
        <w:numPr>
          <w:numId w:val="208"/>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发现肿瘤组织与正常组织的核磁共振信号不同，据此提出用 NMR 检测疾病，团队建造了全身扫描原型机 “Indomitable”。1978 年创办 FONAR，1980 年推出首款商品。</w:t>
      </w:r>
    </w:p>
    <w:p>
      <w:pPr>
        <w:numPr>
          <w:numId w:val="209"/>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把一项物理现象转化为可商业化的医疗成像设备，并建立专门企业生产。</w:t>
      </w:r>
    </w:p>
    <w:p>
      <w:pPr>
        <w:numPr>
          <w:numId w:val="210"/>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无需电离辐射即可呈现软组织细节，改变了多类疾病的影像诊断方式。</w:t>
      </w:r>
    </w:p>
    <w:p>
      <w:pPr>
        <w:numPr>
          <w:numId w:val="211"/>
        </w:numPr>
        <w:spacing w:before="120" w:after="120" w:line="288" w:lineRule="auto"/>
        <w:ind w:left="453"/>
        <w:jc w:val="left"/>
      </w:pPr>
      <w:r>
        <w:rPr>
          <w:rFonts w:eastAsia="等线" w:ascii="Arial" w:cs="Arial" w:hAnsi="Arial"/>
          <w:sz w:val="22"/>
        </w:rPr>
        <w:t>创新领域：医学影像、诊断设备</w:t>
      </w:r>
    </w:p>
    <w:p>
      <w:pPr>
        <w:numPr>
          <w:numId w:val="212"/>
        </w:numPr>
        <w:spacing w:before="120" w:after="120" w:line="288" w:lineRule="auto"/>
        <w:ind w:left="453"/>
        <w:jc w:val="left"/>
      </w:pPr>
      <w:r>
        <w:rPr>
          <w:rFonts w:eastAsia="等线" w:ascii="Arial" w:cs="Arial" w:hAnsi="Arial"/>
          <w:sz w:val="22"/>
        </w:rPr>
        <w:t>特点：固执、自我坚持，把"用磁共振在体内找癌"从想法一路推到整机和公司。</w:t>
      </w:r>
    </w:p>
    <w:p>
      <w:pPr>
        <w:numPr>
          <w:numId w:val="213"/>
        </w:numPr>
        <w:spacing w:before="120" w:after="120" w:line="288" w:lineRule="auto"/>
        <w:ind w:left="453"/>
        <w:jc w:val="left"/>
      </w:pPr>
      <w:r>
        <w:rPr>
          <w:rFonts w:eastAsia="等线" w:ascii="Arial" w:cs="Arial" w:hAnsi="Arial"/>
          <w:sz w:val="22"/>
        </w:rPr>
        <w:t>注意：MRI 发明归属有争议（2003 年诺贝尔奖授予 Lauterbur 和 Mansfield），建议表述为"MRI 商业化的重要先驱之一"，不写"MRI 发明人"。</w:t>
      </w:r>
    </w:p>
    <w:p>
      <w:pPr>
        <w:numPr>
          <w:numId w:val="214"/>
        </w:numPr>
        <w:spacing w:before="120" w:after="120" w:line="288" w:lineRule="auto"/>
        <w:ind w:left="453"/>
        <w:jc w:val="left"/>
      </w:pPr>
      <w:r>
        <w:rPr>
          <w:rFonts w:eastAsia="等线" w:ascii="Arial" w:cs="Arial" w:hAnsi="Arial"/>
          <w:sz w:val="22"/>
        </w:rPr>
        <w:t>链接：</w:t>
      </w:r>
      <w:hyperlink r:id="rId68">
        <w:r>
          <w:rPr>
            <w:rFonts w:eastAsia="等线" w:ascii="Arial" w:cs="Arial" w:hAnsi="Arial"/>
            <w:color w:val="3370ff"/>
            <w:sz w:val="22"/>
          </w:rPr>
          <w:t>https://lemelson.mit.edu/resources/raymond-damadian</w:t>
        </w:r>
      </w:hyperlink>
      <w:hyperlink r:id="rId69">
        <w:r>
          <w:rPr>
            <w:rFonts w:eastAsia="等线" w:ascii="Arial" w:cs="Arial" w:hAnsi="Arial"/>
            <w:color w:val="3370ff"/>
            <w:sz w:val="22"/>
          </w:rPr>
          <w:t>；</w:t>
        </w:r>
      </w:hyperlink>
      <w:hyperlink r:id="rId70">
        <w:r>
          <w:rPr>
            <w:rFonts w:eastAsia="等线" w:ascii="Arial" w:cs="Arial" w:hAnsi="Arial"/>
            <w:color w:val="3370ff"/>
            <w:sz w:val="22"/>
          </w:rPr>
          <w:t>https://www.smithsonianmag.com/science-nature/the-indomitable-mri-29126670/</w:t>
        </w:r>
      </w:hyperlink>
    </w:p>
    <w:p>
      <w:pPr>
        <w:numPr>
          <w:numId w:val="215"/>
        </w:numPr>
        <w:spacing w:before="120" w:after="120" w:line="288" w:lineRule="auto"/>
        <w:ind w:left="0"/>
        <w:jc w:val="left"/>
      </w:pPr>
      <w:r>
        <w:rPr>
          <w:rFonts w:eastAsia="等线" w:ascii="Arial" w:cs="Arial" w:hAnsi="Arial"/>
          <w:sz w:val="22"/>
        </w:rPr>
        <w:t>James Black｜理性药物设计：普萘洛尔与西咪替丁（提莫）</w:t>
      </w:r>
    </w:p>
    <w:p>
      <w:p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2524125" cy="35623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71"/>
                    <a:stretch>
                      <a:fillRect/>
                    </a:stretch>
                  </pic:blipFill>
                  <pic:spPr>
                    <a:xfrm>
                      <a:off x="0" y="0"/>
                      <a:ext cx="2524125" cy="3562350"/>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国籍：英国</w:t>
      </w:r>
    </w:p>
    <w:p>
      <w:pPr>
        <w:numPr>
          <w:numId w:val="216"/>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先假设受体机制，再针对受体设计药物。普萘洛尔（Inderal）是第一个成功用于心脏病的 β 受体阻滞剂，西咪替丁（Tagamet）是首个 H2 受体拮抗剂，用于治疗胃溃疡。两种药都成为当时处方量最大的药物之一。1988 年与 Elion、Hitchings 共享诺贝尔奖。</w:t>
      </w:r>
    </w:p>
    <w:p>
      <w:pPr>
        <w:numPr>
          <w:numId w:val="217"/>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改变了新药的发现方式，并做出了广泛使用的上市产品。</w:t>
      </w:r>
    </w:p>
    <w:p>
      <w:pPr>
        <w:numPr>
          <w:numId w:val="218"/>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药企的研发范式从经验性筛选转向针对受体的设计，影响了此后的新药研发思路。</w:t>
      </w:r>
    </w:p>
    <w:p>
      <w:pPr>
        <w:numPr>
          <w:numId w:val="219"/>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药物研发（心血管、消化系统）</w:t>
      </w:r>
    </w:p>
    <w:p>
      <w:pPr>
        <w:numPr>
          <w:numId w:val="220"/>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以机制为出发点，不满足于经验性试药；在不同药企（ICI、SK&amp;F）之间转换，把同一套思路带到新的疾病领域。</w:t>
      </w:r>
    </w:p>
    <w:p>
      <w:pPr>
        <w:numPr>
          <w:numId w:val="221"/>
        </w:numPr>
        <w:spacing w:before="120" w:after="120" w:line="288" w:lineRule="auto"/>
        <w:ind w:left="453"/>
        <w:jc w:val="left"/>
      </w:pPr>
      <w:r>
        <w:rPr>
          <w:rFonts w:eastAsia="等线" w:ascii="Arial" w:cs="Arial" w:hAnsi="Arial"/>
          <w:b w:val="true"/>
          <w:sz w:val="22"/>
        </w:rPr>
        <w:t>链接：</w:t>
      </w:r>
      <w:hyperlink r:id="rId72">
        <w:r>
          <w:rPr>
            <w:rFonts w:eastAsia="等线" w:ascii="Arial" w:cs="Arial" w:hAnsi="Arial"/>
            <w:color w:val="3370ff"/>
            <w:sz w:val="22"/>
          </w:rPr>
          <w:t>https://en.wikipedia.org/wiki/James_Black_(pharmacologist)</w:t>
        </w:r>
      </w:hyperlink>
      <w:hyperlink r:id="rId73">
        <w:r>
          <w:rPr>
            <w:rFonts w:eastAsia="等线" w:ascii="Arial" w:cs="Arial" w:hAnsi="Arial"/>
            <w:color w:val="3370ff"/>
            <w:sz w:val="22"/>
          </w:rPr>
          <w:t>；</w:t>
        </w:r>
      </w:hyperlink>
      <w:hyperlink r:id="rId74">
        <w:r>
          <w:rPr>
            <w:rFonts w:eastAsia="等线" w:ascii="Arial" w:cs="Arial" w:hAnsi="Arial"/>
            <w:color w:val="3370ff"/>
            <w:sz w:val="22"/>
          </w:rPr>
          <w:t>https://pharmafile.com/appointments/obituary-sir-james-black/</w:t>
        </w:r>
      </w:hyperlink>
    </w:p>
    <w:p>
      <w:pPr>
        <w:numPr>
          <w:numId w:val="222"/>
        </w:numPr>
        <w:spacing w:before="120" w:after="120" w:line="288" w:lineRule="auto"/>
        <w:ind w:left="0"/>
        <w:jc w:val="left"/>
      </w:pPr>
      <w:r>
        <w:rPr>
          <w:rFonts w:eastAsia="等线" w:ascii="Arial" w:cs="Arial" w:hAnsi="Arial"/>
          <w:sz w:val="22"/>
        </w:rPr>
        <w:t>Dean Kamen｜便携式胰岛素泵与家用透析设备（提莫）</w:t>
      </w:r>
    </w:p>
    <w:p>
      <w:p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609725" cy="24193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75"/>
                    <a:stretch>
                      <a:fillRect/>
                    </a:stretch>
                  </pic:blipFill>
                  <pic:spPr>
                    <a:xfrm>
                      <a:off x="0" y="0"/>
                      <a:ext cx="1609725" cy="2419350"/>
                    </a:xfrm>
                    <a:prstGeom prst="rect">
                      <a:avLst/>
                    </a:prstGeom>
                  </pic:spPr>
                </pic:pic>
              </a:graphicData>
            </a:graphic>
          </wp:inline>
        </w:drawing>
      </w:r>
    </w:p>
    <w:p>
      <w:pPr>
        <w:numPr>
          <w:numId w:val="223"/>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24"/>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大学期间开发可穿戴输液泵，并与糖尿病研究者合作设计早期便携式胰岛素泵；后来团队（DEKA）为 Baxter 开发 HomeChoice 腹膜透析系统，让透析可在家进行。1976 年创办 AutoSyringe, Inc.，后卖给 Baxter，随后创办 DEKA。</w:t>
      </w:r>
    </w:p>
    <w:p>
      <w:pPr>
        <w:numPr>
          <w:numId w:val="225"/>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把输液泵做小、做成可穿戴，做出早期便携式胰岛素泵。</w:t>
      </w:r>
    </w:p>
    <w:p>
      <w:pPr>
        <w:numPr>
          <w:numId w:val="226"/>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让治疗从医院转到患者的日常生活和家中。</w:t>
      </w:r>
    </w:p>
    <w:p>
      <w:pPr>
        <w:numPr>
          <w:numId w:val="227"/>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医疗器械（糖尿病管理、居家透析）</w:t>
      </w:r>
    </w:p>
    <w:p>
      <w:pPr>
        <w:numPr>
          <w:numId w:val="228"/>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从患者的生活场景出发，而不是从医院出发；跨领域的发明者，乐于做原型。</w:t>
      </w:r>
    </w:p>
    <w:p>
      <w:pPr>
        <w:numPr>
          <w:numId w:val="229"/>
        </w:numPr>
        <w:spacing w:before="120" w:after="120" w:line="288" w:lineRule="auto"/>
        <w:ind w:left="453"/>
        <w:jc w:val="left"/>
      </w:pPr>
      <w:r>
        <w:rPr>
          <w:rFonts w:eastAsia="等线" w:ascii="Arial" w:cs="Arial" w:hAnsi="Arial"/>
          <w:b w:val="true"/>
          <w:sz w:val="22"/>
        </w:rPr>
        <w:t>链接：</w:t>
      </w:r>
      <w:hyperlink r:id="rId76">
        <w:r>
          <w:rPr>
            <w:rFonts w:eastAsia="等线" w:ascii="Arial" w:cs="Arial" w:hAnsi="Arial"/>
            <w:color w:val="3370ff"/>
            <w:sz w:val="22"/>
          </w:rPr>
          <w:t>https://lemelson.mit.edu/resources/dean-kamen</w:t>
        </w:r>
      </w:hyperlink>
      <w:hyperlink r:id="rId77">
        <w:r>
          <w:rPr>
            <w:rFonts w:eastAsia="等线" w:ascii="Arial" w:cs="Arial" w:hAnsi="Arial"/>
            <w:color w:val="3370ff"/>
            <w:sz w:val="22"/>
          </w:rPr>
          <w:t>；</w:t>
        </w:r>
      </w:hyperlink>
      <w:hyperlink r:id="rId78">
        <w:r>
          <w:rPr>
            <w:rFonts w:eastAsia="等线" w:ascii="Arial" w:cs="Arial" w:hAnsi="Arial"/>
            <w:color w:val="3370ff"/>
            <w:sz w:val="22"/>
          </w:rPr>
          <w:t>https://www.britannica.com/biography/Dean-Kamen</w:t>
        </w:r>
      </w:hyperlink>
    </w:p>
    <w:p>
      <w:pPr>
        <w:spacing w:before="120" w:after="120" w:line="288" w:lineRule="auto"/>
        <w:ind w:left="453"/>
        <w:jc w:val="left"/>
      </w:pPr>
      <w:r>
        <w:rPr>
          <w:rFonts w:eastAsia="等线" w:ascii="Arial" w:cs="Arial" w:hAnsi="Arial"/>
          <w:sz w:val="22"/>
        </w:rPr>
        <w:t>链接：</w:t>
      </w:r>
      <w:hyperlink r:id="rId79">
        <w:r>
          <w:rPr>
            <w:rFonts w:eastAsia="等线" w:ascii="Arial" w:cs="Arial" w:hAnsi="Arial"/>
            <w:color w:val="3370ff"/>
            <w:sz w:val="22"/>
          </w:rPr>
          <w:t>MIT Lemelson：Dean Kamen</w:t>
        </w:r>
      </w:hyperlink>
      <w:r>
        <w:rPr>
          <w:rFonts w:eastAsia="等线" w:ascii="Arial" w:cs="Arial" w:hAnsi="Arial"/>
          <w:sz w:val="22"/>
        </w:rPr>
        <w:t xml:space="preserve">, </w:t>
      </w:r>
      <w:hyperlink r:id="rId80">
        <w:r>
          <w:rPr>
            <w:rFonts w:eastAsia="等线" w:ascii="Arial" w:cs="Arial" w:hAnsi="Arial"/>
            <w:color w:val="3370ff"/>
            <w:sz w:val="22"/>
          </w:rPr>
          <w:t>Britannica：Dean Kamen</w:t>
        </w:r>
      </w:hyperlink>
    </w:p>
    <w:p>
      <w:pPr>
        <w:numPr>
          <w:numId w:val="230"/>
        </w:numPr>
        <w:spacing w:before="120" w:after="120" w:line="288" w:lineRule="auto"/>
        <w:ind w:left="0"/>
        <w:jc w:val="left"/>
      </w:pPr>
      <w:r>
        <w:rPr>
          <w:rFonts w:eastAsia="等线" w:ascii="Arial" w:cs="Arial" w:hAnsi="Arial"/>
          <w:sz w:val="22"/>
        </w:rPr>
        <w:t>Jennifer Doudna 与 Emmanuelle Charpentier｜CRISPR 基因编辑疗法（提莫）</w:t>
      </w:r>
    </w:p>
    <w:p>
      <w:p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3952875" cy="57054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81"/>
                    <a:stretch>
                      <a:fillRect/>
                    </a:stretch>
                  </pic:blipFill>
                  <pic:spPr>
                    <a:xfrm>
                      <a:off x="0" y="0"/>
                      <a:ext cx="3952875" cy="5705475"/>
                    </a:xfrm>
                    <a:prstGeom prst="rect">
                      <a:avLst/>
                    </a:prstGeom>
                  </pic:spPr>
                </pic:pic>
              </a:graphicData>
            </a:graphic>
          </wp:inline>
        </w:drawing>
      </w:r>
    </w:p>
    <w:p>
      <w:pPr>
        <w:spacing w:before="120" w:after="120" w:line="288" w:lineRule="auto"/>
        <w:ind w:left="453"/>
        <w:jc w:val="center"/>
      </w:pPr>
      <w:r>
        <w:drawing>
          <wp:inline distT="0" distR="0" distB="0" distL="0">
            <wp:extent cx="3971925" cy="37623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82"/>
                    <a:stretch>
                      <a:fillRect/>
                    </a:stretch>
                  </pic:blipFill>
                  <pic:spPr>
                    <a:xfrm>
                      <a:off x="0" y="0"/>
                      <a:ext cx="3971925" cy="3762375"/>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国籍：美国</w:t>
      </w:r>
    </w:p>
    <w:p>
      <w:pPr>
        <w:numPr>
          <w:numId w:val="231"/>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美国（Doudna）、法国（Charpentier）</w:t>
      </w:r>
    </w:p>
    <w:p>
      <w:pPr>
        <w:numPr>
          <w:numId w:val="232"/>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揭示 CRISPR-Cas9 可作为可编程的 DNA 剪刀，使精确修改基因成为可能，获 2020 年诺贝尔化学奖。Charpentier 共同创办 CRISPR Therapeutics，其与 Vertex 合作的 Casgevy 于 2023 年获 FDA 批准用于镰状细胞病，是美国首个获批的 CRISPR 疗法。Doudna 也共同创办了 Caribou、Intellia 等公司。</w:t>
      </w:r>
    </w:p>
    <w:p>
      <w:pPr>
        <w:numPr>
          <w:numId w:val="233"/>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平台型底层技术，已发展为获批上市的疗法，走完了从实验室到临床的全过程。</w:t>
      </w:r>
    </w:p>
    <w:p>
      <w:pPr>
        <w:numPr>
          <w:numId w:val="234"/>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从缓解症状转向直接修改致病基因，有望改变遗传病的治疗方式。</w:t>
      </w:r>
    </w:p>
    <w:p>
      <w:pPr>
        <w:numPr>
          <w:numId w:val="235"/>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基因编辑、基因治疗</w:t>
      </w:r>
    </w:p>
    <w:p>
      <w:pPr>
        <w:numPr>
          <w:numId w:val="236"/>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基础科学家，但愿意让技术进入企业，通过授权或合作开发推动落地。</w:t>
      </w:r>
    </w:p>
    <w:p>
      <w:pPr>
        <w:numPr>
          <w:numId w:val="237"/>
        </w:numPr>
        <w:spacing w:before="120" w:after="120" w:line="288" w:lineRule="auto"/>
        <w:ind w:left="453"/>
        <w:jc w:val="left"/>
      </w:pPr>
      <w:r>
        <w:rPr>
          <w:rFonts w:eastAsia="等线" w:ascii="Arial" w:cs="Arial" w:hAnsi="Arial"/>
          <w:b w:val="true"/>
          <w:sz w:val="22"/>
        </w:rPr>
        <w:t>链接：</w:t>
      </w:r>
      <w:hyperlink r:id="rId83">
        <w:r>
          <w:rPr>
            <w:rFonts w:eastAsia="等线" w:ascii="Arial" w:cs="Arial" w:hAnsi="Arial"/>
            <w:color w:val="3370ff"/>
            <w:sz w:val="22"/>
          </w:rPr>
          <w:t>https://news.vrtx.com/news-releases/news-release-details/vertex-and-crispr-therapeutics-announce-us-fda-approval</w:t>
        </w:r>
      </w:hyperlink>
    </w:p>
    <w:p>
      <w:pPr>
        <w:numPr>
          <w:numId w:val="238"/>
        </w:numPr>
        <w:spacing w:before="120" w:after="120" w:line="288" w:lineRule="auto"/>
        <w:ind w:left="0"/>
        <w:jc w:val="left"/>
      </w:pPr>
      <w:r>
        <w:rPr>
          <w:rFonts w:eastAsia="等线" w:ascii="Arial" w:cs="Arial" w:hAnsi="Arial"/>
          <w:sz w:val="22"/>
        </w:rPr>
        <w:t>Sidney Garfield｜预付费综合医疗体系 Kaiser Permanente（提莫）</w:t>
      </w:r>
    </w:p>
    <w:p>
      <w:p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2495550" cy="18764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84"/>
                    <a:stretch>
                      <a:fillRect/>
                    </a:stretch>
                  </pic:blipFill>
                  <pic:spPr>
                    <a:xfrm>
                      <a:off x="0" y="0"/>
                      <a:ext cx="2495550" cy="1876425"/>
                    </a:xfrm>
                    <a:prstGeom prst="rect">
                      <a:avLst/>
                    </a:prstGeom>
                  </pic:spPr>
                </pic:pic>
              </a:graphicData>
            </a:graphic>
          </wp:inline>
        </w:drawing>
      </w:r>
    </w:p>
    <w:p>
      <w:pPr>
        <w:numPr>
          <w:numId w:val="239"/>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40"/>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1933 年为科罗拉多河引水渠工人开办 Contractors General Hospital，最初按服务收费，后改为按每名工人每天约 5 美分预付。后与工业家 Henry J. Kaiser 合作，预付费计划先服务于工程和造船厂员工，1945 年对公众开放。</w:t>
      </w:r>
    </w:p>
    <w:p>
      <w:pPr>
        <w:numPr>
          <w:numId w:val="241"/>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把医疗服务与支付整合为预付费的综合医疗体系，是医疗组织方式上的新模式。</w:t>
      </w:r>
    </w:p>
    <w:p>
      <w:pPr>
        <w:numPr>
          <w:numId w:val="242"/>
        </w:numPr>
        <w:spacing w:before="120" w:after="120" w:line="288" w:lineRule="auto"/>
        <w:ind w:left="907"/>
        <w:jc w:val="left"/>
      </w:pPr>
      <w:r>
        <w:rPr>
          <w:rFonts w:eastAsia="等线" w:ascii="Arial" w:cs="Arial" w:hAnsi="Arial"/>
          <w:b w:val="true"/>
          <w:sz w:val="22"/>
        </w:rPr>
        <w:t>颠覆性创新：</w:t>
      </w:r>
      <w:r>
        <w:rPr>
          <w:rFonts w:eastAsia="等线" w:ascii="Arial" w:cs="Arial" w:hAnsi="Arial"/>
          <w:sz w:val="22"/>
        </w:rPr>
        <w:t>改变医疗服务的收费和组织方式，按人头预付，鼓励预防、降低总成本（商业模式创新）。</w:t>
      </w:r>
    </w:p>
    <w:p>
      <w:pPr>
        <w:numPr>
          <w:numId w:val="243"/>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医疗服务模式、医疗支付</w:t>
      </w:r>
    </w:p>
    <w:p>
      <w:pPr>
        <w:numPr>
          <w:numId w:val="244"/>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医生出身，但从支付方式和激励机制入手；务实，从现实中的收费困难出发设计方案。</w:t>
      </w:r>
    </w:p>
    <w:p>
      <w:pPr>
        <w:numPr>
          <w:numId w:val="245"/>
        </w:numPr>
        <w:spacing w:before="120" w:after="120" w:line="288" w:lineRule="auto"/>
        <w:ind w:left="453"/>
        <w:jc w:val="left"/>
      </w:pPr>
      <w:r>
        <w:rPr>
          <w:rFonts w:eastAsia="等线" w:ascii="Arial" w:cs="Arial" w:hAnsi="Arial"/>
          <w:b w:val="true"/>
          <w:sz w:val="22"/>
        </w:rPr>
        <w:t>链接：</w:t>
      </w:r>
      <w:hyperlink r:id="rId85">
        <w:r>
          <w:rPr>
            <w:rFonts w:eastAsia="等线" w:ascii="Arial" w:cs="Arial" w:hAnsi="Arial"/>
            <w:color w:val="3370ff"/>
            <w:sz w:val="22"/>
          </w:rPr>
          <w:t>about.kaiserpermanente.org/who-we-are/our-history/sidney-garfield-pioneer-of-modern-health-care</w:t>
        </w:r>
      </w:hyperlink>
      <w:hyperlink r:id="rId86">
        <w:r>
          <w:rPr>
            <w:rFonts w:eastAsia="等线" w:ascii="Arial" w:cs="Arial" w:hAnsi="Arial"/>
            <w:color w:val="3370ff"/>
            <w:sz w:val="22"/>
          </w:rPr>
          <w:t>；https://…/992</w:t>
        </w:r>
      </w:hyperlink>
    </w:p>
    <w:p>
      <w:pPr>
        <w:numPr>
          <w:numId w:val="246"/>
        </w:numPr>
        <w:spacing w:before="120" w:after="120" w:line="288" w:lineRule="auto"/>
        <w:ind w:left="0"/>
        <w:jc w:val="left"/>
      </w:pPr>
      <w:r>
        <w:rPr>
          <w:rFonts w:eastAsia="等线" w:ascii="Arial" w:cs="Arial" w:hAnsi="Arial"/>
          <w:sz w:val="22"/>
        </w:rPr>
        <w:t>Noubar Afeyan｜生命科学创业模式创新 （张悦）</w:t>
      </w:r>
    </w:p>
    <w:p>
      <w:pPr>
        <w:numPr>
          <w:numId w:val="247"/>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676400" cy="25146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87"/>
                    <a:stretch>
                      <a:fillRect/>
                    </a:stretch>
                  </pic:blipFill>
                  <pic:spPr>
                    <a:xfrm>
                      <a:off x="0" y="0"/>
                      <a:ext cx="1676400" cy="2514600"/>
                    </a:xfrm>
                    <a:prstGeom prst="rect">
                      <a:avLst/>
                    </a:prstGeom>
                  </pic:spPr>
                </pic:pic>
              </a:graphicData>
            </a:graphic>
          </wp:inline>
        </w:drawing>
      </w:r>
    </w:p>
    <w:p>
      <w:pPr>
        <w:numPr>
          <w:numId w:val="248"/>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49"/>
        </w:numPr>
        <w:spacing w:before="120" w:after="120" w:line="288" w:lineRule="auto"/>
        <w:ind w:left="453"/>
        <w:jc w:val="left"/>
      </w:pPr>
      <w:r>
        <w:rPr>
          <w:rFonts w:eastAsia="等线" w:ascii="Arial" w:cs="Arial" w:hAnsi="Arial"/>
          <w:b w:val="true"/>
          <w:sz w:val="22"/>
        </w:rPr>
        <w:t>创新角度：</w:t>
      </w:r>
    </w:p>
    <w:p>
      <w:pPr>
        <w:spacing w:before="120" w:after="120" w:line="288" w:lineRule="auto"/>
        <w:ind w:left="453" w:firstLine="420"/>
        <w:jc w:val="left"/>
      </w:pPr>
      <w:r>
        <w:rPr>
          <w:rFonts w:eastAsia="等线" w:ascii="Arial" w:cs="Arial" w:hAnsi="Arial"/>
          <w:sz w:val="22"/>
        </w:rPr>
        <w:t>参与创办了Moderna，更创新了Flagship Pioneering 的“科学构想—验证—创办公司”模式：把科学假设组织成新公司，再持续孵化生命科学平台。Afeyan 也参与创办 Moderna 并担任董事长。</w:t>
      </w:r>
    </w:p>
    <w:p>
      <w:pPr>
        <w:numPr>
          <w:numId w:val="250"/>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把“创办生物科技公司”从科学成果出现后的商业化步骤，前移为主动探索科学假设、验证市场与技术可行性、再组建公司的连续机制。Flagship 官方称其已创建100多家科学企业、累计创造超过1000亿美元价值，并有50多种药物处于临床开发</w:t>
      </w:r>
    </w:p>
    <w:p>
      <w:pPr>
        <w:numPr>
          <w:numId w:val="251"/>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生命科学创业、平台型生物技术、创业孵化与科技商业化</w:t>
      </w:r>
    </w:p>
    <w:p>
      <w:pPr>
        <w:numPr>
          <w:numId w:val="252"/>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生物化学工程背景，兼具科学、创业和资本视角；擅长将科学问题变成可验证的创业假设，再组织团队和资源推动落地。</w:t>
      </w:r>
    </w:p>
    <w:p>
      <w:pPr>
        <w:numPr>
          <w:numId w:val="253"/>
        </w:numPr>
        <w:spacing w:before="120" w:after="120" w:line="288" w:lineRule="auto"/>
        <w:ind w:left="453"/>
        <w:jc w:val="left"/>
      </w:pPr>
      <w:r>
        <w:rPr>
          <w:rFonts w:eastAsia="等线" w:ascii="Arial" w:cs="Arial" w:hAnsi="Arial"/>
          <w:b w:val="true"/>
          <w:sz w:val="22"/>
        </w:rPr>
        <w:t>链接：</w:t>
      </w:r>
      <w:r>
        <w:rPr>
          <w:rFonts w:eastAsia="等线" w:ascii="Arial" w:cs="Arial" w:hAnsi="Arial"/>
          <w:sz w:val="22"/>
        </w:rPr>
        <w:t>https://www.flagshippioneering.com/people/noubar-afeyan</w:t>
      </w:r>
      <w:r>
        <w:rPr>
          <w:rFonts w:eastAsia="等线" w:ascii="Arial" w:cs="Arial" w:hAnsi="Arial"/>
          <w:sz w:val="22"/>
        </w:rPr>
        <w:t>；</w:t>
      </w:r>
      <w:r>
        <w:rPr>
          <w:rFonts w:eastAsia="等线" w:ascii="Arial" w:cs="Arial" w:hAnsi="Arial"/>
          <w:sz w:val="22"/>
        </w:rPr>
        <w:t>https://www.flagshippioneering.com/companies/moderna</w:t>
      </w:r>
    </w:p>
    <w:p>
      <w:pPr>
        <w:numPr>
          <w:numId w:val="254"/>
        </w:numPr>
        <w:spacing w:before="120" w:after="120" w:line="288" w:lineRule="auto"/>
        <w:ind w:left="0"/>
        <w:jc w:val="left"/>
      </w:pPr>
      <w:r>
        <w:rPr>
          <w:rFonts w:eastAsia="等线" w:ascii="Arial" w:cs="Arial" w:hAnsi="Arial"/>
          <w:sz w:val="22"/>
        </w:rPr>
        <w:t>George Yancopoulos｜VelociGene平台技术（张悦）</w:t>
      </w:r>
    </w:p>
    <w:p>
      <w:pPr>
        <w:numPr>
          <w:numId w:val="255"/>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2143125" cy="18669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88"/>
                    <a:stretch>
                      <a:fillRect/>
                    </a:stretch>
                  </pic:blipFill>
                  <pic:spPr>
                    <a:xfrm>
                      <a:off x="0" y="0"/>
                      <a:ext cx="2143125" cy="1866900"/>
                    </a:xfrm>
                    <a:prstGeom prst="rect">
                      <a:avLst/>
                    </a:prstGeom>
                  </pic:spPr>
                </pic:pic>
              </a:graphicData>
            </a:graphic>
          </wp:inline>
        </w:drawing>
      </w:r>
    </w:p>
    <w:p>
      <w:pPr>
        <w:numPr>
          <w:numId w:val="256"/>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美国，希腊裔</w:t>
      </w:r>
    </w:p>
    <w:p>
      <w:pPr>
        <w:numPr>
          <w:numId w:val="257"/>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平台技术与持续药物研发。与团队建立了 VelociGene、VelocImmune 等平台技术，用于加速基因工程模型和全人源抗体药物研发；Regeneron 将多种获批药物和这些平台联系起来。</w:t>
      </w:r>
    </w:p>
    <w:p>
      <w:pPr>
        <w:numPr>
          <w:numId w:val="258"/>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不只研发单一药物，而是建立可复用的研发工具和流程，提升候选药物发现与开发能力。Regeneron 将 George 与关键团队成员列为多种药物及平台技术的主要发明者/开发者，是药物研发平台的突破性创新</w:t>
      </w:r>
    </w:p>
    <w:p>
      <w:pPr>
        <w:numPr>
          <w:numId w:val="259"/>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基因工程、抗体药物、药物发现平台、生物医药研发</w:t>
      </w:r>
    </w:p>
    <w:p>
      <w:pPr>
        <w:numPr>
          <w:numId w:val="260"/>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拥有 MD、PhD 背景，长期兼任科学家和企业科学领导者；能把基础研究发展为持续产出药物的技术平台。</w:t>
      </w:r>
    </w:p>
    <w:p>
      <w:pPr>
        <w:numPr>
          <w:numId w:val="261"/>
        </w:numPr>
        <w:spacing w:before="120" w:after="120" w:line="288" w:lineRule="auto"/>
        <w:ind w:left="453"/>
        <w:jc w:val="left"/>
      </w:pPr>
      <w:r>
        <w:rPr>
          <w:rFonts w:eastAsia="等线" w:ascii="Arial" w:cs="Arial" w:hAnsi="Arial"/>
          <w:b w:val="true"/>
          <w:sz w:val="22"/>
        </w:rPr>
        <w:t>链接：</w:t>
      </w:r>
      <w:r>
        <w:rPr>
          <w:rFonts w:eastAsia="等线" w:ascii="Arial" w:cs="Arial" w:hAnsi="Arial"/>
          <w:sz w:val="22"/>
        </w:rPr>
        <w:t>https://www.regeneron.com/about/leadership/george-yancopoulos</w:t>
      </w:r>
    </w:p>
    <w:p>
      <w:pPr>
        <w:numPr>
          <w:numId w:val="262"/>
        </w:numPr>
        <w:spacing w:before="120" w:after="120" w:line="288" w:lineRule="auto"/>
        <w:ind w:left="0"/>
        <w:jc w:val="left"/>
      </w:pPr>
      <w:r>
        <w:rPr>
          <w:rFonts w:eastAsia="等线" w:ascii="Arial" w:cs="Arial" w:hAnsi="Arial"/>
          <w:sz w:val="22"/>
        </w:rPr>
        <w:t>Katalin Karikó｜核苷修饰mRNA技术（张悦）</w:t>
      </w:r>
    </w:p>
    <w:p>
      <w:pPr>
        <w:numPr>
          <w:numId w:val="263"/>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2324100" cy="13144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89"/>
                    <a:stretch>
                      <a:fillRect/>
                    </a:stretch>
                  </pic:blipFill>
                  <pic:spPr>
                    <a:xfrm>
                      <a:off x="0" y="0"/>
                      <a:ext cx="2324100" cy="1314450"/>
                    </a:xfrm>
                    <a:prstGeom prst="rect">
                      <a:avLst/>
                    </a:prstGeom>
                  </pic:spPr>
                </pic:pic>
              </a:graphicData>
            </a:graphic>
          </wp:inline>
        </w:drawing>
      </w:r>
    </w:p>
    <w:p>
      <w:pPr>
        <w:numPr>
          <w:numId w:val="264"/>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匈牙利</w:t>
      </w:r>
    </w:p>
    <w:p>
      <w:pPr>
        <w:numPr>
          <w:numId w:val="265"/>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基础科学与生物医药平台技术。她与 Drew Weissman 的核苷修饰研究帮助解决了外源 mRNA 引发强烈免疫反应等关键障碍，为 mRNA 疫苗发展奠定基础；相关技术后来进入新冠疫苗产品。</w:t>
      </w:r>
    </w:p>
    <w:p>
      <w:pPr>
        <w:numPr>
          <w:numId w:val="266"/>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突破性在于使人工合成 mRNA 更有可能安全、有效地进入医学应用，并支撑后续 mRNA 疫苗开发。相关成果最终被应用于 Pfizer-BioNTech 和 Moderna 的新冠疫苗；Penn Medicine 指出递送 mRNA 的脂质纳米颗粒技术是这一转化的重要组成部分。</w:t>
      </w:r>
    </w:p>
    <w:p>
      <w:pPr>
        <w:numPr>
          <w:numId w:val="267"/>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生物化学、RNA技术、疫苗与核酸药物。</w:t>
      </w:r>
    </w:p>
    <w:p>
      <w:pPr>
        <w:numPr>
          <w:numId w:val="268"/>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长期坚持当时并非主流的研究方向，并通过与免疫学家合作解决应用障碍；体现了科研韧性、跨学科合作和从基础机制到医学应用的转化能力。</w:t>
      </w:r>
    </w:p>
    <w:p>
      <w:pPr>
        <w:numPr>
          <w:numId w:val="269"/>
        </w:numPr>
        <w:spacing w:before="120" w:after="120" w:line="288" w:lineRule="auto"/>
        <w:ind w:left="453"/>
        <w:jc w:val="left"/>
      </w:pPr>
      <w:r>
        <w:rPr>
          <w:rFonts w:eastAsia="等线" w:ascii="Arial" w:cs="Arial" w:hAnsi="Arial"/>
          <w:b w:val="true"/>
          <w:sz w:val="22"/>
        </w:rPr>
        <w:t>链接：</w:t>
      </w:r>
      <w:r>
        <w:rPr>
          <w:rFonts w:eastAsia="等线" w:ascii="Arial" w:cs="Arial" w:hAnsi="Arial"/>
          <w:sz w:val="22"/>
        </w:rPr>
        <w:t>https://www.pennmedicine.org/providers/katalin-kariko</w:t>
      </w:r>
      <w:r>
        <w:rPr>
          <w:rFonts w:eastAsia="等线" w:ascii="Arial" w:cs="Arial" w:hAnsi="Arial"/>
          <w:sz w:val="22"/>
        </w:rPr>
        <w:t>；</w:t>
      </w:r>
      <w:r>
        <w:rPr>
          <w:rFonts w:eastAsia="等线" w:ascii="Arial" w:cs="Arial" w:hAnsi="Arial"/>
          <w:sz w:val="22"/>
        </w:rPr>
        <w:t>https://www.nobelprize.org/prizes/medicine/2023/kariko/facts/</w:t>
      </w:r>
    </w:p>
    <w:p>
      <w:pPr>
        <w:numPr>
          <w:numId w:val="270"/>
        </w:numPr>
        <w:spacing w:before="120" w:after="120" w:line="288" w:lineRule="auto"/>
        <w:ind w:left="0"/>
        <w:jc w:val="left"/>
      </w:pPr>
      <w:r>
        <w:rPr>
          <w:rFonts w:eastAsia="等线" w:ascii="Arial" w:cs="Arial" w:hAnsi="Arial"/>
          <w:sz w:val="22"/>
        </w:rPr>
        <w:t>Carl June｜CAR-T细胞疗法（张悦）</w:t>
      </w:r>
    </w:p>
    <w:p>
      <w:pPr>
        <w:numPr>
          <w:numId w:val="271"/>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276350" cy="170497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90"/>
                    <a:stretch>
                      <a:fillRect/>
                    </a:stretch>
                  </pic:blipFill>
                  <pic:spPr>
                    <a:xfrm>
                      <a:off x="0" y="0"/>
                      <a:ext cx="1276350" cy="1704975"/>
                    </a:xfrm>
                    <a:prstGeom prst="rect">
                      <a:avLst/>
                    </a:prstGeom>
                  </pic:spPr>
                </pic:pic>
              </a:graphicData>
            </a:graphic>
          </wp:inline>
        </w:drawing>
      </w:r>
    </w:p>
    <w:p>
      <w:pPr>
        <w:numPr>
          <w:numId w:val="272"/>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73"/>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细胞治疗、临床转化与大学—企业合作。CAR-T 通过采集患者自身 T 细胞、进行基因改造后回输，使免疫细胞能识别并攻击癌细胞。June 与 Penn、儿童医院 CHOP 等团队推动相关研究进入临床试验；Penn 与 Novartis 的合作推进了 Kymriah 的研发和商业化。</w:t>
      </w:r>
    </w:p>
    <w:p>
      <w:pPr>
        <w:numPr>
          <w:numId w:val="274"/>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突破性在于把患者自身免疫细胞改造成个体化治疗产品。2017年，FDA批准 Kymriah 用于特定急性淋巴细胞白血病患者，这是首批获批 CAR-T 疗法的重要里程碑。显著改变了特定血癌的治疗路径，具有临床模式变革意义。</w:t>
      </w:r>
    </w:p>
    <w:p>
      <w:pPr>
        <w:numPr>
          <w:numId w:val="275"/>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免疫学、细胞与基因治疗、肿瘤治疗、临床转化。</w:t>
      </w:r>
    </w:p>
    <w:p>
      <w:pPr>
        <w:numPr>
          <w:numId w:val="276"/>
        </w:numPr>
        <w:spacing w:before="120" w:after="120" w:line="288" w:lineRule="auto"/>
        <w:ind w:left="453"/>
        <w:jc w:val="left"/>
      </w:pPr>
      <w:r>
        <w:rPr>
          <w:rFonts w:eastAsia="等线" w:ascii="Arial" w:cs="Arial" w:hAnsi="Arial"/>
          <w:b w:val="true"/>
          <w:sz w:val="22"/>
        </w:rPr>
        <w:t>人物特点：</w:t>
      </w:r>
      <w:r>
        <w:rPr>
          <w:rFonts w:eastAsia="等线" w:ascii="Arial" w:cs="Arial" w:hAnsi="Arial"/>
          <w:sz w:val="22"/>
        </w:rPr>
        <w:t>敢于长期推进高风险研究，善于跨越基础免疫学、临床试验和产业合作之间的边界，把高风险研究转化为可实施的治疗。</w:t>
      </w:r>
    </w:p>
    <w:p>
      <w:pPr>
        <w:numPr>
          <w:numId w:val="277"/>
        </w:numPr>
        <w:spacing w:before="120" w:after="120" w:line="288" w:lineRule="auto"/>
        <w:ind w:left="453"/>
        <w:jc w:val="left"/>
      </w:pPr>
      <w:r>
        <w:rPr>
          <w:rFonts w:eastAsia="等线" w:ascii="Arial" w:cs="Arial" w:hAnsi="Arial"/>
          <w:b w:val="true"/>
          <w:sz w:val="22"/>
        </w:rPr>
        <w:t>链接：</w:t>
      </w:r>
      <w:r>
        <w:rPr>
          <w:rFonts w:eastAsia="等线" w:ascii="Arial" w:cs="Arial" w:hAnsi="Arial"/>
          <w:sz w:val="22"/>
        </w:rPr>
        <w:t>https://www.pennmedicine.org/providers/carl-june</w:t>
      </w:r>
      <w:r>
        <w:rPr>
          <w:rFonts w:eastAsia="等线" w:ascii="Arial" w:cs="Arial" w:hAnsi="Arial"/>
          <w:sz w:val="22"/>
        </w:rPr>
        <w:t>；</w:t>
      </w:r>
      <w:r>
        <w:rPr>
          <w:rFonts w:eastAsia="等线" w:ascii="Arial" w:cs="Arial" w:hAnsi="Arial"/>
          <w:sz w:val="22"/>
        </w:rPr>
        <w:t>https://www.pennmedicine.org/news/the-path-from-innovation-to-implementation</w:t>
      </w:r>
    </w:p>
    <w:p>
      <w:pPr>
        <w:numPr>
          <w:numId w:val="278"/>
        </w:numPr>
        <w:spacing w:before="120" w:after="120" w:line="288" w:lineRule="auto"/>
        <w:ind w:left="0"/>
        <w:jc w:val="left"/>
      </w:pPr>
      <w:r>
        <w:rPr>
          <w:rFonts w:eastAsia="等线" w:ascii="Arial" w:cs="Arial" w:hAnsi="Arial"/>
          <w:sz w:val="22"/>
        </w:rPr>
        <w:t>Patricia Bath｜Laserphaco 激光白内障治疗（张悦）</w:t>
      </w:r>
    </w:p>
    <w:p>
      <w:pPr>
        <w:numPr>
          <w:numId w:val="279"/>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581150" cy="23241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91"/>
                    <a:stretch>
                      <a:fillRect/>
                    </a:stretch>
                  </pic:blipFill>
                  <pic:spPr>
                    <a:xfrm>
                      <a:off x="0" y="0"/>
                      <a:ext cx="1581150" cy="2324100"/>
                    </a:xfrm>
                    <a:prstGeom prst="rect">
                      <a:avLst/>
                    </a:prstGeom>
                  </pic:spPr>
                </pic:pic>
              </a:graphicData>
            </a:graphic>
          </wp:inline>
        </w:drawing>
      </w:r>
    </w:p>
    <w:p>
      <w:pPr>
        <w:numPr>
          <w:numId w:val="280"/>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81"/>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医疗器械与医疗服务可及性。Bath 发明 Laserphaco 白内障治疗设备和技术，将激光用于白内障摘除流程；并提出 Community Ophthalmology，将公共卫生、社区筛查和临床眼科结合起来。</w:t>
      </w:r>
    </w:p>
    <w:p>
      <w:pPr>
        <w:numPr>
          <w:numId w:val="282"/>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 xml:space="preserve"> Laserphaco 将切口、晶状体破碎和碎片吸出等白内障摘除步骤整合进新的设备与手术技术。她于1981年构思该设备，1988年获得美国专利；美国国家发明家名人堂资料称，该设备到2000年已在欧洲和亚洲使用。她对眼科手术技术作出重要突破，也通过社区眼科项目回应服务可及性问题</w:t>
      </w:r>
    </w:p>
    <w:p>
      <w:pPr>
        <w:numPr>
          <w:numId w:val="283"/>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眼科手术、医疗器械、公共卫生、社区眼科</w:t>
      </w:r>
    </w:p>
    <w:p>
      <w:pPr>
        <w:numPr>
          <w:numId w:val="284"/>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兼具临床医生、发明者和公共健康倡导者身份；从临床流程和服务不平等中发现问题，再以设备和社区服务两条路径回应</w:t>
      </w:r>
    </w:p>
    <w:p>
      <w:pPr>
        <w:numPr>
          <w:numId w:val="285"/>
        </w:numPr>
        <w:spacing w:before="120" w:after="120" w:line="288" w:lineRule="auto"/>
        <w:ind w:left="453"/>
        <w:jc w:val="left"/>
      </w:pPr>
      <w:r>
        <w:rPr>
          <w:rFonts w:eastAsia="等线" w:ascii="Arial" w:cs="Arial" w:hAnsi="Arial"/>
          <w:b w:val="true"/>
          <w:sz w:val="22"/>
        </w:rPr>
        <w:t>链接：</w:t>
      </w:r>
      <w:r>
        <w:rPr>
          <w:rFonts w:eastAsia="等线" w:ascii="Arial" w:cs="Arial" w:hAnsi="Arial"/>
          <w:sz w:val="22"/>
        </w:rPr>
        <w:t>https://www.invent.org/inductees/patricia-bath</w:t>
      </w:r>
    </w:p>
    <w:p>
      <w:pPr>
        <w:numPr>
          <w:numId w:val="286"/>
        </w:numPr>
        <w:spacing w:before="120" w:after="120" w:line="288" w:lineRule="auto"/>
        <w:ind w:left="0"/>
        <w:jc w:val="left"/>
      </w:pPr>
      <w:r>
        <w:rPr>
          <w:rFonts w:eastAsia="等线" w:ascii="Arial" w:cs="Arial" w:hAnsi="Arial"/>
          <w:sz w:val="22"/>
        </w:rPr>
        <w:t>John C. Martin｜抗病毒药物转化与普及（张悦）</w:t>
      </w:r>
    </w:p>
    <w:p>
      <w:pPr>
        <w:numPr>
          <w:numId w:val="287"/>
        </w:numPr>
        <w:spacing w:before="120" w:after="120" w:line="288" w:lineRule="auto"/>
        <w:ind w:left="453"/>
        <w:jc w:val="left"/>
      </w:pPr>
      <w:r>
        <w:rPr>
          <w:rFonts w:eastAsia="等线" w:ascii="Arial" w:cs="Arial" w:hAnsi="Arial"/>
          <w:b w:val="true"/>
          <w:sz w:val="22"/>
        </w:rPr>
        <w:t>人物照片：</w:t>
      </w:r>
    </w:p>
    <w:p>
      <w:pPr>
        <w:spacing w:before="120" w:after="120" w:line="288" w:lineRule="auto"/>
        <w:ind w:left="453"/>
        <w:jc w:val="center"/>
      </w:pPr>
      <w:r>
        <w:drawing>
          <wp:inline distT="0" distR="0" distB="0" distL="0">
            <wp:extent cx="1828800" cy="22955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92"/>
                    <a:stretch>
                      <a:fillRect/>
                    </a:stretch>
                  </pic:blipFill>
                  <pic:spPr>
                    <a:xfrm>
                      <a:off x="0" y="0"/>
                      <a:ext cx="1828800" cy="2295525"/>
                    </a:xfrm>
                    <a:prstGeom prst="rect">
                      <a:avLst/>
                    </a:prstGeom>
                  </pic:spPr>
                </pic:pic>
              </a:graphicData>
            </a:graphic>
          </wp:inline>
        </w:drawing>
      </w:r>
    </w:p>
    <w:p>
      <w:pPr>
        <w:numPr>
          <w:numId w:val="288"/>
        </w:numPr>
        <w:spacing w:before="120" w:after="120" w:line="288" w:lineRule="auto"/>
        <w:ind w:left="453"/>
        <w:jc w:val="left"/>
      </w:pPr>
      <w:r>
        <w:rPr>
          <w:rFonts w:eastAsia="等线" w:ascii="Arial" w:cs="Arial" w:hAnsi="Arial"/>
          <w:b w:val="true"/>
          <w:sz w:val="22"/>
        </w:rPr>
        <w:t>国籍：</w:t>
      </w:r>
      <w:r>
        <w:rPr>
          <w:rFonts w:eastAsia="等线" w:ascii="Arial" w:cs="Arial" w:hAnsi="Arial"/>
          <w:sz w:val="22"/>
        </w:rPr>
        <w:t>美国</w:t>
      </w:r>
    </w:p>
    <w:p>
      <w:pPr>
        <w:numPr>
          <w:numId w:val="289"/>
        </w:numPr>
        <w:spacing w:before="120" w:after="120" w:line="288" w:lineRule="auto"/>
        <w:ind w:left="453"/>
        <w:jc w:val="left"/>
      </w:pPr>
      <w:r>
        <w:rPr>
          <w:rFonts w:eastAsia="等线" w:ascii="Arial" w:cs="Arial" w:hAnsi="Arial"/>
          <w:b w:val="true"/>
          <w:sz w:val="22"/>
        </w:rPr>
        <w:t>创新角度：</w:t>
      </w:r>
      <w:r>
        <w:rPr>
          <w:rFonts w:eastAsia="等线" w:ascii="Arial" w:cs="Arial" w:hAnsi="Arial"/>
          <w:sz w:val="22"/>
        </w:rPr>
        <w:t>药物研发、企业商业化与治疗可及性。他是有机化学家，曾领导 Gilead 的抗病毒药物研发和商业化。国家工程院对其贡献的概括是“抗病毒药物的发明、开发和商业化，尤其是 HIV/AIDS 治疗”。</w:t>
      </w:r>
    </w:p>
    <w:p>
      <w:pPr>
        <w:numPr>
          <w:numId w:val="290"/>
        </w:numPr>
        <w:spacing w:before="120" w:after="120" w:line="288" w:lineRule="auto"/>
        <w:ind w:left="907"/>
        <w:jc w:val="left"/>
      </w:pPr>
      <w:r>
        <w:rPr>
          <w:rFonts w:eastAsia="等线" w:ascii="Arial" w:cs="Arial" w:hAnsi="Arial"/>
          <w:b w:val="true"/>
          <w:sz w:val="22"/>
        </w:rPr>
        <w:t>突破性创新：</w:t>
      </w:r>
      <w:r>
        <w:rPr>
          <w:rFonts w:eastAsia="等线" w:ascii="Arial" w:cs="Arial" w:hAnsi="Arial"/>
          <w:sz w:val="22"/>
        </w:rPr>
        <w:t>Gilead 与合作伙伴开发的单片每日一次 HIV 治疗方案，改变了患者需要服用多种药片的治疗负担。Martin 领导下的 Gilead 推动多种 HIV、乙肝和丙肝药物开发及商业化，并开展面向发展中国家患者的药物可及工作，实现了药物创新与商业化模式的重大突破</w:t>
      </w:r>
    </w:p>
    <w:p>
      <w:pPr>
        <w:numPr>
          <w:numId w:val="291"/>
        </w:numPr>
        <w:spacing w:before="120" w:after="120" w:line="288" w:lineRule="auto"/>
        <w:ind w:left="453"/>
        <w:jc w:val="left"/>
      </w:pPr>
      <w:r>
        <w:rPr>
          <w:rFonts w:eastAsia="等线" w:ascii="Arial" w:cs="Arial" w:hAnsi="Arial"/>
          <w:b w:val="true"/>
          <w:sz w:val="22"/>
        </w:rPr>
        <w:t>创新领域：</w:t>
      </w:r>
      <w:r>
        <w:rPr>
          <w:rFonts w:eastAsia="等线" w:ascii="Arial" w:cs="Arial" w:hAnsi="Arial"/>
          <w:sz w:val="22"/>
        </w:rPr>
        <w:t>药物化学、抗病毒药物、药物商业化、全球健康</w:t>
      </w:r>
    </w:p>
    <w:p>
      <w:pPr>
        <w:numPr>
          <w:numId w:val="292"/>
        </w:numPr>
        <w:spacing w:before="120" w:after="120" w:line="288" w:lineRule="auto"/>
        <w:ind w:left="453"/>
        <w:jc w:val="left"/>
      </w:pPr>
      <w:r>
        <w:rPr>
          <w:rFonts w:eastAsia="等线" w:ascii="Arial" w:cs="Arial" w:hAnsi="Arial"/>
          <w:b w:val="true"/>
          <w:sz w:val="22"/>
        </w:rPr>
        <w:t>特点：</w:t>
      </w:r>
      <w:r>
        <w:rPr>
          <w:rFonts w:eastAsia="等线" w:ascii="Arial" w:cs="Arial" w:hAnsi="Arial"/>
          <w:sz w:val="22"/>
        </w:rPr>
        <w:t>兼具科学背景、企业领导力与全球健康视角，关注的不只是研发出药物，也包括如何将药物推向更大范围的患者。</w:t>
      </w:r>
    </w:p>
    <w:p>
      <w:pPr>
        <w:numPr>
          <w:numId w:val="293"/>
        </w:numPr>
        <w:spacing w:before="120" w:after="120" w:line="288" w:lineRule="auto"/>
        <w:ind w:left="453"/>
        <w:jc w:val="left"/>
      </w:pPr>
      <w:r>
        <w:rPr>
          <w:rFonts w:eastAsia="等线" w:ascii="Arial" w:cs="Arial" w:hAnsi="Arial"/>
          <w:b w:val="true"/>
          <w:sz w:val="22"/>
        </w:rPr>
        <w:t>链接：</w:t>
      </w:r>
      <w:r>
        <w:rPr>
          <w:rFonts w:eastAsia="等线" w:ascii="Arial" w:cs="Arial" w:hAnsi="Arial"/>
          <w:sz w:val="22"/>
        </w:rPr>
        <w:t>https://www.nationalacademies.org/read/26799/chapter/50</w:t>
      </w:r>
    </w:p>
    <w:p>
      <w:pPr>
        <w:pStyle w:val="3"/>
        <w:spacing w:before="300" w:after="120" w:line="288" w:lineRule="auto"/>
        <w:ind w:left="0"/>
        <w:jc w:val="left"/>
        <w:outlineLvl w:val="2"/>
      </w:pPr>
      <w:bookmarkStart w:name="heading_1" w:id="1"/>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 </w:t>
      </w:r>
      <w:r>
        <w:rPr>
          <w:rFonts w:eastAsia="等线" w:ascii="Arial" w:cs="Arial" w:hAnsi="Arial"/>
          <w:b w:val="true"/>
          <w:sz w:val="30"/>
        </w:rPr>
        <w:t xml:space="preserve"> </w:t>
      </w:r>
      <w:r>
        <w:rPr>
          <w:rFonts w:eastAsia="等线" w:ascii="Arial" w:cs="Arial" w:hAnsi="Arial"/>
          <w:b w:val="true"/>
          <w:sz w:val="30"/>
        </w:rPr>
        <w:t>Vibe coding 网站基本框架+选择1个代表人物、深入挖掘故事、总结人物特点经历（林思瑛、李余涵）</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3. </w:t>
      </w:r>
      <w:r>
        <w:rPr>
          <w:rFonts w:eastAsia="等线" w:ascii="Arial" w:cs="Arial" w:hAnsi="Arial"/>
          <w:b w:val="true"/>
          <w:sz w:val="30"/>
        </w:rPr>
        <w:t>讲的P</w:t>
      </w:r>
      <w:r>
        <w:rPr>
          <w:rFonts w:eastAsia="等线" w:ascii="Arial" w:cs="Arial" w:hAnsi="Arial"/>
          <w:b w:val="true"/>
          <w:sz w:val="30"/>
        </w:rPr>
        <w:t>re</w:t>
      </w:r>
      <w:r>
        <w:rPr>
          <w:rFonts w:eastAsia="等线" w:ascii="Arial" w:cs="Arial" w:hAnsi="Arial"/>
          <w:b w:val="true"/>
          <w:sz w:val="30"/>
        </w:rPr>
        <w:t>人</w:t>
      </w:r>
      <w:r>
        <w:rPr>
          <w:rFonts w:eastAsia="等线" w:ascii="Arial" w:cs="Arial" w:hAnsi="Arial"/>
          <w:b w:val="true"/>
          <w:sz w:val="30"/>
        </w:rPr>
        <w:t>（周五组织行为学课后讨论）</w:t>
      </w:r>
      <w:bookmarkEnd w:id="3"/>
    </w:p>
    <w:p>
      <w:pPr>
        <w:spacing w:before="120" w:after="120" w:line="288" w:lineRule="auto"/>
        <w:ind w:left="0"/>
        <w:jc w:val="left"/>
      </w:pPr>
    </w:p>
    <w:sectPr>
      <w:footerReference w:type="default" r:id="rId3"/>
      <w:headerReference w:type="default" r:id="rId9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6977">
    <w:lvl>
      <w:start w:val="1"/>
      <w:numFmt w:val="decimal"/>
      <w:suff w:val="tab"/>
      <w:lvlText w:val="%1."/>
      <w:rPr>
        <w:color w:val="3370ff"/>
      </w:rPr>
    </w:lvl>
  </w:abstractNum>
  <w:abstractNum w:abstractNumId="316978">
    <w:lvl>
      <w:numFmt w:val="bullet"/>
      <w:suff w:val="tab"/>
      <w:lvlText w:val="￮"/>
      <w:rPr>
        <w:color w:val="3370ff"/>
      </w:rPr>
    </w:lvl>
  </w:abstractNum>
  <w:abstractNum w:abstractNumId="316979">
    <w:lvl>
      <w:numFmt w:val="bullet"/>
      <w:suff w:val="tab"/>
      <w:lvlText w:val="▪"/>
      <w:rPr>
        <w:color w:val="3370ff"/>
        <w:sz w:val="11"/>
      </w:rPr>
    </w:lvl>
  </w:abstractNum>
  <w:abstractNum w:abstractNumId="316980">
    <w:lvl>
      <w:numFmt w:val="bullet"/>
      <w:suff w:val="tab"/>
      <w:lvlText w:val="▪"/>
      <w:rPr>
        <w:color w:val="3370ff"/>
        <w:sz w:val="11"/>
      </w:rPr>
    </w:lvl>
  </w:abstractNum>
  <w:abstractNum w:abstractNumId="316981">
    <w:lvl>
      <w:start w:val="2"/>
      <w:numFmt w:val="decimal"/>
      <w:suff w:val="tab"/>
      <w:lvlText w:val="%1."/>
      <w:rPr>
        <w:color w:val="3370ff"/>
      </w:rPr>
    </w:lvl>
  </w:abstractNum>
  <w:abstractNum w:abstractNumId="316982">
    <w:lvl>
      <w:numFmt w:val="bullet"/>
      <w:suff w:val="tab"/>
      <w:lvlText w:val="￮"/>
      <w:rPr>
        <w:color w:val="3370ff"/>
      </w:rPr>
    </w:lvl>
  </w:abstractNum>
  <w:abstractNum w:abstractNumId="316983">
    <w:lvl>
      <w:numFmt w:val="bullet"/>
      <w:suff w:val="tab"/>
      <w:lvlText w:val="￮"/>
      <w:rPr>
        <w:color w:val="3370ff"/>
      </w:rPr>
    </w:lvl>
  </w:abstractNum>
  <w:abstractNum w:abstractNumId="316984">
    <w:lvl>
      <w:numFmt w:val="bullet"/>
      <w:suff w:val="tab"/>
      <w:lvlText w:val="￮"/>
      <w:rPr>
        <w:color w:val="3370ff"/>
      </w:rPr>
    </w:lvl>
  </w:abstractNum>
  <w:abstractNum w:abstractNumId="316985">
    <w:lvl>
      <w:numFmt w:val="bullet"/>
      <w:suff w:val="tab"/>
      <w:lvlText w:val="￮"/>
      <w:rPr>
        <w:color w:val="3370ff"/>
      </w:rPr>
    </w:lvl>
  </w:abstractNum>
  <w:abstractNum w:abstractNumId="316986">
    <w:lvl>
      <w:numFmt w:val="bullet"/>
      <w:suff w:val="tab"/>
      <w:lvlText w:val="▪"/>
      <w:rPr>
        <w:color w:val="3370ff"/>
        <w:sz w:val="11"/>
      </w:rPr>
    </w:lvl>
  </w:abstractNum>
  <w:abstractNum w:abstractNumId="316987">
    <w:lvl>
      <w:numFmt w:val="bullet"/>
      <w:suff w:val="tab"/>
      <w:lvlText w:val="▪"/>
      <w:rPr>
        <w:color w:val="3370ff"/>
        <w:sz w:val="11"/>
      </w:rPr>
    </w:lvl>
  </w:abstractNum>
  <w:abstractNum w:abstractNumId="316988">
    <w:lvl>
      <w:start w:val="3"/>
      <w:numFmt w:val="decimal"/>
      <w:suff w:val="tab"/>
      <w:lvlText w:val="%1."/>
      <w:rPr>
        <w:color w:val="3370ff"/>
      </w:rPr>
    </w:lvl>
  </w:abstractNum>
  <w:abstractNum w:abstractNumId="316989">
    <w:lvl>
      <w:numFmt w:val="bullet"/>
      <w:suff w:val="tab"/>
      <w:lvlText w:val="￮"/>
      <w:rPr>
        <w:color w:val="3370ff"/>
      </w:rPr>
    </w:lvl>
  </w:abstractNum>
  <w:abstractNum w:abstractNumId="316990">
    <w:lvl>
      <w:numFmt w:val="bullet"/>
      <w:suff w:val="tab"/>
      <w:lvlText w:val="￮"/>
      <w:rPr>
        <w:color w:val="3370ff"/>
      </w:rPr>
    </w:lvl>
  </w:abstractNum>
  <w:abstractNum w:abstractNumId="316991">
    <w:lvl>
      <w:numFmt w:val="bullet"/>
      <w:suff w:val="tab"/>
      <w:lvlText w:val="￮"/>
      <w:rPr>
        <w:color w:val="3370ff"/>
      </w:rPr>
    </w:lvl>
  </w:abstractNum>
  <w:abstractNum w:abstractNumId="316992">
    <w:lvl>
      <w:numFmt w:val="bullet"/>
      <w:suff w:val="tab"/>
      <w:lvlText w:val="￮"/>
      <w:rPr>
        <w:color w:val="3370ff"/>
      </w:rPr>
    </w:lvl>
  </w:abstractNum>
  <w:abstractNum w:abstractNumId="316993">
    <w:lvl>
      <w:numFmt w:val="bullet"/>
      <w:suff w:val="tab"/>
      <w:lvlText w:val="▪"/>
      <w:rPr>
        <w:color w:val="3370ff"/>
        <w:sz w:val="11"/>
      </w:rPr>
    </w:lvl>
  </w:abstractNum>
  <w:abstractNum w:abstractNumId="316994">
    <w:lvl>
      <w:numFmt w:val="bullet"/>
      <w:suff w:val="tab"/>
      <w:lvlText w:val="▪"/>
      <w:rPr>
        <w:color w:val="3370ff"/>
        <w:sz w:val="11"/>
      </w:rPr>
    </w:lvl>
  </w:abstractNum>
  <w:abstractNum w:abstractNumId="316995">
    <w:lvl>
      <w:start w:val="4"/>
      <w:numFmt w:val="decimal"/>
      <w:suff w:val="tab"/>
      <w:lvlText w:val="%1."/>
      <w:rPr>
        <w:color w:val="3370ff"/>
      </w:rPr>
    </w:lvl>
  </w:abstractNum>
  <w:abstractNum w:abstractNumId="316996">
    <w:lvl>
      <w:numFmt w:val="bullet"/>
      <w:suff w:val="tab"/>
      <w:lvlText w:val="￮"/>
      <w:rPr>
        <w:color w:val="3370ff"/>
      </w:rPr>
    </w:lvl>
  </w:abstractNum>
  <w:abstractNum w:abstractNumId="316997">
    <w:lvl>
      <w:numFmt w:val="bullet"/>
      <w:suff w:val="tab"/>
      <w:lvlText w:val="￮"/>
      <w:rPr>
        <w:color w:val="3370ff"/>
      </w:rPr>
    </w:lvl>
  </w:abstractNum>
  <w:abstractNum w:abstractNumId="316998">
    <w:lvl>
      <w:numFmt w:val="bullet"/>
      <w:suff w:val="tab"/>
      <w:lvlText w:val="￮"/>
      <w:rPr>
        <w:color w:val="3370ff"/>
      </w:rPr>
    </w:lvl>
  </w:abstractNum>
  <w:abstractNum w:abstractNumId="316999">
    <w:lvl>
      <w:numFmt w:val="bullet"/>
      <w:suff w:val="tab"/>
      <w:lvlText w:val="￮"/>
      <w:rPr>
        <w:color w:val="3370ff"/>
      </w:rPr>
    </w:lvl>
  </w:abstractNum>
  <w:abstractNum w:abstractNumId="317000">
    <w:lvl>
      <w:numFmt w:val="bullet"/>
      <w:suff w:val="tab"/>
      <w:lvlText w:val="▪"/>
      <w:rPr>
        <w:color w:val="3370ff"/>
        <w:sz w:val="11"/>
      </w:rPr>
    </w:lvl>
  </w:abstractNum>
  <w:abstractNum w:abstractNumId="317001">
    <w:lvl>
      <w:numFmt w:val="bullet"/>
      <w:suff w:val="tab"/>
      <w:lvlText w:val="▪"/>
      <w:rPr>
        <w:color w:val="3370ff"/>
        <w:sz w:val="11"/>
      </w:rPr>
    </w:lvl>
  </w:abstractNum>
  <w:abstractNum w:abstractNumId="317002">
    <w:lvl>
      <w:start w:val="5"/>
      <w:numFmt w:val="decimal"/>
      <w:suff w:val="tab"/>
      <w:lvlText w:val="%1."/>
      <w:rPr>
        <w:color w:val="3370ff"/>
      </w:rPr>
    </w:lvl>
  </w:abstractNum>
  <w:abstractNum w:abstractNumId="317003">
    <w:lvl>
      <w:numFmt w:val="bullet"/>
      <w:suff w:val="tab"/>
      <w:lvlText w:val="￮"/>
      <w:rPr>
        <w:color w:val="3370ff"/>
      </w:rPr>
    </w:lvl>
  </w:abstractNum>
  <w:abstractNum w:abstractNumId="317004">
    <w:lvl>
      <w:numFmt w:val="bullet"/>
      <w:suff w:val="tab"/>
      <w:lvlText w:val="￮"/>
      <w:rPr>
        <w:color w:val="3370ff"/>
      </w:rPr>
    </w:lvl>
  </w:abstractNum>
  <w:abstractNum w:abstractNumId="317005">
    <w:lvl>
      <w:numFmt w:val="bullet"/>
      <w:suff w:val="tab"/>
      <w:lvlText w:val="￮"/>
      <w:rPr>
        <w:color w:val="3370ff"/>
      </w:rPr>
    </w:lvl>
  </w:abstractNum>
  <w:abstractNum w:abstractNumId="317006">
    <w:lvl>
      <w:numFmt w:val="bullet"/>
      <w:suff w:val="tab"/>
      <w:lvlText w:val="￮"/>
      <w:rPr>
        <w:color w:val="3370ff"/>
      </w:rPr>
    </w:lvl>
  </w:abstractNum>
  <w:abstractNum w:abstractNumId="317007">
    <w:lvl>
      <w:numFmt w:val="bullet"/>
      <w:suff w:val="tab"/>
      <w:lvlText w:val="￮"/>
      <w:rPr>
        <w:color w:val="3370ff"/>
      </w:rPr>
    </w:lvl>
  </w:abstractNum>
  <w:abstractNum w:abstractNumId="317008">
    <w:lvl>
      <w:numFmt w:val="bullet"/>
      <w:suff w:val="tab"/>
      <w:lvlText w:val="▪"/>
      <w:rPr>
        <w:color w:val="3370ff"/>
        <w:sz w:val="11"/>
      </w:rPr>
    </w:lvl>
  </w:abstractNum>
  <w:abstractNum w:abstractNumId="317009">
    <w:lvl>
      <w:numFmt w:val="bullet"/>
      <w:suff w:val="tab"/>
      <w:lvlText w:val="▪"/>
      <w:rPr>
        <w:color w:val="3370ff"/>
        <w:sz w:val="11"/>
      </w:rPr>
    </w:lvl>
  </w:abstractNum>
  <w:abstractNum w:abstractNumId="317010">
    <w:lvl>
      <w:start w:val="6"/>
      <w:numFmt w:val="decimal"/>
      <w:suff w:val="tab"/>
      <w:lvlText w:val="%1."/>
      <w:rPr>
        <w:color w:val="3370ff"/>
      </w:rPr>
    </w:lvl>
  </w:abstractNum>
  <w:abstractNum w:abstractNumId="317011">
    <w:lvl>
      <w:numFmt w:val="bullet"/>
      <w:suff w:val="tab"/>
      <w:lvlText w:val="￮"/>
      <w:rPr>
        <w:color w:val="3370ff"/>
      </w:rPr>
    </w:lvl>
  </w:abstractNum>
  <w:abstractNum w:abstractNumId="317012">
    <w:lvl>
      <w:numFmt w:val="bullet"/>
      <w:suff w:val="tab"/>
      <w:lvlText w:val="￮"/>
      <w:rPr>
        <w:color w:val="3370ff"/>
      </w:rPr>
    </w:lvl>
  </w:abstractNum>
  <w:abstractNum w:abstractNumId="317013">
    <w:lvl>
      <w:numFmt w:val="bullet"/>
      <w:suff w:val="tab"/>
      <w:lvlText w:val="￮"/>
      <w:rPr>
        <w:color w:val="3370ff"/>
      </w:rPr>
    </w:lvl>
  </w:abstractNum>
  <w:abstractNum w:abstractNumId="317014">
    <w:lvl>
      <w:numFmt w:val="bullet"/>
      <w:suff w:val="tab"/>
      <w:lvlText w:val="￮"/>
      <w:rPr>
        <w:color w:val="3370ff"/>
      </w:rPr>
    </w:lvl>
  </w:abstractNum>
  <w:abstractNum w:abstractNumId="317015">
    <w:lvl>
      <w:numFmt w:val="bullet"/>
      <w:suff w:val="tab"/>
      <w:lvlText w:val="▪"/>
      <w:rPr>
        <w:color w:val="3370ff"/>
        <w:sz w:val="11"/>
      </w:rPr>
    </w:lvl>
  </w:abstractNum>
  <w:abstractNum w:abstractNumId="317016">
    <w:lvl>
      <w:numFmt w:val="bullet"/>
      <w:suff w:val="tab"/>
      <w:lvlText w:val="▪"/>
      <w:rPr>
        <w:color w:val="3370ff"/>
        <w:sz w:val="11"/>
      </w:rPr>
    </w:lvl>
  </w:abstractNum>
  <w:abstractNum w:abstractNumId="317017">
    <w:lvl>
      <w:start w:val="7"/>
      <w:numFmt w:val="decimal"/>
      <w:suff w:val="tab"/>
      <w:lvlText w:val="%1."/>
      <w:rPr>
        <w:color w:val="3370ff"/>
      </w:rPr>
    </w:lvl>
  </w:abstractNum>
  <w:abstractNum w:abstractNumId="317018">
    <w:lvl>
      <w:numFmt w:val="bullet"/>
      <w:suff w:val="tab"/>
      <w:lvlText w:val="￮"/>
      <w:rPr>
        <w:color w:val="3370ff"/>
      </w:rPr>
    </w:lvl>
  </w:abstractNum>
  <w:abstractNum w:abstractNumId="317019">
    <w:lvl>
      <w:numFmt w:val="bullet"/>
      <w:suff w:val="tab"/>
      <w:lvlText w:val="￮"/>
      <w:rPr>
        <w:color w:val="3370ff"/>
      </w:rPr>
    </w:lvl>
  </w:abstractNum>
  <w:abstractNum w:abstractNumId="317020">
    <w:lvl>
      <w:numFmt w:val="bullet"/>
      <w:suff w:val="tab"/>
      <w:lvlText w:val="￮"/>
      <w:rPr>
        <w:color w:val="3370ff"/>
      </w:rPr>
    </w:lvl>
  </w:abstractNum>
  <w:abstractNum w:abstractNumId="317021">
    <w:lvl>
      <w:numFmt w:val="bullet"/>
      <w:suff w:val="tab"/>
      <w:lvlText w:val="￮"/>
      <w:rPr>
        <w:color w:val="3370ff"/>
      </w:rPr>
    </w:lvl>
  </w:abstractNum>
  <w:abstractNum w:abstractNumId="317022">
    <w:lvl>
      <w:numFmt w:val="bullet"/>
      <w:suff w:val="tab"/>
      <w:lvlText w:val="▪"/>
      <w:rPr>
        <w:color w:val="3370ff"/>
        <w:sz w:val="11"/>
      </w:rPr>
    </w:lvl>
  </w:abstractNum>
  <w:abstractNum w:abstractNumId="317023">
    <w:lvl>
      <w:numFmt w:val="bullet"/>
      <w:suff w:val="tab"/>
      <w:lvlText w:val="▪"/>
      <w:rPr>
        <w:color w:val="3370ff"/>
        <w:sz w:val="11"/>
      </w:rPr>
    </w:lvl>
  </w:abstractNum>
  <w:abstractNum w:abstractNumId="317024">
    <w:lvl>
      <w:start w:val="8"/>
      <w:numFmt w:val="decimal"/>
      <w:suff w:val="tab"/>
      <w:lvlText w:val="%1."/>
      <w:rPr>
        <w:color w:val="3370ff"/>
      </w:rPr>
    </w:lvl>
  </w:abstractNum>
  <w:abstractNum w:abstractNumId="317025">
    <w:lvl>
      <w:numFmt w:val="bullet"/>
      <w:suff w:val="tab"/>
      <w:lvlText w:val="￮"/>
      <w:rPr>
        <w:color w:val="3370ff"/>
      </w:rPr>
    </w:lvl>
  </w:abstractNum>
  <w:abstractNum w:abstractNumId="317026">
    <w:lvl>
      <w:numFmt w:val="bullet"/>
      <w:suff w:val="tab"/>
      <w:lvlText w:val="￮"/>
      <w:rPr>
        <w:color w:val="3370ff"/>
      </w:rPr>
    </w:lvl>
  </w:abstractNum>
  <w:abstractNum w:abstractNumId="317027">
    <w:lvl>
      <w:numFmt w:val="bullet"/>
      <w:suff w:val="tab"/>
      <w:lvlText w:val="￮"/>
      <w:rPr>
        <w:color w:val="3370ff"/>
      </w:rPr>
    </w:lvl>
  </w:abstractNum>
  <w:abstractNum w:abstractNumId="317028">
    <w:lvl>
      <w:numFmt w:val="bullet"/>
      <w:suff w:val="tab"/>
      <w:lvlText w:val="￮"/>
      <w:rPr>
        <w:color w:val="3370ff"/>
      </w:rPr>
    </w:lvl>
  </w:abstractNum>
  <w:abstractNum w:abstractNumId="317029">
    <w:lvl>
      <w:numFmt w:val="bullet"/>
      <w:suff w:val="tab"/>
      <w:lvlText w:val="￮"/>
      <w:rPr>
        <w:color w:val="3370ff"/>
      </w:rPr>
    </w:lvl>
  </w:abstractNum>
  <w:abstractNum w:abstractNumId="317030">
    <w:lvl>
      <w:numFmt w:val="bullet"/>
      <w:suff w:val="tab"/>
      <w:lvlText w:val="▪"/>
      <w:rPr>
        <w:color w:val="3370ff"/>
        <w:sz w:val="11"/>
      </w:rPr>
    </w:lvl>
  </w:abstractNum>
  <w:abstractNum w:abstractNumId="317031">
    <w:lvl>
      <w:numFmt w:val="bullet"/>
      <w:suff w:val="tab"/>
      <w:lvlText w:val="▪"/>
      <w:rPr>
        <w:color w:val="3370ff"/>
        <w:sz w:val="11"/>
      </w:rPr>
    </w:lvl>
  </w:abstractNum>
  <w:abstractNum w:abstractNumId="317032">
    <w:lvl>
      <w:numFmt w:val="bullet"/>
      <w:suff w:val="tab"/>
      <w:lvlText w:val="▪"/>
      <w:rPr>
        <w:color w:val="3370ff"/>
        <w:sz w:val="11"/>
      </w:rPr>
    </w:lvl>
  </w:abstractNum>
  <w:abstractNum w:abstractNumId="317033">
    <w:lvl>
      <w:start w:val="9"/>
      <w:numFmt w:val="decimal"/>
      <w:suff w:val="tab"/>
      <w:lvlText w:val="%1."/>
      <w:rPr>
        <w:color w:val="3370ff"/>
      </w:rPr>
    </w:lvl>
  </w:abstractNum>
  <w:abstractNum w:abstractNumId="317034">
    <w:lvl>
      <w:numFmt w:val="bullet"/>
      <w:suff w:val="tab"/>
      <w:lvlText w:val="￮"/>
      <w:rPr>
        <w:color w:val="3370ff"/>
      </w:rPr>
    </w:lvl>
  </w:abstractNum>
  <w:abstractNum w:abstractNumId="317035">
    <w:lvl>
      <w:numFmt w:val="bullet"/>
      <w:suff w:val="tab"/>
      <w:lvlText w:val="￮"/>
      <w:rPr>
        <w:color w:val="3370ff"/>
      </w:rPr>
    </w:lvl>
  </w:abstractNum>
  <w:abstractNum w:abstractNumId="317036">
    <w:lvl>
      <w:numFmt w:val="bullet"/>
      <w:suff w:val="tab"/>
      <w:lvlText w:val="￮"/>
      <w:rPr>
        <w:color w:val="3370ff"/>
      </w:rPr>
    </w:lvl>
  </w:abstractNum>
  <w:abstractNum w:abstractNumId="317037">
    <w:lvl>
      <w:numFmt w:val="bullet"/>
      <w:suff w:val="tab"/>
      <w:lvlText w:val="￮"/>
      <w:rPr>
        <w:color w:val="3370ff"/>
      </w:rPr>
    </w:lvl>
  </w:abstractNum>
  <w:abstractNum w:abstractNumId="317038">
    <w:lvl>
      <w:numFmt w:val="bullet"/>
      <w:suff w:val="tab"/>
      <w:lvlText w:val="￮"/>
      <w:rPr>
        <w:color w:val="3370ff"/>
      </w:rPr>
    </w:lvl>
  </w:abstractNum>
  <w:abstractNum w:abstractNumId="317039">
    <w:lvl>
      <w:start w:val="10"/>
      <w:numFmt w:val="decimal"/>
      <w:suff w:val="tab"/>
      <w:lvlText w:val="%1."/>
      <w:rPr>
        <w:color w:val="3370ff"/>
      </w:rPr>
    </w:lvl>
  </w:abstractNum>
  <w:abstractNum w:abstractNumId="317040">
    <w:lvl>
      <w:numFmt w:val="bullet"/>
      <w:suff w:val="tab"/>
      <w:lvlText w:val="￮"/>
      <w:rPr>
        <w:color w:val="3370ff"/>
      </w:rPr>
    </w:lvl>
  </w:abstractNum>
  <w:abstractNum w:abstractNumId="317041">
    <w:lvl>
      <w:numFmt w:val="bullet"/>
      <w:suff w:val="tab"/>
      <w:lvlText w:val="￮"/>
      <w:rPr>
        <w:color w:val="3370ff"/>
      </w:rPr>
    </w:lvl>
  </w:abstractNum>
  <w:abstractNum w:abstractNumId="317042">
    <w:lvl>
      <w:numFmt w:val="bullet"/>
      <w:suff w:val="tab"/>
      <w:lvlText w:val="￮"/>
      <w:rPr>
        <w:color w:val="3370ff"/>
      </w:rPr>
    </w:lvl>
  </w:abstractNum>
  <w:abstractNum w:abstractNumId="317043">
    <w:lvl>
      <w:numFmt w:val="bullet"/>
      <w:suff w:val="tab"/>
      <w:lvlText w:val="▪"/>
      <w:rPr>
        <w:color w:val="3370ff"/>
        <w:sz w:val="11"/>
      </w:rPr>
    </w:lvl>
  </w:abstractNum>
  <w:abstractNum w:abstractNumId="317044">
    <w:lvl>
      <w:numFmt w:val="bullet"/>
      <w:suff w:val="tab"/>
      <w:lvlText w:val="▪"/>
      <w:rPr>
        <w:color w:val="3370ff"/>
        <w:sz w:val="11"/>
      </w:rPr>
    </w:lvl>
  </w:abstractNum>
  <w:abstractNum w:abstractNumId="317045">
    <w:lvl>
      <w:numFmt w:val="bullet"/>
      <w:suff w:val="tab"/>
      <w:lvlText w:val="￮"/>
      <w:rPr>
        <w:color w:val="3370ff"/>
      </w:rPr>
    </w:lvl>
  </w:abstractNum>
  <w:abstractNum w:abstractNumId="317046">
    <w:lvl>
      <w:numFmt w:val="bullet"/>
      <w:suff w:val="tab"/>
      <w:lvlText w:val="￮"/>
      <w:rPr>
        <w:color w:val="3370ff"/>
      </w:rPr>
    </w:lvl>
  </w:abstractNum>
  <w:abstractNum w:abstractNumId="317047">
    <w:lvl>
      <w:numFmt w:val="bullet"/>
      <w:suff w:val="tab"/>
      <w:lvlText w:val="▪"/>
      <w:rPr>
        <w:color w:val="3370ff"/>
        <w:sz w:val="11"/>
      </w:rPr>
    </w:lvl>
  </w:abstractNum>
  <w:abstractNum w:abstractNumId="317048">
    <w:lvl>
      <w:numFmt w:val="bullet"/>
      <w:suff w:val="tab"/>
      <w:lvlText w:val="▪"/>
      <w:rPr>
        <w:color w:val="3370ff"/>
        <w:sz w:val="11"/>
      </w:rPr>
    </w:lvl>
  </w:abstractNum>
  <w:abstractNum w:abstractNumId="317049">
    <w:lvl>
      <w:numFmt w:val="bullet"/>
      <w:suff w:val="tab"/>
      <w:lvlText w:val="▪"/>
      <w:rPr>
        <w:color w:val="3370ff"/>
        <w:sz w:val="11"/>
      </w:rPr>
    </w:lvl>
  </w:abstractNum>
  <w:abstractNum w:abstractNumId="317050">
    <w:lvl>
      <w:numFmt w:val="bullet"/>
      <w:suff w:val="tab"/>
      <w:lvlText w:val="▪"/>
      <w:rPr>
        <w:color w:val="3370ff"/>
        <w:sz w:val="11"/>
      </w:rPr>
    </w:lvl>
  </w:abstractNum>
  <w:abstractNum w:abstractNumId="317051">
    <w:lvl>
      <w:numFmt w:val="bullet"/>
      <w:suff w:val="tab"/>
      <w:lvlText w:val="▪"/>
      <w:rPr>
        <w:color w:val="3370ff"/>
        <w:sz w:val="11"/>
      </w:rPr>
    </w:lvl>
  </w:abstractNum>
  <w:abstractNum w:abstractNumId="317052">
    <w:lvl>
      <w:start w:val="11"/>
      <w:numFmt w:val="decimal"/>
      <w:suff w:val="tab"/>
      <w:lvlText w:val="%1."/>
      <w:rPr>
        <w:color w:val="3370ff"/>
      </w:rPr>
    </w:lvl>
  </w:abstractNum>
  <w:abstractNum w:abstractNumId="317053">
    <w:lvl>
      <w:numFmt w:val="bullet"/>
      <w:suff w:val="tab"/>
      <w:lvlText w:val="￮"/>
      <w:rPr>
        <w:color w:val="3370ff"/>
      </w:rPr>
    </w:lvl>
  </w:abstractNum>
  <w:abstractNum w:abstractNumId="317054">
    <w:lvl>
      <w:numFmt w:val="bullet"/>
      <w:suff w:val="tab"/>
      <w:lvlText w:val="￮"/>
      <w:rPr>
        <w:color w:val="3370ff"/>
      </w:rPr>
    </w:lvl>
  </w:abstractNum>
  <w:abstractNum w:abstractNumId="317055">
    <w:lvl>
      <w:numFmt w:val="bullet"/>
      <w:suff w:val="tab"/>
      <w:lvlText w:val="￮"/>
      <w:rPr>
        <w:color w:val="3370ff"/>
      </w:rPr>
    </w:lvl>
  </w:abstractNum>
  <w:abstractNum w:abstractNumId="317056">
    <w:lvl>
      <w:numFmt w:val="bullet"/>
      <w:suff w:val="tab"/>
      <w:lvlText w:val="▪"/>
      <w:rPr>
        <w:color w:val="3370ff"/>
        <w:sz w:val="11"/>
      </w:rPr>
    </w:lvl>
  </w:abstractNum>
  <w:abstractNum w:abstractNumId="317057">
    <w:lvl>
      <w:numFmt w:val="bullet"/>
      <w:suff w:val="tab"/>
      <w:lvlText w:val="▪"/>
      <w:rPr>
        <w:color w:val="3370ff"/>
        <w:sz w:val="11"/>
      </w:rPr>
    </w:lvl>
  </w:abstractNum>
  <w:abstractNum w:abstractNumId="317058">
    <w:lvl>
      <w:numFmt w:val="bullet"/>
      <w:suff w:val="tab"/>
      <w:lvlText w:val="￮"/>
      <w:rPr>
        <w:color w:val="3370ff"/>
      </w:rPr>
    </w:lvl>
  </w:abstractNum>
  <w:abstractNum w:abstractNumId="317059">
    <w:lvl>
      <w:numFmt w:val="bullet"/>
      <w:suff w:val="tab"/>
      <w:lvlText w:val="￮"/>
      <w:rPr>
        <w:color w:val="3370ff"/>
      </w:rPr>
    </w:lvl>
  </w:abstractNum>
  <w:abstractNum w:abstractNumId="317060">
    <w:lvl>
      <w:numFmt w:val="bullet"/>
      <w:suff w:val="tab"/>
      <w:lvlText w:val="▪"/>
      <w:rPr>
        <w:color w:val="3370ff"/>
        <w:sz w:val="11"/>
      </w:rPr>
    </w:lvl>
  </w:abstractNum>
  <w:abstractNum w:abstractNumId="317061">
    <w:lvl>
      <w:numFmt w:val="bullet"/>
      <w:suff w:val="tab"/>
      <w:lvlText w:val="▪"/>
      <w:rPr>
        <w:color w:val="3370ff"/>
        <w:sz w:val="11"/>
      </w:rPr>
    </w:lvl>
  </w:abstractNum>
  <w:abstractNum w:abstractNumId="317062">
    <w:lvl>
      <w:numFmt w:val="bullet"/>
      <w:suff w:val="tab"/>
      <w:lvlText w:val="▪"/>
      <w:rPr>
        <w:color w:val="3370ff"/>
        <w:sz w:val="11"/>
      </w:rPr>
    </w:lvl>
  </w:abstractNum>
  <w:abstractNum w:abstractNumId="317063">
    <w:lvl>
      <w:start w:val="12"/>
      <w:numFmt w:val="decimal"/>
      <w:suff w:val="tab"/>
      <w:lvlText w:val="%1."/>
      <w:rPr>
        <w:color w:val="3370ff"/>
      </w:rPr>
    </w:lvl>
  </w:abstractNum>
  <w:abstractNum w:abstractNumId="317064">
    <w:lvl>
      <w:numFmt w:val="bullet"/>
      <w:suff w:val="tab"/>
      <w:lvlText w:val="￮"/>
      <w:rPr>
        <w:color w:val="3370ff"/>
      </w:rPr>
    </w:lvl>
  </w:abstractNum>
  <w:abstractNum w:abstractNumId="317065">
    <w:lvl>
      <w:numFmt w:val="bullet"/>
      <w:suff w:val="tab"/>
      <w:lvlText w:val="￮"/>
      <w:rPr>
        <w:color w:val="3370ff"/>
      </w:rPr>
    </w:lvl>
  </w:abstractNum>
  <w:abstractNum w:abstractNumId="317066">
    <w:lvl>
      <w:numFmt w:val="bullet"/>
      <w:suff w:val="tab"/>
      <w:lvlText w:val="￮"/>
      <w:rPr>
        <w:color w:val="3370ff"/>
      </w:rPr>
    </w:lvl>
  </w:abstractNum>
  <w:abstractNum w:abstractNumId="317067">
    <w:lvl>
      <w:numFmt w:val="bullet"/>
      <w:suff w:val="tab"/>
      <w:lvlText w:val="▪"/>
      <w:rPr>
        <w:color w:val="3370ff"/>
        <w:sz w:val="11"/>
      </w:rPr>
    </w:lvl>
  </w:abstractNum>
  <w:abstractNum w:abstractNumId="317068">
    <w:lvl>
      <w:numFmt w:val="bullet"/>
      <w:suff w:val="tab"/>
      <w:lvlText w:val="▪"/>
      <w:rPr>
        <w:color w:val="3370ff"/>
        <w:sz w:val="11"/>
      </w:rPr>
    </w:lvl>
  </w:abstractNum>
  <w:abstractNum w:abstractNumId="317069">
    <w:lvl>
      <w:numFmt w:val="bullet"/>
      <w:suff w:val="tab"/>
      <w:lvlText w:val="￮"/>
      <w:rPr>
        <w:color w:val="3370ff"/>
      </w:rPr>
    </w:lvl>
  </w:abstractNum>
  <w:abstractNum w:abstractNumId="317070">
    <w:lvl>
      <w:numFmt w:val="bullet"/>
      <w:suff w:val="tab"/>
      <w:lvlText w:val="￮"/>
      <w:rPr>
        <w:color w:val="3370ff"/>
      </w:rPr>
    </w:lvl>
  </w:abstractNum>
  <w:abstractNum w:abstractNumId="317071">
    <w:lvl>
      <w:numFmt w:val="bullet"/>
      <w:suff w:val="tab"/>
      <w:lvlText w:val="▪"/>
      <w:rPr>
        <w:color w:val="3370ff"/>
        <w:sz w:val="11"/>
      </w:rPr>
    </w:lvl>
  </w:abstractNum>
  <w:abstractNum w:abstractNumId="317072">
    <w:lvl>
      <w:numFmt w:val="bullet"/>
      <w:suff w:val="tab"/>
      <w:lvlText w:val="▪"/>
      <w:rPr>
        <w:color w:val="3370ff"/>
        <w:sz w:val="11"/>
      </w:rPr>
    </w:lvl>
  </w:abstractNum>
  <w:abstractNum w:abstractNumId="317073">
    <w:lvl>
      <w:start w:val="13"/>
      <w:numFmt w:val="decimal"/>
      <w:suff w:val="tab"/>
      <w:lvlText w:val="%1."/>
      <w:rPr>
        <w:color w:val="3370ff"/>
      </w:rPr>
    </w:lvl>
  </w:abstractNum>
  <w:abstractNum w:abstractNumId="317074">
    <w:lvl>
      <w:numFmt w:val="bullet"/>
      <w:suff w:val="tab"/>
      <w:lvlText w:val="￮"/>
      <w:rPr>
        <w:color w:val="3370ff"/>
      </w:rPr>
    </w:lvl>
  </w:abstractNum>
  <w:abstractNum w:abstractNumId="317075">
    <w:lvl>
      <w:numFmt w:val="bullet"/>
      <w:suff w:val="tab"/>
      <w:lvlText w:val="￮"/>
      <w:rPr>
        <w:color w:val="3370ff"/>
      </w:rPr>
    </w:lvl>
  </w:abstractNum>
  <w:abstractNum w:abstractNumId="317076">
    <w:lvl>
      <w:numFmt w:val="bullet"/>
      <w:suff w:val="tab"/>
      <w:lvlText w:val="￮"/>
      <w:rPr>
        <w:color w:val="3370ff"/>
      </w:rPr>
    </w:lvl>
  </w:abstractNum>
  <w:abstractNum w:abstractNumId="317077">
    <w:lvl>
      <w:numFmt w:val="bullet"/>
      <w:suff w:val="tab"/>
      <w:lvlText w:val="▪"/>
      <w:rPr>
        <w:color w:val="3370ff"/>
        <w:sz w:val="11"/>
      </w:rPr>
    </w:lvl>
  </w:abstractNum>
  <w:abstractNum w:abstractNumId="317078">
    <w:lvl>
      <w:numFmt w:val="bullet"/>
      <w:suff w:val="tab"/>
      <w:lvlText w:val="▪"/>
      <w:rPr>
        <w:color w:val="3370ff"/>
        <w:sz w:val="11"/>
      </w:rPr>
    </w:lvl>
  </w:abstractNum>
  <w:abstractNum w:abstractNumId="317079">
    <w:lvl>
      <w:numFmt w:val="bullet"/>
      <w:suff w:val="tab"/>
      <w:lvlText w:val="￮"/>
      <w:rPr>
        <w:color w:val="3370ff"/>
      </w:rPr>
    </w:lvl>
  </w:abstractNum>
  <w:abstractNum w:abstractNumId="317080">
    <w:lvl>
      <w:numFmt w:val="bullet"/>
      <w:suff w:val="tab"/>
      <w:lvlText w:val="￮"/>
      <w:rPr>
        <w:color w:val="3370ff"/>
      </w:rPr>
    </w:lvl>
  </w:abstractNum>
  <w:abstractNum w:abstractNumId="317081">
    <w:lvl>
      <w:numFmt w:val="bullet"/>
      <w:suff w:val="tab"/>
      <w:lvlText w:val="▪"/>
      <w:rPr>
        <w:color w:val="3370ff"/>
        <w:sz w:val="11"/>
      </w:rPr>
    </w:lvl>
  </w:abstractNum>
  <w:abstractNum w:abstractNumId="317082">
    <w:lvl>
      <w:numFmt w:val="bullet"/>
      <w:suff w:val="tab"/>
      <w:lvlText w:val="▪"/>
      <w:rPr>
        <w:color w:val="3370ff"/>
        <w:sz w:val="11"/>
      </w:rPr>
    </w:lvl>
  </w:abstractNum>
  <w:abstractNum w:abstractNumId="317083">
    <w:lvl>
      <w:start w:val="14"/>
      <w:numFmt w:val="decimal"/>
      <w:suff w:val="tab"/>
      <w:lvlText w:val="%1."/>
      <w:rPr>
        <w:color w:val="3370ff"/>
      </w:rPr>
    </w:lvl>
  </w:abstractNum>
  <w:abstractNum w:abstractNumId="317084">
    <w:lvl>
      <w:numFmt w:val="bullet"/>
      <w:suff w:val="tab"/>
      <w:lvlText w:val="￮"/>
      <w:rPr>
        <w:color w:val="3370ff"/>
      </w:rPr>
    </w:lvl>
  </w:abstractNum>
  <w:abstractNum w:abstractNumId="317085">
    <w:lvl>
      <w:numFmt w:val="bullet"/>
      <w:suff w:val="tab"/>
      <w:lvlText w:val="￮"/>
      <w:rPr>
        <w:color w:val="3370ff"/>
      </w:rPr>
    </w:lvl>
  </w:abstractNum>
  <w:abstractNum w:abstractNumId="317086">
    <w:lvl>
      <w:numFmt w:val="bullet"/>
      <w:suff w:val="tab"/>
      <w:lvlText w:val="￮"/>
      <w:rPr>
        <w:color w:val="3370ff"/>
      </w:rPr>
    </w:lvl>
  </w:abstractNum>
  <w:abstractNum w:abstractNumId="317087">
    <w:lvl>
      <w:numFmt w:val="bullet"/>
      <w:suff w:val="tab"/>
      <w:lvlText w:val="▪"/>
      <w:rPr>
        <w:color w:val="3370ff"/>
        <w:sz w:val="11"/>
      </w:rPr>
    </w:lvl>
  </w:abstractNum>
  <w:abstractNum w:abstractNumId="317088">
    <w:lvl>
      <w:numFmt w:val="bullet"/>
      <w:suff w:val="tab"/>
      <w:lvlText w:val="▪"/>
      <w:rPr>
        <w:color w:val="3370ff"/>
        <w:sz w:val="11"/>
      </w:rPr>
    </w:lvl>
  </w:abstractNum>
  <w:abstractNum w:abstractNumId="317089">
    <w:lvl>
      <w:numFmt w:val="bullet"/>
      <w:suff w:val="tab"/>
      <w:lvlText w:val="￮"/>
      <w:rPr>
        <w:color w:val="3370ff"/>
      </w:rPr>
    </w:lvl>
  </w:abstractNum>
  <w:abstractNum w:abstractNumId="317090">
    <w:lvl>
      <w:numFmt w:val="bullet"/>
      <w:suff w:val="tab"/>
      <w:lvlText w:val="￮"/>
      <w:rPr>
        <w:color w:val="3370ff"/>
      </w:rPr>
    </w:lvl>
  </w:abstractNum>
  <w:abstractNum w:abstractNumId="317091">
    <w:lvl>
      <w:numFmt w:val="bullet"/>
      <w:suff w:val="tab"/>
      <w:lvlText w:val="▪"/>
      <w:rPr>
        <w:color w:val="3370ff"/>
        <w:sz w:val="11"/>
      </w:rPr>
    </w:lvl>
  </w:abstractNum>
  <w:abstractNum w:abstractNumId="317092">
    <w:lvl>
      <w:numFmt w:val="bullet"/>
      <w:suff w:val="tab"/>
      <w:lvlText w:val="▪"/>
      <w:rPr>
        <w:color w:val="3370ff"/>
        <w:sz w:val="11"/>
      </w:rPr>
    </w:lvl>
  </w:abstractNum>
  <w:abstractNum w:abstractNumId="317093">
    <w:lvl>
      <w:numFmt w:val="bullet"/>
      <w:suff w:val="tab"/>
      <w:lvlText w:val="▪"/>
      <w:rPr>
        <w:color w:val="3370ff"/>
        <w:sz w:val="11"/>
      </w:rPr>
    </w:lvl>
  </w:abstractNum>
  <w:abstractNum w:abstractNumId="317094">
    <w:lvl>
      <w:start w:val="15"/>
      <w:numFmt w:val="decimal"/>
      <w:suff w:val="tab"/>
      <w:lvlText w:val="%1."/>
      <w:rPr>
        <w:color w:val="3370ff"/>
      </w:rPr>
    </w:lvl>
  </w:abstractNum>
  <w:abstractNum w:abstractNumId="317095">
    <w:lvl>
      <w:numFmt w:val="bullet"/>
      <w:suff w:val="tab"/>
      <w:lvlText w:val="￮"/>
      <w:rPr>
        <w:color w:val="3370ff"/>
      </w:rPr>
    </w:lvl>
  </w:abstractNum>
  <w:abstractNum w:abstractNumId="317096">
    <w:lvl>
      <w:numFmt w:val="bullet"/>
      <w:suff w:val="tab"/>
      <w:lvlText w:val="￮"/>
      <w:rPr>
        <w:color w:val="3370ff"/>
      </w:rPr>
    </w:lvl>
  </w:abstractNum>
  <w:abstractNum w:abstractNumId="317097">
    <w:lvl>
      <w:numFmt w:val="bullet"/>
      <w:suff w:val="tab"/>
      <w:lvlText w:val="￮"/>
      <w:rPr>
        <w:color w:val="3370ff"/>
      </w:rPr>
    </w:lvl>
  </w:abstractNum>
  <w:abstractNum w:abstractNumId="317098">
    <w:lvl>
      <w:numFmt w:val="bullet"/>
      <w:suff w:val="tab"/>
      <w:lvlText w:val="▪"/>
      <w:rPr>
        <w:color w:val="3370ff"/>
        <w:sz w:val="11"/>
      </w:rPr>
    </w:lvl>
  </w:abstractNum>
  <w:abstractNum w:abstractNumId="317099">
    <w:lvl>
      <w:numFmt w:val="bullet"/>
      <w:suff w:val="tab"/>
      <w:lvlText w:val="▪"/>
      <w:rPr>
        <w:color w:val="3370ff"/>
        <w:sz w:val="11"/>
      </w:rPr>
    </w:lvl>
  </w:abstractNum>
  <w:abstractNum w:abstractNumId="317100">
    <w:lvl>
      <w:numFmt w:val="bullet"/>
      <w:suff w:val="tab"/>
      <w:lvlText w:val="￮"/>
      <w:rPr>
        <w:color w:val="3370ff"/>
      </w:rPr>
    </w:lvl>
  </w:abstractNum>
  <w:abstractNum w:abstractNumId="317101">
    <w:lvl>
      <w:numFmt w:val="bullet"/>
      <w:suff w:val="tab"/>
      <w:lvlText w:val="￮"/>
      <w:rPr>
        <w:color w:val="3370ff"/>
      </w:rPr>
    </w:lvl>
  </w:abstractNum>
  <w:abstractNum w:abstractNumId="317102">
    <w:lvl>
      <w:numFmt w:val="bullet"/>
      <w:suff w:val="tab"/>
      <w:lvlText w:val="▪"/>
      <w:rPr>
        <w:color w:val="3370ff"/>
        <w:sz w:val="11"/>
      </w:rPr>
    </w:lvl>
  </w:abstractNum>
  <w:abstractNum w:abstractNumId="317103">
    <w:lvl>
      <w:numFmt w:val="bullet"/>
      <w:suff w:val="tab"/>
      <w:lvlText w:val="▪"/>
      <w:rPr>
        <w:color w:val="3370ff"/>
        <w:sz w:val="11"/>
      </w:rPr>
    </w:lvl>
  </w:abstractNum>
  <w:abstractNum w:abstractNumId="317104">
    <w:lvl>
      <w:start w:val="16"/>
      <w:numFmt w:val="decimal"/>
      <w:suff w:val="tab"/>
      <w:lvlText w:val="%1."/>
      <w:rPr>
        <w:color w:val="3370ff"/>
      </w:rPr>
    </w:lvl>
  </w:abstractNum>
  <w:abstractNum w:abstractNumId="317105">
    <w:lvl>
      <w:start w:val="17"/>
      <w:numFmt w:val="decimal"/>
      <w:suff w:val="tab"/>
      <w:lvlText w:val="%1."/>
      <w:rPr>
        <w:color w:val="3370ff"/>
      </w:rPr>
    </w:lvl>
  </w:abstractNum>
  <w:abstractNum w:abstractNumId="317106">
    <w:lvl>
      <w:numFmt w:val="bullet"/>
      <w:suff w:val="tab"/>
      <w:lvlText w:val="￮"/>
      <w:rPr>
        <w:color w:val="3370ff"/>
      </w:rPr>
    </w:lvl>
  </w:abstractNum>
  <w:abstractNum w:abstractNumId="317107">
    <w:lvl>
      <w:numFmt w:val="bullet"/>
      <w:suff w:val="tab"/>
      <w:lvlText w:val="￮"/>
      <w:rPr>
        <w:color w:val="3370ff"/>
      </w:rPr>
    </w:lvl>
  </w:abstractNum>
  <w:abstractNum w:abstractNumId="317108">
    <w:lvl>
      <w:numFmt w:val="bullet"/>
      <w:suff w:val="tab"/>
      <w:lvlText w:val="▪"/>
      <w:rPr>
        <w:color w:val="3370ff"/>
        <w:sz w:val="11"/>
      </w:rPr>
    </w:lvl>
  </w:abstractNum>
  <w:abstractNum w:abstractNumId="317109">
    <w:lvl>
      <w:numFmt w:val="bullet"/>
      <w:suff w:val="tab"/>
      <w:lvlText w:val="▪"/>
      <w:rPr>
        <w:color w:val="3370ff"/>
        <w:sz w:val="11"/>
      </w:rPr>
    </w:lvl>
  </w:abstractNum>
  <w:abstractNum w:abstractNumId="317110">
    <w:lvl>
      <w:numFmt w:val="bullet"/>
      <w:suff w:val="tab"/>
      <w:lvlText w:val="￮"/>
      <w:rPr>
        <w:color w:val="3370ff"/>
      </w:rPr>
    </w:lvl>
  </w:abstractNum>
  <w:abstractNum w:abstractNumId="317111">
    <w:lvl>
      <w:numFmt w:val="bullet"/>
      <w:suff w:val="tab"/>
      <w:lvlText w:val="￮"/>
      <w:rPr>
        <w:color w:val="3370ff"/>
      </w:rPr>
    </w:lvl>
  </w:abstractNum>
  <w:abstractNum w:abstractNumId="317112">
    <w:lvl>
      <w:numFmt w:val="bullet"/>
      <w:suff w:val="tab"/>
      <w:lvlText w:val="▪"/>
      <w:rPr>
        <w:color w:val="3370ff"/>
        <w:sz w:val="11"/>
      </w:rPr>
    </w:lvl>
  </w:abstractNum>
  <w:abstractNum w:abstractNumId="317113">
    <w:lvl>
      <w:numFmt w:val="bullet"/>
      <w:suff w:val="tab"/>
      <w:lvlText w:val="▪"/>
      <w:rPr>
        <w:color w:val="3370ff"/>
        <w:sz w:val="11"/>
      </w:rPr>
    </w:lvl>
  </w:abstractNum>
  <w:abstractNum w:abstractNumId="317114">
    <w:lvl>
      <w:numFmt w:val="bullet"/>
      <w:suff w:val="tab"/>
      <w:lvlText w:val="▪"/>
      <w:rPr>
        <w:color w:val="3370ff"/>
        <w:sz w:val="11"/>
      </w:rPr>
    </w:lvl>
  </w:abstractNum>
  <w:abstractNum w:abstractNumId="317115">
    <w:lvl>
      <w:numFmt w:val="bullet"/>
      <w:suff w:val="tab"/>
      <w:lvlText w:val="▪"/>
      <w:rPr>
        <w:color w:val="3370ff"/>
        <w:sz w:val="11"/>
      </w:rPr>
    </w:lvl>
  </w:abstractNum>
  <w:abstractNum w:abstractNumId="317116">
    <w:lvl>
      <w:numFmt w:val="bullet"/>
      <w:suff w:val="tab"/>
      <w:lvlText w:val="￮"/>
      <w:rPr>
        <w:color w:val="3370ff"/>
      </w:rPr>
    </w:lvl>
  </w:abstractNum>
  <w:abstractNum w:abstractNumId="317117">
    <w:lvl>
      <w:start w:val="18"/>
      <w:numFmt w:val="decimal"/>
      <w:suff w:val="tab"/>
      <w:lvlText w:val="%1."/>
      <w:rPr>
        <w:color w:val="3370ff"/>
      </w:rPr>
    </w:lvl>
  </w:abstractNum>
  <w:abstractNum w:abstractNumId="317118">
    <w:lvl>
      <w:numFmt w:val="bullet"/>
      <w:suff w:val="tab"/>
      <w:lvlText w:val="￮"/>
      <w:rPr>
        <w:color w:val="3370ff"/>
      </w:rPr>
    </w:lvl>
  </w:abstractNum>
  <w:abstractNum w:abstractNumId="317119">
    <w:lvl>
      <w:numFmt w:val="bullet"/>
      <w:suff w:val="tab"/>
      <w:lvlText w:val="￮"/>
      <w:rPr>
        <w:color w:val="3370ff"/>
      </w:rPr>
    </w:lvl>
  </w:abstractNum>
  <w:abstractNum w:abstractNumId="317120">
    <w:lvl>
      <w:numFmt w:val="bullet"/>
      <w:suff w:val="tab"/>
      <w:lvlText w:val="▪"/>
      <w:rPr>
        <w:color w:val="3370ff"/>
        <w:sz w:val="11"/>
      </w:rPr>
    </w:lvl>
  </w:abstractNum>
  <w:abstractNum w:abstractNumId="317121">
    <w:lvl>
      <w:numFmt w:val="bullet"/>
      <w:suff w:val="tab"/>
      <w:lvlText w:val="▪"/>
      <w:rPr>
        <w:color w:val="3370ff"/>
        <w:sz w:val="11"/>
      </w:rPr>
    </w:lvl>
  </w:abstractNum>
  <w:abstractNum w:abstractNumId="317122">
    <w:lvl>
      <w:numFmt w:val="bullet"/>
      <w:suff w:val="tab"/>
      <w:lvlText w:val="￮"/>
      <w:rPr>
        <w:color w:val="3370ff"/>
      </w:rPr>
    </w:lvl>
  </w:abstractNum>
  <w:abstractNum w:abstractNumId="317123">
    <w:lvl>
      <w:numFmt w:val="bullet"/>
      <w:suff w:val="tab"/>
      <w:lvlText w:val="￮"/>
      <w:rPr>
        <w:color w:val="3370ff"/>
      </w:rPr>
    </w:lvl>
  </w:abstractNum>
  <w:abstractNum w:abstractNumId="317124">
    <w:lvl>
      <w:numFmt w:val="bullet"/>
      <w:suff w:val="tab"/>
      <w:lvlText w:val="▪"/>
      <w:rPr>
        <w:color w:val="3370ff"/>
        <w:sz w:val="11"/>
      </w:rPr>
    </w:lvl>
  </w:abstractNum>
  <w:abstractNum w:abstractNumId="317125">
    <w:lvl>
      <w:numFmt w:val="bullet"/>
      <w:suff w:val="tab"/>
      <w:lvlText w:val="▪"/>
      <w:rPr>
        <w:color w:val="3370ff"/>
        <w:sz w:val="11"/>
      </w:rPr>
    </w:lvl>
  </w:abstractNum>
  <w:abstractNum w:abstractNumId="317126">
    <w:lvl>
      <w:numFmt w:val="bullet"/>
      <w:suff w:val="tab"/>
      <w:lvlText w:val="▪"/>
      <w:rPr>
        <w:color w:val="3370ff"/>
        <w:sz w:val="11"/>
      </w:rPr>
    </w:lvl>
  </w:abstractNum>
  <w:abstractNum w:abstractNumId="317127">
    <w:lvl>
      <w:numFmt w:val="bullet"/>
      <w:suff w:val="tab"/>
      <w:lvlText w:val="▪"/>
      <w:rPr>
        <w:color w:val="3370ff"/>
        <w:sz w:val="11"/>
      </w:rPr>
    </w:lvl>
  </w:abstractNum>
  <w:abstractNum w:abstractNumId="317128">
    <w:lvl>
      <w:numFmt w:val="bullet"/>
      <w:suff w:val="tab"/>
      <w:lvlText w:val="￮"/>
      <w:rPr>
        <w:color w:val="3370ff"/>
      </w:rPr>
    </w:lvl>
  </w:abstractNum>
  <w:abstractNum w:abstractNumId="317129">
    <w:lvl>
      <w:start w:val="19"/>
      <w:numFmt w:val="decimal"/>
      <w:suff w:val="tab"/>
      <w:lvlText w:val="%1."/>
      <w:rPr>
        <w:color w:val="3370ff"/>
      </w:rPr>
    </w:lvl>
  </w:abstractNum>
  <w:abstractNum w:abstractNumId="317130">
    <w:lvl>
      <w:numFmt w:val="bullet"/>
      <w:suff w:val="tab"/>
      <w:lvlText w:val="￮"/>
      <w:rPr>
        <w:color w:val="3370ff"/>
      </w:rPr>
    </w:lvl>
  </w:abstractNum>
  <w:abstractNum w:abstractNumId="317131">
    <w:lvl>
      <w:numFmt w:val="bullet"/>
      <w:suff w:val="tab"/>
      <w:lvlText w:val="￮"/>
      <w:rPr>
        <w:color w:val="3370ff"/>
      </w:rPr>
    </w:lvl>
  </w:abstractNum>
  <w:abstractNum w:abstractNumId="317132">
    <w:lvl>
      <w:numFmt w:val="bullet"/>
      <w:suff w:val="tab"/>
      <w:lvlText w:val="▪"/>
      <w:rPr>
        <w:color w:val="3370ff"/>
        <w:sz w:val="11"/>
      </w:rPr>
    </w:lvl>
  </w:abstractNum>
  <w:abstractNum w:abstractNumId="317133">
    <w:lvl>
      <w:numFmt w:val="bullet"/>
      <w:suff w:val="tab"/>
      <w:lvlText w:val="▪"/>
      <w:rPr>
        <w:color w:val="3370ff"/>
        <w:sz w:val="11"/>
      </w:rPr>
    </w:lvl>
  </w:abstractNum>
  <w:abstractNum w:abstractNumId="317134">
    <w:lvl>
      <w:numFmt w:val="bullet"/>
      <w:suff w:val="tab"/>
      <w:lvlText w:val="￮"/>
      <w:rPr>
        <w:color w:val="3370ff"/>
      </w:rPr>
    </w:lvl>
  </w:abstractNum>
  <w:abstractNum w:abstractNumId="317135">
    <w:lvl>
      <w:numFmt w:val="bullet"/>
      <w:suff w:val="tab"/>
      <w:lvlText w:val="￮"/>
      <w:rPr>
        <w:color w:val="3370ff"/>
      </w:rPr>
    </w:lvl>
  </w:abstractNum>
  <w:abstractNum w:abstractNumId="317136">
    <w:lvl>
      <w:numFmt w:val="bullet"/>
      <w:suff w:val="tab"/>
      <w:lvlText w:val="▪"/>
      <w:rPr>
        <w:color w:val="3370ff"/>
        <w:sz w:val="11"/>
      </w:rPr>
    </w:lvl>
  </w:abstractNum>
  <w:abstractNum w:abstractNumId="317137">
    <w:lvl>
      <w:numFmt w:val="bullet"/>
      <w:suff w:val="tab"/>
      <w:lvlText w:val="▪"/>
      <w:rPr>
        <w:color w:val="3370ff"/>
        <w:sz w:val="11"/>
      </w:rPr>
    </w:lvl>
  </w:abstractNum>
  <w:abstractNum w:abstractNumId="317138">
    <w:lvl>
      <w:numFmt w:val="bullet"/>
      <w:suff w:val="tab"/>
      <w:lvlText w:val="▪"/>
      <w:rPr>
        <w:color w:val="3370ff"/>
        <w:sz w:val="11"/>
      </w:rPr>
    </w:lvl>
  </w:abstractNum>
  <w:abstractNum w:abstractNumId="317139">
    <w:lvl>
      <w:numFmt w:val="bullet"/>
      <w:suff w:val="tab"/>
      <w:lvlText w:val="▪"/>
      <w:rPr>
        <w:color w:val="3370ff"/>
        <w:sz w:val="11"/>
      </w:rPr>
    </w:lvl>
  </w:abstractNum>
  <w:abstractNum w:abstractNumId="317140">
    <w:lvl>
      <w:numFmt w:val="bullet"/>
      <w:suff w:val="tab"/>
      <w:lvlText w:val="￮"/>
      <w:rPr>
        <w:color w:val="3370ff"/>
      </w:rPr>
    </w:lvl>
  </w:abstractNum>
  <w:abstractNum w:abstractNumId="317141">
    <w:lvl>
      <w:start w:val="20"/>
      <w:numFmt w:val="decimal"/>
      <w:suff w:val="tab"/>
      <w:lvlText w:val="%1."/>
      <w:rPr>
        <w:color w:val="3370ff"/>
      </w:rPr>
    </w:lvl>
  </w:abstractNum>
  <w:abstractNum w:abstractNumId="317142">
    <w:lvl>
      <w:numFmt w:val="bullet"/>
      <w:suff w:val="tab"/>
      <w:lvlText w:val="￮"/>
      <w:rPr>
        <w:color w:val="3370ff"/>
      </w:rPr>
    </w:lvl>
  </w:abstractNum>
  <w:abstractNum w:abstractNumId="317143">
    <w:lvl>
      <w:numFmt w:val="bullet"/>
      <w:suff w:val="tab"/>
      <w:lvlText w:val="￮"/>
      <w:rPr>
        <w:color w:val="3370ff"/>
      </w:rPr>
    </w:lvl>
  </w:abstractNum>
  <w:abstractNum w:abstractNumId="317144">
    <w:lvl>
      <w:numFmt w:val="bullet"/>
      <w:suff w:val="tab"/>
      <w:lvlText w:val="▪"/>
      <w:rPr>
        <w:color w:val="3370ff"/>
        <w:sz w:val="11"/>
      </w:rPr>
    </w:lvl>
  </w:abstractNum>
  <w:abstractNum w:abstractNumId="317145">
    <w:lvl>
      <w:numFmt w:val="bullet"/>
      <w:suff w:val="tab"/>
      <w:lvlText w:val="▪"/>
      <w:rPr>
        <w:color w:val="3370ff"/>
        <w:sz w:val="11"/>
      </w:rPr>
    </w:lvl>
  </w:abstractNum>
  <w:abstractNum w:abstractNumId="317146">
    <w:lvl>
      <w:numFmt w:val="bullet"/>
      <w:suff w:val="tab"/>
      <w:lvlText w:val="￮"/>
      <w:rPr>
        <w:color w:val="3370ff"/>
      </w:rPr>
    </w:lvl>
  </w:abstractNum>
  <w:abstractNum w:abstractNumId="317147">
    <w:lvl>
      <w:numFmt w:val="bullet"/>
      <w:suff w:val="tab"/>
      <w:lvlText w:val="￮"/>
      <w:rPr>
        <w:color w:val="3370ff"/>
      </w:rPr>
    </w:lvl>
  </w:abstractNum>
  <w:abstractNum w:abstractNumId="317148">
    <w:lvl>
      <w:numFmt w:val="bullet"/>
      <w:suff w:val="tab"/>
      <w:lvlText w:val="▪"/>
      <w:rPr>
        <w:color w:val="3370ff"/>
        <w:sz w:val="11"/>
      </w:rPr>
    </w:lvl>
  </w:abstractNum>
  <w:abstractNum w:abstractNumId="317149">
    <w:lvl>
      <w:numFmt w:val="bullet"/>
      <w:suff w:val="tab"/>
      <w:lvlText w:val="▪"/>
      <w:rPr>
        <w:color w:val="3370ff"/>
        <w:sz w:val="11"/>
      </w:rPr>
    </w:lvl>
  </w:abstractNum>
  <w:abstractNum w:abstractNumId="317150">
    <w:lvl>
      <w:numFmt w:val="bullet"/>
      <w:suff w:val="tab"/>
      <w:lvlText w:val="▪"/>
      <w:rPr>
        <w:color w:val="3370ff"/>
        <w:sz w:val="11"/>
      </w:rPr>
    </w:lvl>
  </w:abstractNum>
  <w:abstractNum w:abstractNumId="317151">
    <w:lvl>
      <w:numFmt w:val="bullet"/>
      <w:suff w:val="tab"/>
      <w:lvlText w:val="▪"/>
      <w:rPr>
        <w:color w:val="3370ff"/>
        <w:sz w:val="11"/>
      </w:rPr>
    </w:lvl>
  </w:abstractNum>
  <w:abstractNum w:abstractNumId="317152">
    <w:lvl>
      <w:numFmt w:val="bullet"/>
      <w:suff w:val="tab"/>
      <w:lvlText w:val="￮"/>
      <w:rPr>
        <w:color w:val="3370ff"/>
      </w:rPr>
    </w:lvl>
  </w:abstractNum>
  <w:abstractNum w:abstractNumId="317153">
    <w:lvl>
      <w:start w:val="21"/>
      <w:numFmt w:val="decimal"/>
      <w:suff w:val="tab"/>
      <w:lvlText w:val="%1."/>
      <w:rPr>
        <w:color w:val="3370ff"/>
      </w:rPr>
    </w:lvl>
  </w:abstractNum>
  <w:abstractNum w:abstractNumId="317154">
    <w:lvl>
      <w:numFmt w:val="bullet"/>
      <w:suff w:val="tab"/>
      <w:lvlText w:val="￮"/>
      <w:rPr>
        <w:color w:val="3370ff"/>
      </w:rPr>
    </w:lvl>
  </w:abstractNum>
  <w:abstractNum w:abstractNumId="317155">
    <w:lvl>
      <w:numFmt w:val="bullet"/>
      <w:suff w:val="tab"/>
      <w:lvlText w:val="￮"/>
      <w:rPr>
        <w:color w:val="3370ff"/>
      </w:rPr>
    </w:lvl>
  </w:abstractNum>
  <w:abstractNum w:abstractNumId="317156">
    <w:lvl>
      <w:numFmt w:val="bullet"/>
      <w:suff w:val="tab"/>
      <w:lvlText w:val="▪"/>
      <w:rPr>
        <w:color w:val="3370ff"/>
        <w:sz w:val="11"/>
      </w:rPr>
    </w:lvl>
  </w:abstractNum>
  <w:abstractNum w:abstractNumId="317157">
    <w:lvl>
      <w:numFmt w:val="bullet"/>
      <w:suff w:val="tab"/>
      <w:lvlText w:val="▪"/>
      <w:rPr>
        <w:color w:val="3370ff"/>
        <w:sz w:val="11"/>
      </w:rPr>
    </w:lvl>
  </w:abstractNum>
  <w:abstractNum w:abstractNumId="317158">
    <w:lvl>
      <w:numFmt w:val="bullet"/>
      <w:suff w:val="tab"/>
      <w:lvlText w:val="￮"/>
      <w:rPr>
        <w:color w:val="3370ff"/>
      </w:rPr>
    </w:lvl>
  </w:abstractNum>
  <w:abstractNum w:abstractNumId="317159">
    <w:lvl>
      <w:numFmt w:val="bullet"/>
      <w:suff w:val="tab"/>
      <w:lvlText w:val="￮"/>
      <w:rPr>
        <w:color w:val="3370ff"/>
      </w:rPr>
    </w:lvl>
  </w:abstractNum>
  <w:abstractNum w:abstractNumId="317160">
    <w:lvl>
      <w:numFmt w:val="bullet"/>
      <w:suff w:val="tab"/>
      <w:lvlText w:val="▪"/>
      <w:rPr>
        <w:color w:val="3370ff"/>
        <w:sz w:val="11"/>
      </w:rPr>
    </w:lvl>
  </w:abstractNum>
  <w:abstractNum w:abstractNumId="317161">
    <w:lvl>
      <w:numFmt w:val="bullet"/>
      <w:suff w:val="tab"/>
      <w:lvlText w:val="▪"/>
      <w:rPr>
        <w:color w:val="3370ff"/>
        <w:sz w:val="11"/>
      </w:rPr>
    </w:lvl>
  </w:abstractNum>
  <w:abstractNum w:abstractNumId="317162">
    <w:lvl>
      <w:numFmt w:val="bullet"/>
      <w:suff w:val="tab"/>
      <w:lvlText w:val="▪"/>
      <w:rPr>
        <w:color w:val="3370ff"/>
        <w:sz w:val="11"/>
      </w:rPr>
    </w:lvl>
  </w:abstractNum>
  <w:abstractNum w:abstractNumId="317163">
    <w:lvl>
      <w:numFmt w:val="bullet"/>
      <w:suff w:val="tab"/>
      <w:lvlText w:val="▪"/>
      <w:rPr>
        <w:color w:val="3370ff"/>
        <w:sz w:val="11"/>
      </w:rPr>
    </w:lvl>
  </w:abstractNum>
  <w:abstractNum w:abstractNumId="317164">
    <w:lvl>
      <w:numFmt w:val="bullet"/>
      <w:suff w:val="tab"/>
      <w:lvlText w:val="￮"/>
      <w:rPr>
        <w:color w:val="3370ff"/>
      </w:rPr>
    </w:lvl>
  </w:abstractNum>
  <w:abstractNum w:abstractNumId="317165">
    <w:lvl>
      <w:start w:val="22"/>
      <w:numFmt w:val="decimal"/>
      <w:suff w:val="tab"/>
      <w:lvlText w:val="%1."/>
      <w:rPr>
        <w:color w:val="3370ff"/>
      </w:rPr>
    </w:lvl>
  </w:abstractNum>
  <w:abstractNum w:abstractNumId="317166">
    <w:lvl>
      <w:numFmt w:val="bullet"/>
      <w:suff w:val="tab"/>
      <w:lvlText w:val="￮"/>
      <w:rPr>
        <w:color w:val="3370ff"/>
      </w:rPr>
    </w:lvl>
  </w:abstractNum>
  <w:abstractNum w:abstractNumId="317167">
    <w:lvl>
      <w:numFmt w:val="bullet"/>
      <w:suff w:val="tab"/>
      <w:lvlText w:val="￮"/>
      <w:rPr>
        <w:color w:val="3370ff"/>
      </w:rPr>
    </w:lvl>
  </w:abstractNum>
  <w:abstractNum w:abstractNumId="317168">
    <w:lvl>
      <w:numFmt w:val="bullet"/>
      <w:suff w:val="tab"/>
      <w:lvlText w:val="▪"/>
      <w:rPr>
        <w:color w:val="3370ff"/>
        <w:sz w:val="11"/>
      </w:rPr>
    </w:lvl>
  </w:abstractNum>
  <w:abstractNum w:abstractNumId="317169">
    <w:lvl>
      <w:numFmt w:val="bullet"/>
      <w:suff w:val="tab"/>
      <w:lvlText w:val="▪"/>
      <w:rPr>
        <w:color w:val="3370ff"/>
        <w:sz w:val="11"/>
      </w:rPr>
    </w:lvl>
  </w:abstractNum>
  <w:abstractNum w:abstractNumId="317170">
    <w:lvl>
      <w:numFmt w:val="bullet"/>
      <w:suff w:val="tab"/>
      <w:lvlText w:val="￮"/>
      <w:rPr>
        <w:color w:val="3370ff"/>
      </w:rPr>
    </w:lvl>
  </w:abstractNum>
  <w:abstractNum w:abstractNumId="317171">
    <w:lvl>
      <w:numFmt w:val="bullet"/>
      <w:suff w:val="tab"/>
      <w:lvlText w:val="￮"/>
      <w:rPr>
        <w:color w:val="3370ff"/>
      </w:rPr>
    </w:lvl>
  </w:abstractNum>
  <w:abstractNum w:abstractNumId="317172">
    <w:lvl>
      <w:numFmt w:val="bullet"/>
      <w:suff w:val="tab"/>
      <w:lvlText w:val="▪"/>
      <w:rPr>
        <w:color w:val="3370ff"/>
        <w:sz w:val="11"/>
      </w:rPr>
    </w:lvl>
  </w:abstractNum>
  <w:abstractNum w:abstractNumId="317173">
    <w:lvl>
      <w:numFmt w:val="bullet"/>
      <w:suff w:val="tab"/>
      <w:lvlText w:val="▪"/>
      <w:rPr>
        <w:color w:val="3370ff"/>
        <w:sz w:val="11"/>
      </w:rPr>
    </w:lvl>
  </w:abstractNum>
  <w:abstractNum w:abstractNumId="317174">
    <w:lvl>
      <w:numFmt w:val="bullet"/>
      <w:suff w:val="tab"/>
      <w:lvlText w:val="▪"/>
      <w:rPr>
        <w:color w:val="3370ff"/>
        <w:sz w:val="11"/>
      </w:rPr>
    </w:lvl>
  </w:abstractNum>
  <w:abstractNum w:abstractNumId="317175">
    <w:lvl>
      <w:numFmt w:val="bullet"/>
      <w:suff w:val="tab"/>
      <w:lvlText w:val="▪"/>
      <w:rPr>
        <w:color w:val="3370ff"/>
        <w:sz w:val="11"/>
      </w:rPr>
    </w:lvl>
  </w:abstractNum>
  <w:abstractNum w:abstractNumId="317176">
    <w:lvl>
      <w:numFmt w:val="bullet"/>
      <w:suff w:val="tab"/>
      <w:lvlText w:val="￮"/>
      <w:rPr>
        <w:color w:val="3370ff"/>
      </w:rPr>
    </w:lvl>
  </w:abstractNum>
  <w:abstractNum w:abstractNumId="317177">
    <w:lvl>
      <w:start w:val="23"/>
      <w:numFmt w:val="decimal"/>
      <w:suff w:val="tab"/>
      <w:lvlText w:val="%1."/>
      <w:rPr>
        <w:color w:val="3370ff"/>
      </w:rPr>
    </w:lvl>
  </w:abstractNum>
  <w:abstractNum w:abstractNumId="317178">
    <w:lvl>
      <w:numFmt w:val="bullet"/>
      <w:suff w:val="tab"/>
      <w:lvlText w:val="▪"/>
      <w:rPr>
        <w:color w:val="3370ff"/>
        <w:sz w:val="11"/>
      </w:rPr>
    </w:lvl>
  </w:abstractNum>
  <w:abstractNum w:abstractNumId="317179">
    <w:lvl>
      <w:numFmt w:val="bullet"/>
      <w:suff w:val="tab"/>
      <w:lvlText w:val="▪"/>
      <w:rPr>
        <w:color w:val="3370ff"/>
        <w:sz w:val="11"/>
      </w:rPr>
    </w:lvl>
  </w:abstractNum>
  <w:abstractNum w:abstractNumId="317180">
    <w:lvl>
      <w:numFmt w:val="bullet"/>
      <w:suff w:val="tab"/>
      <w:lvlText w:val="￮"/>
      <w:rPr>
        <w:color w:val="3370ff"/>
      </w:rPr>
    </w:lvl>
  </w:abstractNum>
  <w:abstractNum w:abstractNumId="317181">
    <w:lvl>
      <w:numFmt w:val="bullet"/>
      <w:suff w:val="tab"/>
      <w:lvlText w:val="￮"/>
      <w:rPr>
        <w:color w:val="3370ff"/>
      </w:rPr>
    </w:lvl>
  </w:abstractNum>
  <w:abstractNum w:abstractNumId="317182">
    <w:lvl>
      <w:numFmt w:val="bullet"/>
      <w:suff w:val="tab"/>
      <w:lvlText w:val="￮"/>
      <w:rPr>
        <w:color w:val="3370ff"/>
      </w:rPr>
    </w:lvl>
  </w:abstractNum>
  <w:abstractNum w:abstractNumId="317183">
    <w:lvl>
      <w:start w:val="24"/>
      <w:numFmt w:val="decimal"/>
      <w:suff w:val="tab"/>
      <w:lvlText w:val="%1."/>
      <w:rPr>
        <w:color w:val="3370ff"/>
      </w:rPr>
    </w:lvl>
  </w:abstractNum>
  <w:abstractNum w:abstractNumId="317184">
    <w:lvl>
      <w:numFmt w:val="bullet"/>
      <w:suff w:val="tab"/>
      <w:lvlText w:val="￮"/>
      <w:rPr>
        <w:color w:val="3370ff"/>
      </w:rPr>
    </w:lvl>
  </w:abstractNum>
  <w:abstractNum w:abstractNumId="317185">
    <w:lvl>
      <w:numFmt w:val="bullet"/>
      <w:suff w:val="tab"/>
      <w:lvlText w:val="▪"/>
      <w:rPr>
        <w:color w:val="3370ff"/>
        <w:sz w:val="11"/>
      </w:rPr>
    </w:lvl>
  </w:abstractNum>
  <w:abstractNum w:abstractNumId="317186">
    <w:lvl>
      <w:numFmt w:val="bullet"/>
      <w:suff w:val="tab"/>
      <w:lvlText w:val="▪"/>
      <w:rPr>
        <w:color w:val="3370ff"/>
        <w:sz w:val="11"/>
      </w:rPr>
    </w:lvl>
  </w:abstractNum>
  <w:abstractNum w:abstractNumId="317187">
    <w:lvl>
      <w:numFmt w:val="bullet"/>
      <w:suff w:val="tab"/>
      <w:lvlText w:val="￮"/>
      <w:rPr>
        <w:color w:val="3370ff"/>
      </w:rPr>
    </w:lvl>
  </w:abstractNum>
  <w:abstractNum w:abstractNumId="317188">
    <w:lvl>
      <w:numFmt w:val="bullet"/>
      <w:suff w:val="tab"/>
      <w:lvlText w:val="￮"/>
      <w:rPr>
        <w:color w:val="3370ff"/>
      </w:rPr>
    </w:lvl>
  </w:abstractNum>
  <w:abstractNum w:abstractNumId="317189">
    <w:lvl>
      <w:numFmt w:val="bullet"/>
      <w:suff w:val="tab"/>
      <w:lvlText w:val="￮"/>
      <w:rPr>
        <w:color w:val="3370ff"/>
      </w:rPr>
    </w:lvl>
  </w:abstractNum>
  <w:abstractNum w:abstractNumId="317190">
    <w:lvl>
      <w:numFmt w:val="bullet"/>
      <w:suff w:val="tab"/>
      <w:lvlText w:val="￮"/>
      <w:rPr>
        <w:color w:val="3370ff"/>
      </w:rPr>
    </w:lvl>
  </w:abstractNum>
  <w:abstractNum w:abstractNumId="317191">
    <w:lvl>
      <w:start w:val="25"/>
      <w:numFmt w:val="decimal"/>
      <w:suff w:val="tab"/>
      <w:lvlText w:val="%1."/>
      <w:rPr>
        <w:color w:val="3370ff"/>
      </w:rPr>
    </w:lvl>
  </w:abstractNum>
  <w:abstractNum w:abstractNumId="317192">
    <w:lvl>
      <w:numFmt w:val="bullet"/>
      <w:suff w:val="tab"/>
      <w:lvlText w:val="￮"/>
      <w:rPr>
        <w:color w:val="3370ff"/>
      </w:rPr>
    </w:lvl>
  </w:abstractNum>
  <w:abstractNum w:abstractNumId="317193">
    <w:lvl>
      <w:numFmt w:val="bullet"/>
      <w:suff w:val="tab"/>
      <w:lvlText w:val="▪"/>
      <w:rPr>
        <w:color w:val="3370ff"/>
        <w:sz w:val="11"/>
      </w:rPr>
    </w:lvl>
  </w:abstractNum>
  <w:abstractNum w:abstractNumId="317194">
    <w:lvl>
      <w:numFmt w:val="bullet"/>
      <w:suff w:val="tab"/>
      <w:lvlText w:val="▪"/>
      <w:rPr>
        <w:color w:val="3370ff"/>
        <w:sz w:val="11"/>
      </w:rPr>
    </w:lvl>
  </w:abstractNum>
  <w:abstractNum w:abstractNumId="317195">
    <w:lvl>
      <w:numFmt w:val="bullet"/>
      <w:suff w:val="tab"/>
      <w:lvlText w:val="￮"/>
      <w:rPr>
        <w:color w:val="3370ff"/>
      </w:rPr>
    </w:lvl>
  </w:abstractNum>
  <w:abstractNum w:abstractNumId="317196">
    <w:lvl>
      <w:numFmt w:val="bullet"/>
      <w:suff w:val="tab"/>
      <w:lvlText w:val="￮"/>
      <w:rPr>
        <w:color w:val="3370ff"/>
      </w:rPr>
    </w:lvl>
  </w:abstractNum>
  <w:abstractNum w:abstractNumId="317197">
    <w:lvl>
      <w:numFmt w:val="bullet"/>
      <w:suff w:val="tab"/>
      <w:lvlText w:val="￮"/>
      <w:rPr>
        <w:color w:val="3370ff"/>
      </w:rPr>
    </w:lvl>
  </w:abstractNum>
  <w:abstractNum w:abstractNumId="317198">
    <w:lvl>
      <w:start w:val="26"/>
      <w:numFmt w:val="decimal"/>
      <w:suff w:val="tab"/>
      <w:lvlText w:val="%1."/>
      <w:rPr>
        <w:color w:val="3370ff"/>
      </w:rPr>
    </w:lvl>
  </w:abstractNum>
  <w:abstractNum w:abstractNumId="317199">
    <w:lvl>
      <w:numFmt w:val="bullet"/>
      <w:suff w:val="tab"/>
      <w:lvlText w:val="￮"/>
      <w:rPr>
        <w:color w:val="3370ff"/>
      </w:rPr>
    </w:lvl>
  </w:abstractNum>
  <w:abstractNum w:abstractNumId="317200">
    <w:lvl>
      <w:numFmt w:val="bullet"/>
      <w:suff w:val="tab"/>
      <w:lvlText w:val="￮"/>
      <w:rPr>
        <w:color w:val="3370ff"/>
      </w:rPr>
    </w:lvl>
  </w:abstractNum>
  <w:abstractNum w:abstractNumId="317201">
    <w:lvl>
      <w:numFmt w:val="bullet"/>
      <w:suff w:val="tab"/>
      <w:lvlText w:val="▪"/>
      <w:rPr>
        <w:color w:val="3370ff"/>
        <w:sz w:val="11"/>
      </w:rPr>
    </w:lvl>
  </w:abstractNum>
  <w:abstractNum w:abstractNumId="317202">
    <w:lvl>
      <w:numFmt w:val="bullet"/>
      <w:suff w:val="tab"/>
      <w:lvlText w:val="▪"/>
      <w:rPr>
        <w:color w:val="3370ff"/>
        <w:sz w:val="11"/>
      </w:rPr>
    </w:lvl>
  </w:abstractNum>
  <w:abstractNum w:abstractNumId="317203">
    <w:lvl>
      <w:numFmt w:val="bullet"/>
      <w:suff w:val="tab"/>
      <w:lvlText w:val="￮"/>
      <w:rPr>
        <w:color w:val="3370ff"/>
      </w:rPr>
    </w:lvl>
  </w:abstractNum>
  <w:abstractNum w:abstractNumId="317204">
    <w:lvl>
      <w:numFmt w:val="bullet"/>
      <w:suff w:val="tab"/>
      <w:lvlText w:val="￮"/>
      <w:rPr>
        <w:color w:val="3370ff"/>
      </w:rPr>
    </w:lvl>
  </w:abstractNum>
  <w:abstractNum w:abstractNumId="317205">
    <w:lvl>
      <w:numFmt w:val="bullet"/>
      <w:suff w:val="tab"/>
      <w:lvlText w:val="￮"/>
      <w:rPr>
        <w:color w:val="3370ff"/>
      </w:rPr>
    </w:lvl>
  </w:abstractNum>
  <w:abstractNum w:abstractNumId="317206">
    <w:lvl>
      <w:start w:val="27"/>
      <w:numFmt w:val="decimal"/>
      <w:suff w:val="tab"/>
      <w:lvlText w:val="%1."/>
      <w:rPr>
        <w:color w:val="3370ff"/>
      </w:rPr>
    </w:lvl>
  </w:abstractNum>
  <w:abstractNum w:abstractNumId="317207">
    <w:lvl>
      <w:numFmt w:val="bullet"/>
      <w:suff w:val="tab"/>
      <w:lvlText w:val="￮"/>
      <w:rPr>
        <w:color w:val="3370ff"/>
      </w:rPr>
    </w:lvl>
  </w:abstractNum>
  <w:abstractNum w:abstractNumId="317208">
    <w:lvl>
      <w:numFmt w:val="bullet"/>
      <w:suff w:val="tab"/>
      <w:lvlText w:val="￮"/>
      <w:rPr>
        <w:color w:val="3370ff"/>
      </w:rPr>
    </w:lvl>
  </w:abstractNum>
  <w:abstractNum w:abstractNumId="317209">
    <w:lvl>
      <w:numFmt w:val="bullet"/>
      <w:suff w:val="tab"/>
      <w:lvlText w:val="▪"/>
      <w:rPr>
        <w:color w:val="3370ff"/>
        <w:sz w:val="11"/>
      </w:rPr>
    </w:lvl>
  </w:abstractNum>
  <w:abstractNum w:abstractNumId="317210">
    <w:lvl>
      <w:numFmt w:val="bullet"/>
      <w:suff w:val="tab"/>
      <w:lvlText w:val="▪"/>
      <w:rPr>
        <w:color w:val="3370ff"/>
        <w:sz w:val="11"/>
      </w:rPr>
    </w:lvl>
  </w:abstractNum>
  <w:abstractNum w:abstractNumId="317211">
    <w:lvl>
      <w:numFmt w:val="bullet"/>
      <w:suff w:val="tab"/>
      <w:lvlText w:val="￮"/>
      <w:rPr>
        <w:color w:val="3370ff"/>
      </w:rPr>
    </w:lvl>
  </w:abstractNum>
  <w:abstractNum w:abstractNumId="317212">
    <w:lvl>
      <w:numFmt w:val="bullet"/>
      <w:suff w:val="tab"/>
      <w:lvlText w:val="￮"/>
      <w:rPr>
        <w:color w:val="3370ff"/>
      </w:rPr>
    </w:lvl>
  </w:abstractNum>
  <w:abstractNum w:abstractNumId="317213">
    <w:lvl>
      <w:numFmt w:val="bullet"/>
      <w:suff w:val="tab"/>
      <w:lvlText w:val="￮"/>
      <w:rPr>
        <w:color w:val="3370ff"/>
      </w:rPr>
    </w:lvl>
  </w:abstractNum>
  <w:abstractNum w:abstractNumId="317214">
    <w:lvl>
      <w:start w:val="28"/>
      <w:numFmt w:val="decimal"/>
      <w:suff w:val="tab"/>
      <w:lvlText w:val="%1."/>
      <w:rPr>
        <w:color w:val="3370ff"/>
      </w:rPr>
    </w:lvl>
  </w:abstractNum>
  <w:abstractNum w:abstractNumId="317215">
    <w:lvl>
      <w:numFmt w:val="bullet"/>
      <w:suff w:val="tab"/>
      <w:lvlText w:val="￮"/>
      <w:rPr>
        <w:color w:val="3370ff"/>
      </w:rPr>
    </w:lvl>
  </w:abstractNum>
  <w:abstractNum w:abstractNumId="317216">
    <w:lvl>
      <w:numFmt w:val="bullet"/>
      <w:suff w:val="tab"/>
      <w:lvlText w:val="￮"/>
      <w:rPr>
        <w:color w:val="3370ff"/>
      </w:rPr>
    </w:lvl>
  </w:abstractNum>
  <w:abstractNum w:abstractNumId="317217">
    <w:lvl>
      <w:numFmt w:val="bullet"/>
      <w:suff w:val="tab"/>
      <w:lvlText w:val="▪"/>
      <w:rPr>
        <w:color w:val="3370ff"/>
        <w:sz w:val="11"/>
      </w:rPr>
    </w:lvl>
  </w:abstractNum>
  <w:abstractNum w:abstractNumId="317218">
    <w:lvl>
      <w:numFmt w:val="bullet"/>
      <w:suff w:val="tab"/>
      <w:lvlText w:val="▪"/>
      <w:rPr>
        <w:color w:val="3370ff"/>
        <w:sz w:val="11"/>
      </w:rPr>
    </w:lvl>
  </w:abstractNum>
  <w:abstractNum w:abstractNumId="317219">
    <w:lvl>
      <w:numFmt w:val="bullet"/>
      <w:suff w:val="tab"/>
      <w:lvlText w:val="￮"/>
      <w:rPr>
        <w:color w:val="3370ff"/>
      </w:rPr>
    </w:lvl>
  </w:abstractNum>
  <w:abstractNum w:abstractNumId="317220">
    <w:lvl>
      <w:numFmt w:val="bullet"/>
      <w:suff w:val="tab"/>
      <w:lvlText w:val="￮"/>
      <w:rPr>
        <w:color w:val="3370ff"/>
      </w:rPr>
    </w:lvl>
  </w:abstractNum>
  <w:abstractNum w:abstractNumId="317221">
    <w:lvl>
      <w:numFmt w:val="bullet"/>
      <w:suff w:val="tab"/>
      <w:lvlText w:val="￮"/>
      <w:rPr>
        <w:color w:val="3370ff"/>
      </w:rPr>
    </w:lvl>
  </w:abstractNum>
  <w:abstractNum w:abstractNumId="317222">
    <w:lvl>
      <w:start w:val="29"/>
      <w:numFmt w:val="decimal"/>
      <w:suff w:val="tab"/>
      <w:lvlText w:val="%1."/>
      <w:rPr>
        <w:color w:val="3370ff"/>
      </w:rPr>
    </w:lvl>
  </w:abstractNum>
  <w:abstractNum w:abstractNumId="317223">
    <w:lvl>
      <w:numFmt w:val="bullet"/>
      <w:suff w:val="tab"/>
      <w:lvlText w:val="￮"/>
      <w:rPr>
        <w:color w:val="3370ff"/>
      </w:rPr>
    </w:lvl>
  </w:abstractNum>
  <w:abstractNum w:abstractNumId="317224">
    <w:lvl>
      <w:numFmt w:val="bullet"/>
      <w:suff w:val="tab"/>
      <w:lvlText w:val="￮"/>
      <w:rPr>
        <w:color w:val="3370ff"/>
      </w:rPr>
    </w:lvl>
  </w:abstractNum>
  <w:abstractNum w:abstractNumId="317225">
    <w:lvl>
      <w:numFmt w:val="bullet"/>
      <w:suff w:val="tab"/>
      <w:lvlText w:val="￮"/>
      <w:rPr>
        <w:color w:val="3370ff"/>
      </w:rPr>
    </w:lvl>
  </w:abstractNum>
  <w:abstractNum w:abstractNumId="317226">
    <w:lvl>
      <w:numFmt w:val="bullet"/>
      <w:suff w:val="tab"/>
      <w:lvlText w:val="▪"/>
      <w:rPr>
        <w:color w:val="3370ff"/>
        <w:sz w:val="11"/>
      </w:rPr>
    </w:lvl>
  </w:abstractNum>
  <w:abstractNum w:abstractNumId="317227">
    <w:lvl>
      <w:numFmt w:val="bullet"/>
      <w:suff w:val="tab"/>
      <w:lvlText w:val="￮"/>
      <w:rPr>
        <w:color w:val="3370ff"/>
      </w:rPr>
    </w:lvl>
  </w:abstractNum>
  <w:abstractNum w:abstractNumId="317228">
    <w:lvl>
      <w:numFmt w:val="bullet"/>
      <w:suff w:val="tab"/>
      <w:lvlText w:val="￮"/>
      <w:rPr>
        <w:color w:val="3370ff"/>
      </w:rPr>
    </w:lvl>
  </w:abstractNum>
  <w:abstractNum w:abstractNumId="317229">
    <w:lvl>
      <w:numFmt w:val="bullet"/>
      <w:suff w:val="tab"/>
      <w:lvlText w:val="￮"/>
      <w:rPr>
        <w:color w:val="3370ff"/>
      </w:rPr>
    </w:lvl>
  </w:abstractNum>
  <w:abstractNum w:abstractNumId="317230">
    <w:lvl>
      <w:start w:val="30"/>
      <w:numFmt w:val="decimal"/>
      <w:suff w:val="tab"/>
      <w:lvlText w:val="%1."/>
      <w:rPr>
        <w:color w:val="3370ff"/>
      </w:rPr>
    </w:lvl>
  </w:abstractNum>
  <w:abstractNum w:abstractNumId="317231">
    <w:lvl>
      <w:numFmt w:val="bullet"/>
      <w:suff w:val="tab"/>
      <w:lvlText w:val="￮"/>
      <w:rPr>
        <w:color w:val="3370ff"/>
      </w:rPr>
    </w:lvl>
  </w:abstractNum>
  <w:abstractNum w:abstractNumId="317232">
    <w:lvl>
      <w:numFmt w:val="bullet"/>
      <w:suff w:val="tab"/>
      <w:lvlText w:val="￮"/>
      <w:rPr>
        <w:color w:val="3370ff"/>
      </w:rPr>
    </w:lvl>
  </w:abstractNum>
  <w:abstractNum w:abstractNumId="317233">
    <w:lvl>
      <w:numFmt w:val="bullet"/>
      <w:suff w:val="tab"/>
      <w:lvlText w:val="￮"/>
      <w:rPr>
        <w:color w:val="3370ff"/>
      </w:rPr>
    </w:lvl>
  </w:abstractNum>
  <w:abstractNum w:abstractNumId="317234">
    <w:lvl>
      <w:numFmt w:val="bullet"/>
      <w:suff w:val="tab"/>
      <w:lvlText w:val="▪"/>
      <w:rPr>
        <w:color w:val="3370ff"/>
        <w:sz w:val="11"/>
      </w:rPr>
    </w:lvl>
  </w:abstractNum>
  <w:abstractNum w:abstractNumId="317235">
    <w:lvl>
      <w:numFmt w:val="bullet"/>
      <w:suff w:val="tab"/>
      <w:lvlText w:val="￮"/>
      <w:rPr>
        <w:color w:val="3370ff"/>
      </w:rPr>
    </w:lvl>
  </w:abstractNum>
  <w:abstractNum w:abstractNumId="317236">
    <w:lvl>
      <w:numFmt w:val="bullet"/>
      <w:suff w:val="tab"/>
      <w:lvlText w:val="￮"/>
      <w:rPr>
        <w:color w:val="3370ff"/>
      </w:rPr>
    </w:lvl>
  </w:abstractNum>
  <w:abstractNum w:abstractNumId="317237">
    <w:lvl>
      <w:numFmt w:val="bullet"/>
      <w:suff w:val="tab"/>
      <w:lvlText w:val="￮"/>
      <w:rPr>
        <w:color w:val="3370ff"/>
      </w:rPr>
    </w:lvl>
  </w:abstractNum>
  <w:abstractNum w:abstractNumId="317238">
    <w:lvl>
      <w:start w:val="31"/>
      <w:numFmt w:val="decimal"/>
      <w:suff w:val="tab"/>
      <w:lvlText w:val="%1."/>
      <w:rPr>
        <w:color w:val="3370ff"/>
      </w:rPr>
    </w:lvl>
  </w:abstractNum>
  <w:abstractNum w:abstractNumId="317239">
    <w:lvl>
      <w:numFmt w:val="bullet"/>
      <w:suff w:val="tab"/>
      <w:lvlText w:val="￮"/>
      <w:rPr>
        <w:color w:val="3370ff"/>
      </w:rPr>
    </w:lvl>
  </w:abstractNum>
  <w:abstractNum w:abstractNumId="317240">
    <w:lvl>
      <w:numFmt w:val="bullet"/>
      <w:suff w:val="tab"/>
      <w:lvlText w:val="￮"/>
      <w:rPr>
        <w:color w:val="3370ff"/>
      </w:rPr>
    </w:lvl>
  </w:abstractNum>
  <w:abstractNum w:abstractNumId="317241">
    <w:lvl>
      <w:numFmt w:val="bullet"/>
      <w:suff w:val="tab"/>
      <w:lvlText w:val="￮"/>
      <w:rPr>
        <w:color w:val="3370ff"/>
      </w:rPr>
    </w:lvl>
  </w:abstractNum>
  <w:abstractNum w:abstractNumId="317242">
    <w:lvl>
      <w:numFmt w:val="bullet"/>
      <w:suff w:val="tab"/>
      <w:lvlText w:val="▪"/>
      <w:rPr>
        <w:color w:val="3370ff"/>
        <w:sz w:val="11"/>
      </w:rPr>
    </w:lvl>
  </w:abstractNum>
  <w:abstractNum w:abstractNumId="317243">
    <w:lvl>
      <w:numFmt w:val="bullet"/>
      <w:suff w:val="tab"/>
      <w:lvlText w:val="￮"/>
      <w:rPr>
        <w:color w:val="3370ff"/>
      </w:rPr>
    </w:lvl>
  </w:abstractNum>
  <w:abstractNum w:abstractNumId="317244">
    <w:lvl>
      <w:numFmt w:val="bullet"/>
      <w:suff w:val="tab"/>
      <w:lvlText w:val="￮"/>
      <w:rPr>
        <w:color w:val="3370ff"/>
      </w:rPr>
    </w:lvl>
  </w:abstractNum>
  <w:abstractNum w:abstractNumId="317245">
    <w:lvl>
      <w:numFmt w:val="bullet"/>
      <w:suff w:val="tab"/>
      <w:lvlText w:val="￮"/>
      <w:rPr>
        <w:color w:val="3370ff"/>
      </w:rPr>
    </w:lvl>
  </w:abstractNum>
  <w:abstractNum w:abstractNumId="317246">
    <w:lvl>
      <w:start w:val="32"/>
      <w:numFmt w:val="decimal"/>
      <w:suff w:val="tab"/>
      <w:lvlText w:val="%1."/>
      <w:rPr>
        <w:color w:val="3370ff"/>
      </w:rPr>
    </w:lvl>
  </w:abstractNum>
  <w:abstractNum w:abstractNumId="317247">
    <w:lvl>
      <w:numFmt w:val="bullet"/>
      <w:suff w:val="tab"/>
      <w:lvlText w:val="￮"/>
      <w:rPr>
        <w:color w:val="3370ff"/>
      </w:rPr>
    </w:lvl>
  </w:abstractNum>
  <w:abstractNum w:abstractNumId="317248">
    <w:lvl>
      <w:numFmt w:val="bullet"/>
      <w:suff w:val="tab"/>
      <w:lvlText w:val="￮"/>
      <w:rPr>
        <w:color w:val="3370ff"/>
      </w:rPr>
    </w:lvl>
  </w:abstractNum>
  <w:abstractNum w:abstractNumId="317249">
    <w:lvl>
      <w:numFmt w:val="bullet"/>
      <w:suff w:val="tab"/>
      <w:lvlText w:val="￮"/>
      <w:rPr>
        <w:color w:val="3370ff"/>
      </w:rPr>
    </w:lvl>
  </w:abstractNum>
  <w:abstractNum w:abstractNumId="317250">
    <w:lvl>
      <w:numFmt w:val="bullet"/>
      <w:suff w:val="tab"/>
      <w:lvlText w:val="▪"/>
      <w:rPr>
        <w:color w:val="3370ff"/>
        <w:sz w:val="11"/>
      </w:rPr>
    </w:lvl>
  </w:abstractNum>
  <w:abstractNum w:abstractNumId="317251">
    <w:lvl>
      <w:numFmt w:val="bullet"/>
      <w:suff w:val="tab"/>
      <w:lvlText w:val="￮"/>
      <w:rPr>
        <w:color w:val="3370ff"/>
      </w:rPr>
    </w:lvl>
  </w:abstractNum>
  <w:abstractNum w:abstractNumId="317252">
    <w:lvl>
      <w:numFmt w:val="bullet"/>
      <w:suff w:val="tab"/>
      <w:lvlText w:val="￮"/>
      <w:rPr>
        <w:color w:val="3370ff"/>
      </w:rPr>
    </w:lvl>
  </w:abstractNum>
  <w:abstractNum w:abstractNumId="317253">
    <w:lvl>
      <w:numFmt w:val="bullet"/>
      <w:suff w:val="tab"/>
      <w:lvlText w:val="￮"/>
      <w:rPr>
        <w:color w:val="3370ff"/>
      </w:rPr>
    </w:lvl>
  </w:abstractNum>
  <w:abstractNum w:abstractNumId="317254">
    <w:lvl>
      <w:start w:val="33"/>
      <w:numFmt w:val="decimal"/>
      <w:suff w:val="tab"/>
      <w:lvlText w:val="%1."/>
      <w:rPr>
        <w:color w:val="3370ff"/>
      </w:rPr>
    </w:lvl>
  </w:abstractNum>
  <w:abstractNum w:abstractNumId="317255">
    <w:lvl>
      <w:numFmt w:val="bullet"/>
      <w:suff w:val="tab"/>
      <w:lvlText w:val="￮"/>
      <w:rPr>
        <w:color w:val="3370ff"/>
      </w:rPr>
    </w:lvl>
  </w:abstractNum>
  <w:abstractNum w:abstractNumId="317256">
    <w:lvl>
      <w:numFmt w:val="bullet"/>
      <w:suff w:val="tab"/>
      <w:lvlText w:val="￮"/>
      <w:rPr>
        <w:color w:val="3370ff"/>
      </w:rPr>
    </w:lvl>
  </w:abstractNum>
  <w:abstractNum w:abstractNumId="317257">
    <w:lvl>
      <w:numFmt w:val="bullet"/>
      <w:suff w:val="tab"/>
      <w:lvlText w:val="￮"/>
      <w:rPr>
        <w:color w:val="3370ff"/>
      </w:rPr>
    </w:lvl>
  </w:abstractNum>
  <w:abstractNum w:abstractNumId="317258">
    <w:lvl>
      <w:numFmt w:val="bullet"/>
      <w:suff w:val="tab"/>
      <w:lvlText w:val="▪"/>
      <w:rPr>
        <w:color w:val="3370ff"/>
        <w:sz w:val="11"/>
      </w:rPr>
    </w:lvl>
  </w:abstractNum>
  <w:abstractNum w:abstractNumId="317259">
    <w:lvl>
      <w:numFmt w:val="bullet"/>
      <w:suff w:val="tab"/>
      <w:lvlText w:val="￮"/>
      <w:rPr>
        <w:color w:val="3370ff"/>
      </w:rPr>
    </w:lvl>
  </w:abstractNum>
  <w:abstractNum w:abstractNumId="317260">
    <w:lvl>
      <w:numFmt w:val="bullet"/>
      <w:suff w:val="tab"/>
      <w:lvlText w:val="￮"/>
      <w:rPr>
        <w:color w:val="3370ff"/>
      </w:rPr>
    </w:lvl>
  </w:abstractNum>
  <w:abstractNum w:abstractNumId="317261">
    <w:lvl>
      <w:numFmt w:val="bullet"/>
      <w:suff w:val="tab"/>
      <w:lvlText w:val="￮"/>
      <w:rPr>
        <w:color w:val="3370ff"/>
      </w:rPr>
    </w:lvl>
  </w:abstractNum>
  <w:abstractNum w:abstractNumId="317262">
    <w:lvl>
      <w:start w:val="34"/>
      <w:numFmt w:val="decimal"/>
      <w:suff w:val="tab"/>
      <w:lvlText w:val="%1."/>
      <w:rPr>
        <w:color w:val="3370ff"/>
      </w:rPr>
    </w:lvl>
  </w:abstractNum>
  <w:abstractNum w:abstractNumId="317263">
    <w:lvl>
      <w:numFmt w:val="bullet"/>
      <w:suff w:val="tab"/>
      <w:lvlText w:val="￮"/>
      <w:rPr>
        <w:color w:val="3370ff"/>
      </w:rPr>
    </w:lvl>
  </w:abstractNum>
  <w:abstractNum w:abstractNumId="317264">
    <w:lvl>
      <w:numFmt w:val="bullet"/>
      <w:suff w:val="tab"/>
      <w:lvlText w:val="￮"/>
      <w:rPr>
        <w:color w:val="3370ff"/>
      </w:rPr>
    </w:lvl>
  </w:abstractNum>
  <w:abstractNum w:abstractNumId="317265">
    <w:lvl>
      <w:numFmt w:val="bullet"/>
      <w:suff w:val="tab"/>
      <w:lvlText w:val="￮"/>
      <w:rPr>
        <w:color w:val="3370ff"/>
      </w:rPr>
    </w:lvl>
  </w:abstractNum>
  <w:abstractNum w:abstractNumId="317266">
    <w:lvl>
      <w:numFmt w:val="bullet"/>
      <w:suff w:val="tab"/>
      <w:lvlText w:val="▪"/>
      <w:rPr>
        <w:color w:val="3370ff"/>
        <w:sz w:val="11"/>
      </w:rPr>
    </w:lvl>
  </w:abstractNum>
  <w:abstractNum w:abstractNumId="317267">
    <w:lvl>
      <w:numFmt w:val="bullet"/>
      <w:suff w:val="tab"/>
      <w:lvlText w:val="￮"/>
      <w:rPr>
        <w:color w:val="3370ff"/>
      </w:rPr>
    </w:lvl>
  </w:abstractNum>
  <w:abstractNum w:abstractNumId="317268">
    <w:lvl>
      <w:numFmt w:val="bullet"/>
      <w:suff w:val="tab"/>
      <w:lvlText w:val="￮"/>
      <w:rPr>
        <w:color w:val="3370ff"/>
      </w:rPr>
    </w:lvl>
  </w:abstractNum>
  <w:abstractNum w:abstractNumId="317269">
    <w:lvl>
      <w:numFmt w:val="bullet"/>
      <w:suff w:val="tab"/>
      <w:lvlText w:val="￮"/>
      <w:rPr>
        <w:color w:val="3370ff"/>
      </w:rPr>
    </w:lvl>
  </w:abstractNum>
  <w:num w:numId="1">
    <w:abstractNumId w:val="316977"/>
  </w:num>
  <w:num w:numId="2">
    <w:abstractNumId w:val="316978"/>
  </w:num>
  <w:num w:numId="3">
    <w:abstractNumId w:val="316979"/>
  </w:num>
  <w:num w:numId="4">
    <w:abstractNumId w:val="316980"/>
  </w:num>
  <w:num w:numId="5">
    <w:abstractNumId w:val="316981"/>
  </w:num>
  <w:num w:numId="6">
    <w:abstractNumId w:val="316982"/>
  </w:num>
  <w:num w:numId="7">
    <w:abstractNumId w:val="316983"/>
  </w:num>
  <w:num w:numId="8">
    <w:abstractNumId w:val="316984"/>
  </w:num>
  <w:num w:numId="9">
    <w:abstractNumId w:val="316985"/>
  </w:num>
  <w:num w:numId="10">
    <w:abstractNumId w:val="316986"/>
  </w:num>
  <w:num w:numId="11">
    <w:abstractNumId w:val="316987"/>
  </w:num>
  <w:num w:numId="12">
    <w:abstractNumId w:val="316988"/>
  </w:num>
  <w:num w:numId="13">
    <w:abstractNumId w:val="316989"/>
  </w:num>
  <w:num w:numId="14">
    <w:abstractNumId w:val="316990"/>
  </w:num>
  <w:num w:numId="15">
    <w:abstractNumId w:val="316991"/>
  </w:num>
  <w:num w:numId="16">
    <w:abstractNumId w:val="316992"/>
  </w:num>
  <w:num w:numId="17">
    <w:abstractNumId w:val="316993"/>
  </w:num>
  <w:num w:numId="18">
    <w:abstractNumId w:val="316994"/>
  </w:num>
  <w:num w:numId="19">
    <w:abstractNumId w:val="316995"/>
  </w:num>
  <w:num w:numId="20">
    <w:abstractNumId w:val="316996"/>
  </w:num>
  <w:num w:numId="21">
    <w:abstractNumId w:val="316997"/>
  </w:num>
  <w:num w:numId="22">
    <w:abstractNumId w:val="316998"/>
  </w:num>
  <w:num w:numId="23">
    <w:abstractNumId w:val="316999"/>
  </w:num>
  <w:num w:numId="24">
    <w:abstractNumId w:val="317000"/>
  </w:num>
  <w:num w:numId="25">
    <w:abstractNumId w:val="317001"/>
  </w:num>
  <w:num w:numId="26">
    <w:abstractNumId w:val="317002"/>
  </w:num>
  <w:num w:numId="27">
    <w:abstractNumId w:val="317003"/>
  </w:num>
  <w:num w:numId="28">
    <w:abstractNumId w:val="317004"/>
  </w:num>
  <w:num w:numId="29">
    <w:abstractNumId w:val="317005"/>
  </w:num>
  <w:num w:numId="30">
    <w:abstractNumId w:val="317006"/>
  </w:num>
  <w:num w:numId="31">
    <w:abstractNumId w:val="317007"/>
  </w:num>
  <w:num w:numId="32">
    <w:abstractNumId w:val="317008"/>
  </w:num>
  <w:num w:numId="33">
    <w:abstractNumId w:val="317009"/>
  </w:num>
  <w:num w:numId="34">
    <w:abstractNumId w:val="317010"/>
  </w:num>
  <w:num w:numId="35">
    <w:abstractNumId w:val="317011"/>
  </w:num>
  <w:num w:numId="36">
    <w:abstractNumId w:val="317012"/>
  </w:num>
  <w:num w:numId="37">
    <w:abstractNumId w:val="317013"/>
  </w:num>
  <w:num w:numId="38">
    <w:abstractNumId w:val="317014"/>
  </w:num>
  <w:num w:numId="39">
    <w:abstractNumId w:val="317015"/>
  </w:num>
  <w:num w:numId="40">
    <w:abstractNumId w:val="317016"/>
  </w:num>
  <w:num w:numId="41">
    <w:abstractNumId w:val="317017"/>
  </w:num>
  <w:num w:numId="42">
    <w:abstractNumId w:val="317018"/>
  </w:num>
  <w:num w:numId="43">
    <w:abstractNumId w:val="317019"/>
  </w:num>
  <w:num w:numId="44">
    <w:abstractNumId w:val="317020"/>
  </w:num>
  <w:num w:numId="45">
    <w:abstractNumId w:val="317021"/>
  </w:num>
  <w:num w:numId="46">
    <w:abstractNumId w:val="317022"/>
  </w:num>
  <w:num w:numId="47">
    <w:abstractNumId w:val="317023"/>
  </w:num>
  <w:num w:numId="48">
    <w:abstractNumId w:val="317024"/>
  </w:num>
  <w:num w:numId="49">
    <w:abstractNumId w:val="317025"/>
  </w:num>
  <w:num w:numId="50">
    <w:abstractNumId w:val="317026"/>
  </w:num>
  <w:num w:numId="51">
    <w:abstractNumId w:val="317027"/>
  </w:num>
  <w:num w:numId="52">
    <w:abstractNumId w:val="317028"/>
  </w:num>
  <w:num w:numId="53">
    <w:abstractNumId w:val="317029"/>
  </w:num>
  <w:num w:numId="54">
    <w:abstractNumId w:val="317030"/>
  </w:num>
  <w:num w:numId="55">
    <w:abstractNumId w:val="317031"/>
  </w:num>
  <w:num w:numId="56">
    <w:abstractNumId w:val="317032"/>
  </w:num>
  <w:num w:numId="57">
    <w:abstractNumId w:val="317033"/>
  </w:num>
  <w:num w:numId="58">
    <w:abstractNumId w:val="317034"/>
  </w:num>
  <w:num w:numId="59">
    <w:abstractNumId w:val="317035"/>
  </w:num>
  <w:num w:numId="60">
    <w:abstractNumId w:val="317036"/>
  </w:num>
  <w:num w:numId="61">
    <w:abstractNumId w:val="317037"/>
  </w:num>
  <w:num w:numId="62">
    <w:abstractNumId w:val="317038"/>
  </w:num>
  <w:num w:numId="63">
    <w:abstractNumId w:val="317039"/>
  </w:num>
  <w:num w:numId="64">
    <w:abstractNumId w:val="317040"/>
  </w:num>
  <w:num w:numId="65">
    <w:abstractNumId w:val="317041"/>
  </w:num>
  <w:num w:numId="66">
    <w:abstractNumId w:val="317042"/>
  </w:num>
  <w:num w:numId="67">
    <w:abstractNumId w:val="317043"/>
  </w:num>
  <w:num w:numId="68">
    <w:abstractNumId w:val="317044"/>
  </w:num>
  <w:num w:numId="69">
    <w:abstractNumId w:val="317045"/>
  </w:num>
  <w:num w:numId="70">
    <w:abstractNumId w:val="317046"/>
  </w:num>
  <w:num w:numId="71">
    <w:abstractNumId w:val="317047"/>
  </w:num>
  <w:num w:numId="72">
    <w:abstractNumId w:val="317048"/>
  </w:num>
  <w:num w:numId="73">
    <w:abstractNumId w:val="317049"/>
  </w:num>
  <w:num w:numId="74">
    <w:abstractNumId w:val="317050"/>
  </w:num>
  <w:num w:numId="75">
    <w:abstractNumId w:val="317051"/>
  </w:num>
  <w:num w:numId="76">
    <w:abstractNumId w:val="317052"/>
  </w:num>
  <w:num w:numId="77">
    <w:abstractNumId w:val="317053"/>
  </w:num>
  <w:num w:numId="78">
    <w:abstractNumId w:val="317054"/>
  </w:num>
  <w:num w:numId="79">
    <w:abstractNumId w:val="317055"/>
  </w:num>
  <w:num w:numId="80">
    <w:abstractNumId w:val="317056"/>
  </w:num>
  <w:num w:numId="81">
    <w:abstractNumId w:val="317057"/>
  </w:num>
  <w:num w:numId="82">
    <w:abstractNumId w:val="317058"/>
  </w:num>
  <w:num w:numId="83">
    <w:abstractNumId w:val="317059"/>
  </w:num>
  <w:num w:numId="84">
    <w:abstractNumId w:val="317060"/>
  </w:num>
  <w:num w:numId="85">
    <w:abstractNumId w:val="317061"/>
  </w:num>
  <w:num w:numId="86">
    <w:abstractNumId w:val="317062"/>
  </w:num>
  <w:num w:numId="87">
    <w:abstractNumId w:val="317063"/>
  </w:num>
  <w:num w:numId="88">
    <w:abstractNumId w:val="317064"/>
  </w:num>
  <w:num w:numId="89">
    <w:abstractNumId w:val="317065"/>
  </w:num>
  <w:num w:numId="90">
    <w:abstractNumId w:val="317066"/>
  </w:num>
  <w:num w:numId="91">
    <w:abstractNumId w:val="317067"/>
  </w:num>
  <w:num w:numId="92">
    <w:abstractNumId w:val="317068"/>
  </w:num>
  <w:num w:numId="93">
    <w:abstractNumId w:val="317069"/>
  </w:num>
  <w:num w:numId="94">
    <w:abstractNumId w:val="317070"/>
  </w:num>
  <w:num w:numId="95">
    <w:abstractNumId w:val="317071"/>
  </w:num>
  <w:num w:numId="96">
    <w:abstractNumId w:val="317072"/>
  </w:num>
  <w:num w:numId="97">
    <w:abstractNumId w:val="317073"/>
  </w:num>
  <w:num w:numId="98">
    <w:abstractNumId w:val="317074"/>
  </w:num>
  <w:num w:numId="99">
    <w:abstractNumId w:val="317075"/>
  </w:num>
  <w:num w:numId="100">
    <w:abstractNumId w:val="317076"/>
  </w:num>
  <w:num w:numId="101">
    <w:abstractNumId w:val="317077"/>
  </w:num>
  <w:num w:numId="102">
    <w:abstractNumId w:val="317078"/>
  </w:num>
  <w:num w:numId="103">
    <w:abstractNumId w:val="317079"/>
  </w:num>
  <w:num w:numId="104">
    <w:abstractNumId w:val="317080"/>
  </w:num>
  <w:num w:numId="105">
    <w:abstractNumId w:val="317081"/>
  </w:num>
  <w:num w:numId="106">
    <w:abstractNumId w:val="317082"/>
  </w:num>
  <w:num w:numId="107">
    <w:abstractNumId w:val="317083"/>
  </w:num>
  <w:num w:numId="108">
    <w:abstractNumId w:val="317084"/>
  </w:num>
  <w:num w:numId="109">
    <w:abstractNumId w:val="317085"/>
  </w:num>
  <w:num w:numId="110">
    <w:abstractNumId w:val="317086"/>
  </w:num>
  <w:num w:numId="111">
    <w:abstractNumId w:val="317087"/>
  </w:num>
  <w:num w:numId="112">
    <w:abstractNumId w:val="317088"/>
  </w:num>
  <w:num w:numId="113">
    <w:abstractNumId w:val="317089"/>
  </w:num>
  <w:num w:numId="114">
    <w:abstractNumId w:val="317090"/>
  </w:num>
  <w:num w:numId="115">
    <w:abstractNumId w:val="317091"/>
  </w:num>
  <w:num w:numId="116">
    <w:abstractNumId w:val="317092"/>
  </w:num>
  <w:num w:numId="117">
    <w:abstractNumId w:val="317093"/>
  </w:num>
  <w:num w:numId="118">
    <w:abstractNumId w:val="317094"/>
  </w:num>
  <w:num w:numId="119">
    <w:abstractNumId w:val="317095"/>
  </w:num>
  <w:num w:numId="120">
    <w:abstractNumId w:val="317096"/>
  </w:num>
  <w:num w:numId="121">
    <w:abstractNumId w:val="317097"/>
  </w:num>
  <w:num w:numId="122">
    <w:abstractNumId w:val="317098"/>
  </w:num>
  <w:num w:numId="123">
    <w:abstractNumId w:val="317099"/>
  </w:num>
  <w:num w:numId="124">
    <w:abstractNumId w:val="317100"/>
  </w:num>
  <w:num w:numId="125">
    <w:abstractNumId w:val="317101"/>
  </w:num>
  <w:num w:numId="126">
    <w:abstractNumId w:val="317102"/>
  </w:num>
  <w:num w:numId="127">
    <w:abstractNumId w:val="317103"/>
  </w:num>
  <w:num w:numId="128">
    <w:abstractNumId w:val="317104"/>
  </w:num>
  <w:num w:numId="129">
    <w:abstractNumId w:val="317105"/>
  </w:num>
  <w:num w:numId="130">
    <w:abstractNumId w:val="317106"/>
  </w:num>
  <w:num w:numId="131">
    <w:abstractNumId w:val="317107"/>
  </w:num>
  <w:num w:numId="132">
    <w:abstractNumId w:val="317108"/>
  </w:num>
  <w:num w:numId="133">
    <w:abstractNumId w:val="317109"/>
  </w:num>
  <w:num w:numId="134">
    <w:abstractNumId w:val="317110"/>
  </w:num>
  <w:num w:numId="135">
    <w:abstractNumId w:val="317111"/>
  </w:num>
  <w:num w:numId="136">
    <w:abstractNumId w:val="317112"/>
  </w:num>
  <w:num w:numId="137">
    <w:abstractNumId w:val="317113"/>
  </w:num>
  <w:num w:numId="138">
    <w:abstractNumId w:val="317114"/>
  </w:num>
  <w:num w:numId="139">
    <w:abstractNumId w:val="317115"/>
  </w:num>
  <w:num w:numId="140">
    <w:abstractNumId w:val="317116"/>
  </w:num>
  <w:num w:numId="141">
    <w:abstractNumId w:val="317117"/>
  </w:num>
  <w:num w:numId="142">
    <w:abstractNumId w:val="317118"/>
  </w:num>
  <w:num w:numId="143">
    <w:abstractNumId w:val="317119"/>
  </w:num>
  <w:num w:numId="144">
    <w:abstractNumId w:val="317120"/>
  </w:num>
  <w:num w:numId="145">
    <w:abstractNumId w:val="317121"/>
  </w:num>
  <w:num w:numId="146">
    <w:abstractNumId w:val="317122"/>
  </w:num>
  <w:num w:numId="147">
    <w:abstractNumId w:val="317123"/>
  </w:num>
  <w:num w:numId="148">
    <w:abstractNumId w:val="317124"/>
  </w:num>
  <w:num w:numId="149">
    <w:abstractNumId w:val="317125"/>
  </w:num>
  <w:num w:numId="150">
    <w:abstractNumId w:val="317126"/>
  </w:num>
  <w:num w:numId="151">
    <w:abstractNumId w:val="317127"/>
  </w:num>
  <w:num w:numId="152">
    <w:abstractNumId w:val="317128"/>
  </w:num>
  <w:num w:numId="153">
    <w:abstractNumId w:val="317129"/>
  </w:num>
  <w:num w:numId="154">
    <w:abstractNumId w:val="317130"/>
  </w:num>
  <w:num w:numId="155">
    <w:abstractNumId w:val="317131"/>
  </w:num>
  <w:num w:numId="156">
    <w:abstractNumId w:val="317132"/>
  </w:num>
  <w:num w:numId="157">
    <w:abstractNumId w:val="317133"/>
  </w:num>
  <w:num w:numId="158">
    <w:abstractNumId w:val="317134"/>
  </w:num>
  <w:num w:numId="159">
    <w:abstractNumId w:val="317135"/>
  </w:num>
  <w:num w:numId="160">
    <w:abstractNumId w:val="317136"/>
  </w:num>
  <w:num w:numId="161">
    <w:abstractNumId w:val="317137"/>
  </w:num>
  <w:num w:numId="162">
    <w:abstractNumId w:val="317138"/>
  </w:num>
  <w:num w:numId="163">
    <w:abstractNumId w:val="317139"/>
  </w:num>
  <w:num w:numId="164">
    <w:abstractNumId w:val="317140"/>
  </w:num>
  <w:num w:numId="165">
    <w:abstractNumId w:val="317141"/>
  </w:num>
  <w:num w:numId="166">
    <w:abstractNumId w:val="317142"/>
  </w:num>
  <w:num w:numId="167">
    <w:abstractNumId w:val="317143"/>
  </w:num>
  <w:num w:numId="168">
    <w:abstractNumId w:val="317144"/>
  </w:num>
  <w:num w:numId="169">
    <w:abstractNumId w:val="317145"/>
  </w:num>
  <w:num w:numId="170">
    <w:abstractNumId w:val="317146"/>
  </w:num>
  <w:num w:numId="171">
    <w:abstractNumId w:val="317147"/>
  </w:num>
  <w:num w:numId="172">
    <w:abstractNumId w:val="317148"/>
  </w:num>
  <w:num w:numId="173">
    <w:abstractNumId w:val="317149"/>
  </w:num>
  <w:num w:numId="174">
    <w:abstractNumId w:val="317150"/>
  </w:num>
  <w:num w:numId="175">
    <w:abstractNumId w:val="317151"/>
  </w:num>
  <w:num w:numId="176">
    <w:abstractNumId w:val="317152"/>
  </w:num>
  <w:num w:numId="177">
    <w:abstractNumId w:val="317153"/>
  </w:num>
  <w:num w:numId="178">
    <w:abstractNumId w:val="317154"/>
  </w:num>
  <w:num w:numId="179">
    <w:abstractNumId w:val="317155"/>
  </w:num>
  <w:num w:numId="180">
    <w:abstractNumId w:val="317156"/>
  </w:num>
  <w:num w:numId="181">
    <w:abstractNumId w:val="317157"/>
  </w:num>
  <w:num w:numId="182">
    <w:abstractNumId w:val="317158"/>
  </w:num>
  <w:num w:numId="183">
    <w:abstractNumId w:val="317159"/>
  </w:num>
  <w:num w:numId="184">
    <w:abstractNumId w:val="317160"/>
  </w:num>
  <w:num w:numId="185">
    <w:abstractNumId w:val="317161"/>
  </w:num>
  <w:num w:numId="186">
    <w:abstractNumId w:val="317162"/>
  </w:num>
  <w:num w:numId="187">
    <w:abstractNumId w:val="317163"/>
  </w:num>
  <w:num w:numId="188">
    <w:abstractNumId w:val="317164"/>
  </w:num>
  <w:num w:numId="189">
    <w:abstractNumId w:val="317165"/>
  </w:num>
  <w:num w:numId="190">
    <w:abstractNumId w:val="317166"/>
  </w:num>
  <w:num w:numId="191">
    <w:abstractNumId w:val="317167"/>
  </w:num>
  <w:num w:numId="192">
    <w:abstractNumId w:val="317168"/>
  </w:num>
  <w:num w:numId="193">
    <w:abstractNumId w:val="317169"/>
  </w:num>
  <w:num w:numId="194">
    <w:abstractNumId w:val="317170"/>
  </w:num>
  <w:num w:numId="195">
    <w:abstractNumId w:val="317171"/>
  </w:num>
  <w:num w:numId="196">
    <w:abstractNumId w:val="317172"/>
  </w:num>
  <w:num w:numId="197">
    <w:abstractNumId w:val="317173"/>
  </w:num>
  <w:num w:numId="198">
    <w:abstractNumId w:val="317174"/>
  </w:num>
  <w:num w:numId="199">
    <w:abstractNumId w:val="317175"/>
  </w:num>
  <w:num w:numId="200">
    <w:abstractNumId w:val="317176"/>
  </w:num>
  <w:num w:numId="201">
    <w:abstractNumId w:val="317177"/>
  </w:num>
  <w:num w:numId="202">
    <w:abstractNumId w:val="317178"/>
  </w:num>
  <w:num w:numId="203">
    <w:abstractNumId w:val="317179"/>
  </w:num>
  <w:num w:numId="204">
    <w:abstractNumId w:val="317180"/>
  </w:num>
  <w:num w:numId="205">
    <w:abstractNumId w:val="317181"/>
  </w:num>
  <w:num w:numId="206">
    <w:abstractNumId w:val="317182"/>
  </w:num>
  <w:num w:numId="207">
    <w:abstractNumId w:val="317183"/>
  </w:num>
  <w:num w:numId="208">
    <w:abstractNumId w:val="317184"/>
  </w:num>
  <w:num w:numId="209">
    <w:abstractNumId w:val="317185"/>
  </w:num>
  <w:num w:numId="210">
    <w:abstractNumId w:val="317186"/>
  </w:num>
  <w:num w:numId="211">
    <w:abstractNumId w:val="317187"/>
  </w:num>
  <w:num w:numId="212">
    <w:abstractNumId w:val="317188"/>
  </w:num>
  <w:num w:numId="213">
    <w:abstractNumId w:val="317189"/>
  </w:num>
  <w:num w:numId="214">
    <w:abstractNumId w:val="317190"/>
  </w:num>
  <w:num w:numId="215">
    <w:abstractNumId w:val="317191"/>
  </w:num>
  <w:num w:numId="216">
    <w:abstractNumId w:val="317192"/>
  </w:num>
  <w:num w:numId="217">
    <w:abstractNumId w:val="317193"/>
  </w:num>
  <w:num w:numId="218">
    <w:abstractNumId w:val="317194"/>
  </w:num>
  <w:num w:numId="219">
    <w:abstractNumId w:val="317195"/>
  </w:num>
  <w:num w:numId="220">
    <w:abstractNumId w:val="317196"/>
  </w:num>
  <w:num w:numId="221">
    <w:abstractNumId w:val="317197"/>
  </w:num>
  <w:num w:numId="222">
    <w:abstractNumId w:val="317198"/>
  </w:num>
  <w:num w:numId="223">
    <w:abstractNumId w:val="317199"/>
  </w:num>
  <w:num w:numId="224">
    <w:abstractNumId w:val="317200"/>
  </w:num>
  <w:num w:numId="225">
    <w:abstractNumId w:val="317201"/>
  </w:num>
  <w:num w:numId="226">
    <w:abstractNumId w:val="317202"/>
  </w:num>
  <w:num w:numId="227">
    <w:abstractNumId w:val="317203"/>
  </w:num>
  <w:num w:numId="228">
    <w:abstractNumId w:val="317204"/>
  </w:num>
  <w:num w:numId="229">
    <w:abstractNumId w:val="317205"/>
  </w:num>
  <w:num w:numId="230">
    <w:abstractNumId w:val="317206"/>
  </w:num>
  <w:num w:numId="231">
    <w:abstractNumId w:val="317207"/>
  </w:num>
  <w:num w:numId="232">
    <w:abstractNumId w:val="317208"/>
  </w:num>
  <w:num w:numId="233">
    <w:abstractNumId w:val="317209"/>
  </w:num>
  <w:num w:numId="234">
    <w:abstractNumId w:val="317210"/>
  </w:num>
  <w:num w:numId="235">
    <w:abstractNumId w:val="317211"/>
  </w:num>
  <w:num w:numId="236">
    <w:abstractNumId w:val="317212"/>
  </w:num>
  <w:num w:numId="237">
    <w:abstractNumId w:val="317213"/>
  </w:num>
  <w:num w:numId="238">
    <w:abstractNumId w:val="317214"/>
  </w:num>
  <w:num w:numId="239">
    <w:abstractNumId w:val="317215"/>
  </w:num>
  <w:num w:numId="240">
    <w:abstractNumId w:val="317216"/>
  </w:num>
  <w:num w:numId="241">
    <w:abstractNumId w:val="317217"/>
  </w:num>
  <w:num w:numId="242">
    <w:abstractNumId w:val="317218"/>
  </w:num>
  <w:num w:numId="243">
    <w:abstractNumId w:val="317219"/>
  </w:num>
  <w:num w:numId="244">
    <w:abstractNumId w:val="317220"/>
  </w:num>
  <w:num w:numId="245">
    <w:abstractNumId w:val="317221"/>
  </w:num>
  <w:num w:numId="246">
    <w:abstractNumId w:val="317222"/>
  </w:num>
  <w:num w:numId="247">
    <w:abstractNumId w:val="317223"/>
  </w:num>
  <w:num w:numId="248">
    <w:abstractNumId w:val="317224"/>
  </w:num>
  <w:num w:numId="249">
    <w:abstractNumId w:val="317225"/>
  </w:num>
  <w:num w:numId="250">
    <w:abstractNumId w:val="317226"/>
  </w:num>
  <w:num w:numId="251">
    <w:abstractNumId w:val="317227"/>
  </w:num>
  <w:num w:numId="252">
    <w:abstractNumId w:val="317228"/>
  </w:num>
  <w:num w:numId="253">
    <w:abstractNumId w:val="317229"/>
  </w:num>
  <w:num w:numId="254">
    <w:abstractNumId w:val="317230"/>
  </w:num>
  <w:num w:numId="255">
    <w:abstractNumId w:val="317231"/>
  </w:num>
  <w:num w:numId="256">
    <w:abstractNumId w:val="317232"/>
  </w:num>
  <w:num w:numId="257">
    <w:abstractNumId w:val="317233"/>
  </w:num>
  <w:num w:numId="258">
    <w:abstractNumId w:val="317234"/>
  </w:num>
  <w:num w:numId="259">
    <w:abstractNumId w:val="317235"/>
  </w:num>
  <w:num w:numId="260">
    <w:abstractNumId w:val="317236"/>
  </w:num>
  <w:num w:numId="261">
    <w:abstractNumId w:val="317237"/>
  </w:num>
  <w:num w:numId="262">
    <w:abstractNumId w:val="317238"/>
  </w:num>
  <w:num w:numId="263">
    <w:abstractNumId w:val="317239"/>
  </w:num>
  <w:num w:numId="264">
    <w:abstractNumId w:val="317240"/>
  </w:num>
  <w:num w:numId="265">
    <w:abstractNumId w:val="317241"/>
  </w:num>
  <w:num w:numId="266">
    <w:abstractNumId w:val="317242"/>
  </w:num>
  <w:num w:numId="267">
    <w:abstractNumId w:val="317243"/>
  </w:num>
  <w:num w:numId="268">
    <w:abstractNumId w:val="317244"/>
  </w:num>
  <w:num w:numId="269">
    <w:abstractNumId w:val="317245"/>
  </w:num>
  <w:num w:numId="270">
    <w:abstractNumId w:val="317246"/>
  </w:num>
  <w:num w:numId="271">
    <w:abstractNumId w:val="317247"/>
  </w:num>
  <w:num w:numId="272">
    <w:abstractNumId w:val="317248"/>
  </w:num>
  <w:num w:numId="273">
    <w:abstractNumId w:val="317249"/>
  </w:num>
  <w:num w:numId="274">
    <w:abstractNumId w:val="317250"/>
  </w:num>
  <w:num w:numId="275">
    <w:abstractNumId w:val="317251"/>
  </w:num>
  <w:num w:numId="276">
    <w:abstractNumId w:val="317252"/>
  </w:num>
  <w:num w:numId="277">
    <w:abstractNumId w:val="317253"/>
  </w:num>
  <w:num w:numId="278">
    <w:abstractNumId w:val="317254"/>
  </w:num>
  <w:num w:numId="279">
    <w:abstractNumId w:val="317255"/>
  </w:num>
  <w:num w:numId="280">
    <w:abstractNumId w:val="317256"/>
  </w:num>
  <w:num w:numId="281">
    <w:abstractNumId w:val="317257"/>
  </w:num>
  <w:num w:numId="282">
    <w:abstractNumId w:val="317258"/>
  </w:num>
  <w:num w:numId="283">
    <w:abstractNumId w:val="317259"/>
  </w:num>
  <w:num w:numId="284">
    <w:abstractNumId w:val="317260"/>
  </w:num>
  <w:num w:numId="285">
    <w:abstractNumId w:val="317261"/>
  </w:num>
  <w:num w:numId="286">
    <w:abstractNumId w:val="317262"/>
  </w:num>
  <w:num w:numId="287">
    <w:abstractNumId w:val="317263"/>
  </w:num>
  <w:num w:numId="288">
    <w:abstractNumId w:val="317264"/>
  </w:num>
  <w:num w:numId="289">
    <w:abstractNumId w:val="317265"/>
  </w:num>
  <w:num w:numId="290">
    <w:abstractNumId w:val="317266"/>
  </w:num>
  <w:num w:numId="291">
    <w:abstractNumId w:val="317267"/>
  </w:num>
  <w:num w:numId="292">
    <w:abstractNumId w:val="317268"/>
  </w:num>
  <w:num w:numId="293">
    <w:abstractNumId w:val="3172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ttps://www.christenseninstitute.org/theory/disruptive-innovation/" TargetMode="External" Type="http://schemas.openxmlformats.org/officeDocument/2006/relationships/hyperlink"/><Relationship Id="rId15" Target="https://www.jucm.com/wp-content/uploads/2020/12/2006-11-27-33-Practice-Mgmt.pdf" TargetMode="External" Type="http://schemas.openxmlformats.org/officeDocument/2006/relationships/hyperlink"/><Relationship Id="rId16" Target="https://www.managedhealthcareexecutive.com/view/how-retail-medicine-lost-its-way" TargetMode="External" Type="http://schemas.openxmlformats.org/officeDocument/2006/relationships/hyperlink"/><Relationship Id="rId17" Target="embeddings/Microsoft_Excel_Worksheet1.xlsx" Type="http://schemas.openxmlformats.org/officeDocument/2006/relationships/package"/><Relationship Id="rId18" Target="media/image10.png" Type="http://schemas.openxmlformats.org/officeDocument/2006/relationships/image"/><Relationship Id="rId19" Target="https://s206.q4cdn.com/752775519/files/doc_financials/2006/ar/cvs-ar-2006.pdf" TargetMode="External" Type="http://schemas.openxmlformats.org/officeDocument/2006/relationships/hyperlink"/><Relationship Id="rId2" Target="styles.xml" Type="http://schemas.openxmlformats.org/officeDocument/2006/relationships/styles"/><Relationship Id="rId20" Target="https://s206.q4cdn.com/752775519/files/doc_financials/2006/ar/cvs-ar-2006.pdf" TargetMode="External" Type="http://schemas.openxmlformats.org/officeDocument/2006/relationships/hyperlink"/><Relationship Id="rId21" Target="https://www.cvshealth.com/content/dam/enterprise/cvs-enterprise/pdfs/2009-csr-report.pdf" TargetMode="External" Type="http://schemas.openxmlformats.org/officeDocument/2006/relationships/hyperlink"/><Relationship Id="rId22" Target="https://www.cvshealth.com/content/dam/enterprise/cvs-enterprise/pdfs/2009-csr-report.pdf" TargetMode="External" Type="http://schemas.openxmlformats.org/officeDocument/2006/relationships/hyperlink"/><Relationship Id="rId23" Target="https://www.cvshealth.com/about/our-strategy/company-history.html" TargetMode="External" Type="http://schemas.openxmlformats.org/officeDocument/2006/relationships/hyperlink"/><Relationship Id="rId24" Target="https://www.cvshealth.com/about/our-strategy/company-history.html" TargetMode="External" Type="http://schemas.openxmlformats.org/officeDocument/2006/relationships/hyperlink"/><Relationship Id="rId25" Target="https://www.cvshealth.com/news/community/cvs-health-expands-access-to-primary-care-services-at-select-minuteclinic-locations.html" TargetMode="External" Type="http://schemas.openxmlformats.org/officeDocument/2006/relationships/hyperlink"/><Relationship Id="rId26" Target="https://www.cvshealth.com/news/community/cvs-health-expands-access-to-primary-care-services-at-select-minuteclinic-locations.html" TargetMode="External" Type="http://schemas.openxmlformats.org/officeDocument/2006/relationships/hyperlink"/><Relationship Id="rId27" Target="embeddings/Microsoft_Excel_Worksheet2.xlsx" Type="http://schemas.openxmlformats.org/officeDocument/2006/relationships/package"/><Relationship Id="rId28" Target="media/image11.png" Type="http://schemas.openxmlformats.org/officeDocument/2006/relationships/image"/><Relationship Id="rId29" Target="https://s206.q4cdn.com/752775519/files/doc_financials/2006/ar/cvs-ar-2006.pdf" TargetMode="External" Type="http://schemas.openxmlformats.org/officeDocument/2006/relationships/hyperlink"/><Relationship Id="rId3" Target="footer1.xml" Type="http://schemas.openxmlformats.org/officeDocument/2006/relationships/footer"/><Relationship Id="rId30" Target="https://s206.q4cdn.com/752775519/files/doc_financials/2006/ar/cvs-ar-2006.pdf" TargetMode="External" Type="http://schemas.openxmlformats.org/officeDocument/2006/relationships/hyperlink"/><Relationship Id="rId31" Target="media/image12.png" Type="http://schemas.openxmlformats.org/officeDocument/2006/relationships/image"/><Relationship Id="rId32" Target="media/image13.png" Type="http://schemas.openxmlformats.org/officeDocument/2006/relationships/image"/><Relationship Id="rId33" Target="media/image14.png" Type="http://schemas.openxmlformats.org/officeDocument/2006/relationships/image"/><Relationship Id="rId34" Target="media/image15.png" Type="http://schemas.openxmlformats.org/officeDocument/2006/relationships/image"/><Relationship Id="rId35" Target="media/image16.png" Type="http://schemas.openxmlformats.org/officeDocument/2006/relationships/image"/><Relationship Id="rId36" Target="media/image17.png" Type="http://schemas.openxmlformats.org/officeDocument/2006/relationships/image"/><Relationship Id="rId37" Target="media/image18.png" Type="http://schemas.openxmlformats.org/officeDocument/2006/relationships/image"/><Relationship Id="rId38" Target="https://www.epo.org/en/news-events/european-inventor-award/meet-the-finalists/gavriel-iddan" TargetMode="External" Type="http://schemas.openxmlformats.org/officeDocument/2006/relationships/hyperlink"/><Relationship Id="rId39" Target="https://www.epo.org/en/news-events/european-inventor-award/meet-the-finalists/gavriel-iddan" TargetMode="External" Type="http://schemas.openxmlformats.org/officeDocument/2006/relationships/hyperlink"/><Relationship Id="rId4" Target="media/image1.png" Type="http://schemas.openxmlformats.org/officeDocument/2006/relationships/image"/><Relationship Id="rId40" Target="https://www.medtronic.com/en-ca/healthcare-professionals/products/digestive-gastrointestinal/capsule-endoscopy/endoscopy-systems/pillcam-sb-3-capsule-endoscopy-system.html" TargetMode="External" Type="http://schemas.openxmlformats.org/officeDocument/2006/relationships/hyperlink"/><Relationship Id="rId41" Target="media/image19.png" Type="http://schemas.openxmlformats.org/officeDocument/2006/relationships/image"/><Relationship Id="rId42" Target="https://www.butterflynetwork.com/technology" TargetMode="External" Type="http://schemas.openxmlformats.org/officeDocument/2006/relationships/hyperlink"/><Relationship Id="rId43" Target="https://www.butterflynetwork.com/" TargetMode="External" Type="http://schemas.openxmlformats.org/officeDocument/2006/relationships/hyperlink"/><Relationship Id="rId44" Target="https://ir.butterflynetwork.com/governance/board-of-directors/person-details/default.aspx?ItemId=2aa5f2d6-0b14-4677-af38-3ee0d8633dc6" TargetMode="External" Type="http://schemas.openxmlformats.org/officeDocument/2006/relationships/hyperlink"/><Relationship Id="rId45" Target="media/image20.png" Type="http://schemas.openxmlformats.org/officeDocument/2006/relationships/image"/><Relationship Id="rId46" Target="https://www.media.mit.edu/people/hherr/overview/" TargetMode="External" Type="http://schemas.openxmlformats.org/officeDocument/2006/relationships/hyperlink"/><Relationship Id="rId47" Target="https://www.media.mit.edu/groups/biomechatronics/frequently-asked-questions/" TargetMode="External" Type="http://schemas.openxmlformats.org/officeDocument/2006/relationships/hyperlink"/><Relationship Id="rId48" Target="https://www.ottobock.com/en-us/product/1A1-2-61113" TargetMode="External" Type="http://schemas.openxmlformats.org/officeDocument/2006/relationships/hyperlink"/><Relationship Id="rId49" Target="media/image21.png" Type="http://schemas.openxmlformats.org/officeDocument/2006/relationships/image"/><Relationship Id="rId5" Target="numbering.xml" Type="http://schemas.openxmlformats.org/officeDocument/2006/relationships/numbering"/><Relationship Id="rId50" Target="https://lemelson.mit.edu/resources/van-phillips" TargetMode="External" Type="http://schemas.openxmlformats.org/officeDocument/2006/relationships/hyperlink"/><Relationship Id="rId51" Target="https://lemelson.mit.edu/resources/van-phillips" TargetMode="External" Type="http://schemas.openxmlformats.org/officeDocument/2006/relationships/hyperlink"/><Relationship Id="rId52" Target="https://www.ossur.com/en-in/prosthetics/products" TargetMode="External" Type="http://schemas.openxmlformats.org/officeDocument/2006/relationships/hyperlink"/><Relationship Id="rId53" Target="media/image22.png" Type="http://schemas.openxmlformats.org/officeDocument/2006/relationships/image"/><Relationship Id="rId54" Target="https://www.nihonkohden.com/en/technology/aoyagi.html" TargetMode="External" Type="http://schemas.openxmlformats.org/officeDocument/2006/relationships/hyperlink"/><Relationship Id="rId55" Target="https://www.nihonkohden.com/en/technology/aoyagi.html" TargetMode="External" Type="http://schemas.openxmlformats.org/officeDocument/2006/relationships/hyperlink"/><Relationship Id="rId56" Target="media/image23.png" Type="http://schemas.openxmlformats.org/officeDocument/2006/relationships/image"/><Relationship Id="rId57" Target="https://aravind.org/our-story/" TargetMode="External" Type="http://schemas.openxmlformats.org/officeDocument/2006/relationships/hyperlink"/><Relationship Id="rId58" Target="https://aravind.org/aurolab/" TargetMode="External" Type="http://schemas.openxmlformats.org/officeDocument/2006/relationships/hyperlink"/><Relationship Id="rId59" Target="https://journal.aravind.org/Digital%20Report_24-25/paitient-care.html" TargetMode="External" Type="http://schemas.openxmlformats.org/officeDocument/2006/relationships/hyperlink"/><Relationship Id="rId6" Target="media/image2.png" Type="http://schemas.openxmlformats.org/officeDocument/2006/relationships/image"/><Relationship Id="rId60" Target="https://aurolab.com/all-products.html" TargetMode="External" Type="http://schemas.openxmlformats.org/officeDocument/2006/relationships/hyperlink"/><Relationship Id="rId61" Target="media/image24.jpeg" Type="http://schemas.openxmlformats.org/officeDocument/2006/relationships/image"/><Relationship Id="rId62" Target="https://spectrum.ieee.org/invention-of-ct-scanner%EF%BC%9Bhttps://ieeemilestones.ethw.org/Milestones:The_Birth_of_the_First_CT_Scanner%EF%BC%9Bhttps://laskerfoundation.org/looking-deep-into-the-body/" TargetMode="External" Type="http://schemas.openxmlformats.org/officeDocument/2006/relationships/hyperlink"/><Relationship Id="rId63" Target="https://spectrum.ieee.org/invention-of-ct-scanner%EF%BC%9Bhttps://ieeemilestones.ethw.org/Milestones:The_Birth_of_the_First_CT_Scanner%EF%BC%9Bhttps://laskerfoundation.org/looking-deep-into-the-body/" TargetMode="External" Type="http://schemas.openxmlformats.org/officeDocument/2006/relationships/hyperlink"/><Relationship Id="rId64" Target="https://spectrum.ieee.org/invention-of-ct-scanner%EF%BC%9Bhttps://ieeemilestones.ethw.org/Milestones:The_Birth_of_the_First_CT_Scanner%EF%BC%9Bhttps://laskerfoundation.org/looking-deep-into-the-body/" TargetMode="External" Type="http://schemas.openxmlformats.org/officeDocument/2006/relationships/hyperlink"/><Relationship Id="rId65" Target="https://spectrum.ieee.org/invention-of-ct-scanner%EF%BC%9Bhttps://ieeemilestones.ethw.org/Milestones:The_Birth_of_the_First_CT_Scanner%EF%BC%9Bhttps://laskerfoundation.org/looking-deep-into-the-body/" TargetMode="External" Type="http://schemas.openxmlformats.org/officeDocument/2006/relationships/hyperlink"/><Relationship Id="rId66" Target="https://spectrum.ieee.org/invention-of-ct-scanner%EF%BC%9Bhttps://ieeemilestones.ethw.org/Milestones:The_Birth_of_the_First_CT_Scanner%EF%BC%9Bhttps://laskerfoundation.org/looking-deep-into-the-body/" TargetMode="External" Type="http://schemas.openxmlformats.org/officeDocument/2006/relationships/hyperlink"/><Relationship Id="rId67" Target="media/image25.jpeg" Type="http://schemas.openxmlformats.org/officeDocument/2006/relationships/image"/><Relationship Id="rId68" Target="https://lemelson.mit.edu/resources/raymond-damadian%EF%BC%9Bhttps://www.smithsonianmag.com/science-nature/the-indomitable-mri-29126670/" TargetMode="External" Type="http://schemas.openxmlformats.org/officeDocument/2006/relationships/hyperlink"/><Relationship Id="rId69" Target="https://lemelson.mit.edu/resources/raymond-damadian%EF%BC%9Bhttps://www.smithsonianmag.com/science-nature/the-indomitable-mri-29126670/" TargetMode="External" Type="http://schemas.openxmlformats.org/officeDocument/2006/relationships/hyperlink"/><Relationship Id="rId7" Target="media/image3.png" Type="http://schemas.openxmlformats.org/officeDocument/2006/relationships/image"/><Relationship Id="rId70" Target="https://lemelson.mit.edu/resources/raymond-damadian%EF%BC%9Bhttps://www.smithsonianmag.com/science-nature/the-indomitable-mri-29126670/" TargetMode="External" Type="http://schemas.openxmlformats.org/officeDocument/2006/relationships/hyperlink"/><Relationship Id="rId71" Target="media/image26.jpeg" Type="http://schemas.openxmlformats.org/officeDocument/2006/relationships/image"/><Relationship Id="rId72" Target="https://en.wikipedia.org/wiki/James_Black_(pharmacologist)%EF%BC%9Bhttps://pharmafile.com/appointments/obituary-sir-james-black/" TargetMode="External" Type="http://schemas.openxmlformats.org/officeDocument/2006/relationships/hyperlink"/><Relationship Id="rId73" Target="https://en.wikipedia.org/wiki/James_Black_(pharmacologist)%EF%BC%9Bhttps://pharmafile.com/appointments/obituary-sir-james-black/" TargetMode="External" Type="http://schemas.openxmlformats.org/officeDocument/2006/relationships/hyperlink"/><Relationship Id="rId74" Target="https://en.wikipedia.org/wiki/James_Black_(pharmacologist)%EF%BC%9Bhttps://pharmafile.com/appointments/obituary-sir-james-black/" TargetMode="External" Type="http://schemas.openxmlformats.org/officeDocument/2006/relationships/hyperlink"/><Relationship Id="rId75" Target="media/image27.jpeg" Type="http://schemas.openxmlformats.org/officeDocument/2006/relationships/image"/><Relationship Id="rId76" Target="https://lemelson.mit.edu/resources/dean-kamen%EF%BC%9Bhttps://www.britannica.com/biography/Dean-Kamen" TargetMode="External" Type="http://schemas.openxmlformats.org/officeDocument/2006/relationships/hyperlink"/><Relationship Id="rId77" Target="https://lemelson.mit.edu/resources/dean-kamen%EF%BC%9Bhttps://www.britannica.com/biography/Dean-Kamen" TargetMode="External" Type="http://schemas.openxmlformats.org/officeDocument/2006/relationships/hyperlink"/><Relationship Id="rId78" Target="https://lemelson.mit.edu/resources/dean-kamen%EF%BC%9Bhttps://www.britannica.com/biography/Dean-Kamen" TargetMode="External" Type="http://schemas.openxmlformats.org/officeDocument/2006/relationships/hyperlink"/><Relationship Id="rId79" Target="https://lemelson.mit.edu/resources/dean-kamen" TargetMode="External" Type="http://schemas.openxmlformats.org/officeDocument/2006/relationships/hyperlink"/><Relationship Id="rId8" Target="media/image4.png" Type="http://schemas.openxmlformats.org/officeDocument/2006/relationships/image"/><Relationship Id="rId80" Target="https://www.britannica.com/biography/Dean-Kamen" TargetMode="External" Type="http://schemas.openxmlformats.org/officeDocument/2006/relationships/hyperlink"/><Relationship Id="rId81" Target="media/image28.jpeg" Type="http://schemas.openxmlformats.org/officeDocument/2006/relationships/image"/><Relationship Id="rId82" Target="media/image29.jpeg" Type="http://schemas.openxmlformats.org/officeDocument/2006/relationships/image"/><Relationship Id="rId83" Target="https://news.vrtx.com/news-releases/news-release-details/vertex-and-crispr-therapeutics-announce-us-fda-approval" TargetMode="External" Type="http://schemas.openxmlformats.org/officeDocument/2006/relationships/hyperlink"/><Relationship Id="rId84" Target="media/image30.jpeg" Type="http://schemas.openxmlformats.org/officeDocument/2006/relationships/image"/><Relationship Id="rId85" Target="https://about.kaiserpermanente.org/who-we-are/our-history/sidney-garfield-pioneer-of-modern-health-care%EF%BC%9Bhttps://about.kaiserpermanente.org/who-we-are/our-history/how-it-all-started%EF%BC%9Bhttps://ohp.parks.ca.gov/ListedResources/Detail/992" TargetMode="External" Type="http://schemas.openxmlformats.org/officeDocument/2006/relationships/hyperlink"/><Relationship Id="rId86" Target="https://about.kaiserpermanente.org/who-we-are/our-history/sidney-garfield-pioneer-of-modern-health-care%EF%BC%9Bhttps://about.kaiserpermanente.org/who-we-are/our-history/how-it-all-started%EF%BC%9Bhttps://ohp.parks.ca.gov/ListedResources/Detail/992" TargetMode="External" Type="http://schemas.openxmlformats.org/officeDocument/2006/relationships/hyperlink"/><Relationship Id="rId87" Target="media/image31.png" Type="http://schemas.openxmlformats.org/officeDocument/2006/relationships/image"/><Relationship Id="rId88" Target="media/image32.png" Type="http://schemas.openxmlformats.org/officeDocument/2006/relationships/image"/><Relationship Id="rId89" Target="media/image33.png" Type="http://schemas.openxmlformats.org/officeDocument/2006/relationships/image"/><Relationship Id="rId9" Target="media/image5.png" Type="http://schemas.openxmlformats.org/officeDocument/2006/relationships/image"/><Relationship Id="rId90" Target="media/image34.png" Type="http://schemas.openxmlformats.org/officeDocument/2006/relationships/image"/><Relationship Id="rId91" Target="media/image35.png" Type="http://schemas.openxmlformats.org/officeDocument/2006/relationships/image"/><Relationship Id="rId92" Target="media/image36.png" Type="http://schemas.openxmlformats.org/officeDocument/2006/relationships/image"/><Relationship Id="rId93"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2026-10-23T01:26:45Z</dcterms:created>
  <dc:creator>Apache POI</dc:creator>
</cp:coreProperties>
</file>