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Sphincter Gate Failure and the Pepsin Problem</w:t>
      </w:r>
    </w:p>
    <w:p>
      <w:pPr>
        <w:spacing w:after="80"/>
        <w:jc w:val="center"/>
      </w:pPr>
      <w:r>
        <w:rPr>
          <w:rFonts w:ascii="Arial" w:cs="Arial" w:eastAsia="Arial" w:hAnsi="Arial"/>
          <w:b/>
          <w:bCs/>
          <w:color w:val="2E75B6"/>
          <w:sz w:val="28"/>
          <w:szCs w:val="28"/>
        </w:rPr>
        <w:t xml:space="preserve">A Mechanistic Framework for Distinguishing GERD and LPR</w:t>
      </w:r>
    </w:p>
    <w:p>
      <w:pPr>
        <w:spacing w:after="80"/>
        <w:jc w:val="center"/>
      </w:pPr>
      <w:r>
        <w:rPr>
          <w:rFonts w:ascii="Arial" w:cs="Arial" w:eastAsia="Arial" w:hAnsi="Arial"/>
          <w:i/>
          <w:iCs/>
          <w:color w:val="444444"/>
          <w:sz w:val="22"/>
          <w:szCs w:val="22"/>
        </w:rPr>
        <w:t xml:space="preserve">ENS Mechanisms, Pepsin Biology, and Implications for Reflux Phenotyping</w:t>
      </w:r>
    </w:p>
    <w:p>
      <w:pPr>
        <w:spacing w:after="120"/>
      </w:pPr>
      <w:r>
        <w:rPr>
          <w:rFonts w:ascii="Arial" w:cs="Arial" w:eastAsia="Arial" w:hAnsi="Arial"/>
          <w:sz w:val="24"/>
          <w:szCs w:val="24"/>
        </w:rPr>
        <w:t xml:space="preserve"/>
      </w:r>
    </w:p>
    <w:p>
      <w:pPr>
        <w:spacing w:after="60"/>
        <w:jc w:val="center"/>
      </w:pPr>
      <w:r>
        <w:rPr>
          <w:rFonts w:ascii="Arial" w:cs="Arial" w:eastAsia="Arial" w:hAnsi="Arial"/>
          <w:b/>
          <w:bCs/>
          <w:sz w:val="24"/>
          <w:szCs w:val="24"/>
        </w:rPr>
        <w:t xml:space="preserve">M. Finnegan</w:t>
      </w:r>
    </w:p>
    <w:p>
      <w:pPr>
        <w:spacing w:after="60"/>
        <w:jc w:val="center"/>
      </w:pPr>
      <w:r>
        <w:rPr>
          <w:rFonts w:ascii="Arial" w:cs="Arial" w:eastAsia="Arial" w:hAnsi="Arial"/>
          <w:sz w:val="22"/>
          <w:szCs w:val="22"/>
        </w:rPr>
        <w:t xml:space="preserve">Independent Researcher, Lewes, DE, USA</w:t>
      </w:r>
    </w:p>
    <w:p>
      <w:pPr>
        <w:spacing w:after="60"/>
        <w:jc w:val="center"/>
      </w:pPr>
      <w:r>
        <w:rPr>
          <w:rFonts w:ascii="Arial" w:cs="Arial" w:eastAsia="Arial" w:hAnsi="Arial"/>
          <w:sz w:val="22"/>
          <w:szCs w:val="22"/>
        </w:rPr>
        <w:t xml:space="preserve">ORCID: 0009-0009-4921-7722 · sykopompos@gmail.com</w:t>
      </w:r>
    </w:p>
    <w:p>
      <w:pPr>
        <w:spacing w:after="240"/>
        <w:jc w:val="center"/>
      </w:pPr>
      <w:r>
        <w:rPr>
          <w:rFonts w:ascii="Arial" w:cs="Arial" w:eastAsia="Arial" w:hAnsi="Arial"/>
          <w:i/>
          <w:iCs/>
          <w:sz w:val="22"/>
          <w:szCs w:val="22"/>
        </w:rPr>
        <w:t xml:space="preserve">Preprint — March 2026 · Not yet peer reviewed</w:t>
      </w:r>
    </w:p>
    <w:p>
      <w:pPr>
        <w:pStyle w:val="Heading1"/>
        <w:spacing w:before="360" w:after="180"/>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Gastroesophageal reflux disease (GERD) and laryngopharyngeal reflux (LPR) are often managed as variations of the same disorder. This paper proposes a mechanistic framework in which both conditions share a common initiating defect at the lower esophageal sphincter (LES), but LPR additionally involves failure of the upper esophageal sphincter (UES), permitting supraesophageal exposure of the larynx, pharynx, and airway. In this model, the anatomical divergence helps explain differing symptom profiles, treatment responses, and dietary triggers, with acid predominating in esophageal injury and pepsin playing a larger role in laryngeal injury.</w:t>
      </w:r>
    </w:p>
    <w:p>
      <w:pPr>
        <w:spacing w:after="160"/>
      </w:pPr>
      <w:r>
        <w:rPr>
          <w:rFonts w:ascii="Arial" w:cs="Arial" w:eastAsia="Arial" w:hAnsi="Arial"/>
          <w:sz w:val="24"/>
          <w:szCs w:val="24"/>
        </w:rPr>
        <w:t xml:space="preserve">The framework integrates transient LES relaxations (TLESRs), enteric and vagal signalling, pepsin stability and reactivation, and afferent hypersensitivity in non-erosive reflux disease (NERD). It further argues that some patients labelled PPI-refractory may represent biologically distinct subgroups, including pepsin-dominant LPR and centrally sensitised reflux phenotypes. Seven testable predictions are derived, including studies of salivary pepsin stratification, pepsin-aware combination therapy, GLP-1-associated reflux phenotyping, autonomic correlates of TLESR burden, and neuromodulator response in pepsin-negative refractory symptoms.</w:t>
      </w:r>
    </w:p>
    <w:p>
      <w:pPr>
        <w:spacing w:after="160"/>
      </w:pPr>
      <w:r>
        <w:rPr>
          <w:rFonts w:ascii="Arial" w:cs="Arial" w:eastAsia="Arial" w:hAnsi="Arial"/>
          <w:sz w:val="24"/>
          <w:szCs w:val="24"/>
        </w:rPr>
        <w:t xml:space="preserve">This paper is intended as a mechanistic synthesis and hypothesis-generating narrative review rather than a clinical guideline. Its goal is to provide a framework for prospective trials that can determine when GERD and LPR should be approached as overlapping but biologically distinct reflux phenotypes.</w:t>
      </w:r>
    </w:p>
    <w:p>
      <w:pPr>
        <w:pStyle w:val="Heading1"/>
        <w:spacing w:before="360" w:after="180"/>
      </w:pPr>
      <w:r>
        <w:rPr>
          <w:rFonts w:ascii="Arial" w:cs="Arial" w:eastAsia="Arial" w:hAnsi="Arial"/>
          <w:b/>
          <w:bCs/>
          <w:sz w:val="32"/>
          <w:szCs w:val="32"/>
        </w:rPr>
        <w:t xml:space="preserve">Methods and Scope</w:t>
      </w:r>
    </w:p>
    <w:p>
      <w:pPr>
        <w:spacing w:after="160"/>
      </w:pPr>
      <w:r>
        <w:rPr>
          <w:rFonts w:ascii="Arial" w:cs="Arial" w:eastAsia="Arial" w:hAnsi="Arial"/>
          <w:sz w:val="24"/>
          <w:szCs w:val="24"/>
        </w:rPr>
        <w:t xml:space="preserve">This paper presents a novel mechanistic framework applied to gastroesophageal and laryngopharyngeal reflux disease. The central contribution is structural: a unified two-gate / two-damaging-agent model that identifies precisely where GERD and LPR diverge anatomically, mechanistically, and therapeutically, and derives from that model a treatment hierarchy and seven testable predictions. Literature was identified through targeted searches of PubMed and Google Scholar. Search terms included: transient LES relaxation mechanism, VIP/NO LES relaxation, GABA-B baclofen TLESR, pepsin laryngopharyngeal reflux, pepsin pH stability, salivary pepsin assay, NERD central sensitisation, substance P vagal afferents, progesterone LES relaxation, GLP-1 agonist GERD gastric emptying, Eustachian tube reflux, alginate reflux, alkaline water pepsin. Literature searches were conducted between January and March 2026. Evidence is categorised using a three-tier system: Tier A (replicated human evidence, mechanistically confirmed); Tier B (mechanistically supported, consistent but not fully replicated); Tier C (integrative synthesis, each component individually supported, unified cascade not yet demonstrated in humans). Inclusion was based on mechanistic relevance to the two-gate model; studies were excluded if they reported only symptom endpoints without mechanistic data, or if methodology was insufficient to support the claimed mechanism. Where conflicting evidence exists, the preponderance of mechanistic evidence is described and the conflict noted. Approximately 80 primary and review sources were considered; 24 are cited. No new experimental data are reported.</w:t>
      </w:r>
    </w:p>
    <w:p>
      <w:pPr>
        <w:pStyle w:val="Heading1"/>
        <w:spacing w:before="360" w:after="180"/>
      </w:pPr>
      <w:r>
        <w:rPr>
          <w:rFonts w:ascii="Arial" w:cs="Arial" w:eastAsia="Arial" w:hAnsi="Arial"/>
          <w:b/>
          <w:bCs/>
          <w:sz w:val="32"/>
          <w:szCs w:val="32"/>
        </w:rPr>
        <w:t xml:space="preserve">§1 — The Misdiagnosis Problem</w:t>
      </w:r>
    </w:p>
    <w:p>
      <w:pPr>
        <w:spacing w:after="160"/>
      </w:pPr>
      <w:r>
        <w:rPr>
          <w:rFonts w:ascii="Arial" w:cs="Arial" w:eastAsia="Arial" w:hAnsi="Arial"/>
          <w:sz w:val="24"/>
          <w:szCs w:val="24"/>
        </w:rPr>
        <w:t xml:space="preserve">Laryngopharyngeal reflux is common, frequently misdiagnosed, and poorly treated. Patients with LPR typically present with chronic throat clearing, hoarseness, post-nasal drip, globus sensation, chronic cough, and recurrent ear fullness — without the heartburn that defines GERD in the clinical imagination. When they present to primary care, they are often told they have post-nasal drip, asthma, vocal cord dysfunction, or anxiety. When they see an ENT or pulmonologist, the diagnosis depends on whether the clinician thinks to consider LPR. Many do not. The average diagnostic delay for LPR is estimated at 4–8 years [Koufman91].</w:t>
      </w:r>
    </w:p>
    <w:p>
      <w:pPr>
        <w:spacing w:after="160"/>
      </w:pPr>
      <w:r>
        <w:rPr>
          <w:rFonts w:ascii="Arial" w:cs="Arial" w:eastAsia="Arial" w:hAnsi="Arial"/>
          <w:sz w:val="24"/>
          <w:szCs w:val="24"/>
        </w:rPr>
        <w:t xml:space="preserve">The misdiagnosis problem has a structural cause. GERD and LPR are treated in clinical practice as variations of the same disease requiring the same treatment. Both are reflexively managed with proton pump inhibitors. For GERD, this is appropriate: acid is the primary damaging agent, PPIs suppress acid production, and the treatment addresses the mechanism. For LPR, it is not: pepsin is the primary damaging agent, PPIs leave pepsin intact, and the treatment addresses the wrong molecule [Johnston07]. A patient with LPR on twice-daily PPI who continues to eat dietary acid (citrus, carbonated drinks, vinegar) is reactivating bound laryngeal pepsin with every meal and every sip — while their clinician is focused on the acid that left hours ago.</w:t>
      </w:r>
    </w:p>
    <w:p>
      <w:pPr>
        <w:spacing w:after="160"/>
      </w:pPr>
      <w:r>
        <w:rPr>
          <w:rFonts w:ascii="Arial" w:cs="Arial" w:eastAsia="Arial" w:hAnsi="Arial"/>
          <w:sz w:val="24"/>
          <w:szCs w:val="24"/>
        </w:rPr>
        <w:t xml:space="preserve">The framework in this paper generates the treatment difference from first principles. Once the two-gate architecture is understood, this framework proposes that the divergence of GERD and LPR in mechanism, diagnosis, and treatment is a structural consequence following from the anatomy — a testable argument rather than a settled clinical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i w:val="false"/>
                <w:iCs w:val="false"/>
                <w:sz w:val="22"/>
                <w:szCs w:val="22"/>
              </w:rPr>
              <w:t xml:space="preserve">THE CENTRAL CLINICAL PROBLEM: Both GERD and LPR are treated with acid suppression.</w:t>
            </w:r>
          </w:p>
          <w:p>
            <w:pPr>
              <w:spacing w:after="100"/>
            </w:pPr>
            <w:r>
              <w:rPr>
                <w:rFonts w:ascii="Arial" w:cs="Arial" w:eastAsia="Arial" w:hAnsi="Arial"/>
                <w:i w:val="false"/>
                <w:iCs w:val="false"/>
                <w:sz w:val="22"/>
                <w:szCs w:val="22"/>
              </w:rPr>
              <w:t xml:space="preserve">In GERD, acid is the primary damaging agent — PPIs work.</w:t>
            </w:r>
          </w:p>
          <w:p>
            <w:pPr>
              <w:spacing w:after="100"/>
            </w:pPr>
            <w:r>
              <w:rPr>
                <w:rFonts w:ascii="Arial" w:cs="Arial" w:eastAsia="Arial" w:hAnsi="Arial"/>
                <w:i w:val="false"/>
                <w:iCs w:val="false"/>
                <w:sz w:val="22"/>
                <w:szCs w:val="22"/>
              </w:rPr>
              <w:t xml:space="preserve">In LPR, pepsin is the primary damaging agent — PPIs leave it intact.</w:t>
            </w:r>
          </w:p>
          <w:p>
            <w:pPr>
              <w:spacing w:after="100"/>
            </w:pPr>
            <w:r>
              <w:rPr>
                <w:rFonts w:ascii="Arial" w:cs="Arial" w:eastAsia="Arial" w:hAnsi="Arial"/>
                <w:i w:val="false"/>
                <w:iCs w:val="false"/>
                <w:sz w:val="22"/>
                <w:szCs w:val="22"/>
              </w:rPr>
              <w:t xml:space="preserve">The millions of patients labelled ‘PPI-refractory GERD’ are frequently undertreated LPR.</w:t>
            </w:r>
          </w:p>
          <w:p>
            <w:pPr>
              <w:spacing w:after="100"/>
            </w:pPr>
            <w:r>
              <w:rPr>
                <w:rFonts w:ascii="Arial" w:cs="Arial" w:eastAsia="Arial" w:hAnsi="Arial"/>
                <w:i w:val="false"/>
                <w:iCs w:val="false"/>
                <w:sz w:val="22"/>
                <w:szCs w:val="22"/>
              </w:rPr>
              <w:t xml:space="preserve">In this framework, the treatment difference follows from the anatomy — a testable argument, not a settled verdict.</w:t>
            </w:r>
          </w:p>
        </w:tc>
      </w:tr>
    </w:tbl>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§2 — Two Gates, Two Diseases: The Architecture</w:t>
      </w:r>
    </w:p>
    <w:p>
      <w:pPr>
        <w:pStyle w:val="Heading2"/>
        <w:spacing w:before="280" w:after="140"/>
      </w:pPr>
      <w:r>
        <w:rPr>
          <w:rFonts w:ascii="Arial" w:cs="Arial" w:eastAsia="Arial" w:hAnsi="Arial"/>
          <w:b/>
          <w:bCs/>
          <w:sz w:val="28"/>
          <w:szCs w:val="28"/>
        </w:rPr>
        <w:t xml:space="preserve">§2.1 The Lower Esophageal Sphincter</w:t>
      </w:r>
    </w:p>
    <w:p>
      <w:pPr>
        <w:spacing w:after="160"/>
      </w:pPr>
      <w:r>
        <w:rPr>
          <w:rFonts w:ascii="Arial" w:cs="Arial" w:eastAsia="Arial" w:hAnsi="Arial"/>
          <w:sz w:val="24"/>
          <w:szCs w:val="24"/>
        </w:rPr>
        <w:t xml:space="preserve">The lower esophageal sphincter (LES) is a tonically contracted zone of smooth muscle at the gastroesophageal junction, maintaining a resting pressure of 15–30 mmHg above intragastric pressure. This pressure gradient is the primary gate preventing gastric contents from entering the esophagus. The LES is not a simple anatomical valve. It is dynamically regulated by four parallel inputs: (1) myogenic tone — intrinsic smooth muscle contraction; (2) cholinergic innervation — vagal efferents and ENS interneurons releasing acetylcholine (ACh) onto M3 muscarinic receptors, maintaining contraction; (3) crural diaphragm — the external mechanical support provided by the right diaphragmatic crus, which wraps around the LES and augments its pressure during inspiration and increased intra-abdominal pressure; (4) gravity — upright posture keeps the LES above the gastric acid pool [Mittal11].</w:t>
      </w:r>
    </w:p>
    <w:p>
      <w:pPr>
        <w:spacing w:after="160"/>
      </w:pPr>
      <w:r>
        <w:rPr>
          <w:rFonts w:ascii="Arial" w:cs="Arial" w:eastAsia="Arial" w:hAnsi="Arial"/>
          <w:sz w:val="24"/>
          <w:szCs w:val="24"/>
        </w:rPr>
        <w:t xml:space="preserve">Gate failure at the LES takes two forms. First, low basal LES tone: structural weakness from hiatal hernia (which disrupts crural diaphragm augmentation), obesity (elevated intra-abdominal pressure), or visceral fat accumulation chronically reducing the pressure gradient. Second, transient LES relaxations (TLESRs): brief, vagally-mediated episodes of LES relaxation occurring independently of swallowing, driven by gastric distension. TLESRs account for approximately 80% of pathological GERD events in patients with intact LES structure [Holloway95]. The molecular mechanism of TLESRs is addressed in detail in §3.</w:t>
      </w:r>
    </w:p>
    <w:p>
      <w:pPr>
        <w:pStyle w:val="Heading2"/>
        <w:spacing w:before="280" w:after="140"/>
      </w:pPr>
      <w:r>
        <w:rPr>
          <w:rFonts w:ascii="Arial" w:cs="Arial" w:eastAsia="Arial" w:hAnsi="Arial"/>
          <w:b/>
          <w:bCs/>
          <w:sz w:val="28"/>
          <w:szCs w:val="28"/>
        </w:rPr>
        <w:t xml:space="preserve">§2.2 The Upper Esophageal Sphincter</w:t>
      </w:r>
    </w:p>
    <w:p>
      <w:pPr>
        <w:spacing w:after="160"/>
      </w:pPr>
      <w:r>
        <w:rPr>
          <w:rFonts w:ascii="Arial" w:cs="Arial" w:eastAsia="Arial" w:hAnsi="Arial"/>
          <w:sz w:val="24"/>
          <w:szCs w:val="24"/>
        </w:rPr>
        <w:t xml:space="preserve">The upper esophageal sphincter (UES) is primarily the cricopharyngeus muscle, with contributions from the inferior pharyngeal constrictor and the proximal cervical esophagus. It maintains resting pressures of 40–80 mmHg. The UES is the second gate in series, protecting the larynx, pharynx, nasopharynx, Eustachian tubes, and airway from any refluxate that has already passed through the LES. The UES relaxes during swallowing (coordinated by the brainstem swallowing centre, NTS → DMV → CN IX/X), during belching, and during vomiting. Under normal conditions, it provides a critical backup that prevents esophageal contents from reaching supraesophageal structures [Koufman91].</w:t>
      </w:r>
    </w:p>
    <w:p>
      <w:pPr>
        <w:spacing w:after="160"/>
      </w:pPr>
      <w:r>
        <w:rPr>
          <w:rFonts w:ascii="Arial" w:cs="Arial" w:eastAsia="Arial" w:hAnsi="Arial"/>
          <w:sz w:val="24"/>
          <w:szCs w:val="24"/>
        </w:rPr>
        <w:t xml:space="preserve">UES competence is reduced by: fatigue of the cricopharyngeus muscle (relevant in prolonged reflux events), sleep (UES tone decreases during sleep, which is why nocturnal LPR events are particularly damaging), and neurological conditions affecting pharyngeal motor function. The UES is not routinely assessed in standard GERD workup — a significant gap given that its failure is what separates LPR from GERD.</w:t>
      </w:r>
    </w:p>
    <w:p>
      <w:pPr>
        <w:pStyle w:val="Heading2"/>
        <w:spacing w:before="280" w:after="140"/>
      </w:pPr>
      <w:r>
        <w:rPr>
          <w:rFonts w:ascii="Arial" w:cs="Arial" w:eastAsia="Arial" w:hAnsi="Arial"/>
          <w:b/>
          <w:bCs/>
          <w:sz w:val="28"/>
          <w:szCs w:val="28"/>
        </w:rPr>
        <w:t xml:space="preserve">§2.3 GERD vs LPR: One Gate vs Two</w:t>
      </w:r>
    </w:p>
    <w:p>
      <w:pPr>
        <w:spacing w:after="160"/>
      </w:pPr>
      <w:r>
        <w:rPr>
          <w:rFonts w:ascii="Arial" w:cs="Arial" w:eastAsia="Arial" w:hAnsi="Arial"/>
          <w:sz w:val="24"/>
          <w:szCs w:val="24"/>
        </w:rPr>
        <w:t xml:space="preserve">GERD is defined by LES failure alone. Refluxate enters the esophagus and causes esophageal mucosal injury from acid and pepsin exposure. The esophagus has some capacity to tolerate intermittent acid exposure (squamous epithelium, bicarbonate secretion, peristaltic clearance). The primary damage is to the esophageal mucosa: erosive esophagitis, Barrett’s esophagus, and ultimately adenocarcinoma in the context of chronic uncontrolled GERD.</w:t>
      </w:r>
    </w:p>
    <w:p>
      <w:pPr>
        <w:spacing w:after="160"/>
      </w:pPr>
      <w:r>
        <w:rPr>
          <w:rFonts w:ascii="Arial" w:cs="Arial" w:eastAsia="Arial" w:hAnsi="Arial"/>
          <w:sz w:val="24"/>
          <w:szCs w:val="24"/>
        </w:rPr>
        <w:t xml:space="preserve">LPR is defined by combined LES and UES failure. Refluxate escapes the esophagus and reaches the larynx, pharynx, nasopharynx, and potentially the airway. The laryngeal mucosa is not adapted to acid or pepsin exposure — it lacks the bicarbonate secretion and epithelial resistance of the esophagus. A brief reflux event that would cause no lasting esophageal damage can cause significant laryngeal injury from a much smaller pepsin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GERD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LPR (Silent Reflux)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Gate failure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LES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LES + UES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Primary damaging agent</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Acid</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Pepsin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Typical symptoms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Heartburn, regurgitation, chest pain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Hoarseness, throat clearing, chronic cough, globus, post-nasal drip — often without heartburn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Mucosal target</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Esophageal squamous epithelium</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Laryngeal, pharyngeal, nasopharyngeal, tracheal epithelium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PPI response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High — acid suppression addresses primary mechanism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Partial at best — pepsin remains intact and active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Diagnostic tool</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Esophageal pH-impedance; endoscopy</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Pharyngeal pH-impedance; salivary pepsin assay (emerging)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Dietary management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Reduce LES relaxants (alcohol, fat, caffeine, peppermint)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LES relaxants PLUS dietary acid elimination (pepsin reactivation prevention)</w:t>
            </w:r>
          </w:p>
        </w:tc>
      </w:tr>
    </w:tbl>
    <w:p>
      <w:pPr>
        <w:spacing w:after="160"/>
      </w:pPr>
      <w:r>
        <w:rPr>
          <w:rFonts w:ascii="Arial" w:cs="Arial" w:eastAsia="Arial" w:hAnsi="Arial"/>
          <w:sz w:val="24"/>
          <w:szCs w:val="24"/>
        </w:rPr>
        <w:t xml:space="preserve">Table 1. GERD vs LPR: structural comparison. The two diseases share a common root (LES failure) but diverge at the second gate. Every downstream difference in symptoms, diagnosis, and treatment follows from this single architectural split.</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i w:val="false"/>
                <w:iCs w:val="false"/>
                <w:sz w:val="22"/>
                <w:szCs w:val="22"/>
              </w:rPr>
              <w:t xml:space="preserve">THE POSITIONAL ASYMMETRY: Many LPR patients have minimal or no heartburn.</w:t>
            </w:r>
          </w:p>
          <w:p>
            <w:pPr>
              <w:spacing w:after="100"/>
            </w:pPr>
            <w:r>
              <w:rPr>
                <w:rFonts w:ascii="Arial" w:cs="Arial" w:eastAsia="Arial" w:hAnsi="Arial"/>
                <w:i w:val="false"/>
                <w:iCs w:val="false"/>
                <w:sz w:val="22"/>
                <w:szCs w:val="22"/>
              </w:rPr>
              <w:t xml:space="preserve">When refluxate reaches the esophagus and is cleared by peristalsis, the acid dissipates.</w:t>
            </w:r>
          </w:p>
          <w:p>
            <w:pPr>
              <w:spacing w:after="100"/>
            </w:pPr>
            <w:r>
              <w:rPr>
                <w:rFonts w:ascii="Arial" w:cs="Arial" w:eastAsia="Arial" w:hAnsi="Arial"/>
                <w:i w:val="false"/>
                <w:iCs w:val="false"/>
                <w:sz w:val="22"/>
                <w:szCs w:val="22"/>
              </w:rPr>
              <w:t xml:space="preserve">Pepsin bound to laryngeal tissue does not dissipate. It remains active until pH rises above 7.</w:t>
            </w:r>
          </w:p>
          <w:p>
            <w:pPr>
              <w:spacing w:after="100"/>
            </w:pPr>
            <w:r>
              <w:rPr>
                <w:rFonts w:ascii="Arial" w:cs="Arial" w:eastAsia="Arial" w:hAnsi="Arial"/>
                <w:i w:val="false"/>
                <w:iCs w:val="false"/>
                <w:sz w:val="22"/>
                <w:szCs w:val="22"/>
              </w:rPr>
              <w:t xml:space="preserve">Upright posture clears acid from the esophagus quickly. Pepsin stays bound in the larynx.</w:t>
            </w:r>
          </w:p>
          <w:p>
            <w:pPr>
              <w:spacing w:after="100"/>
            </w:pPr>
            <w:r>
              <w:rPr>
                <w:rFonts w:ascii="Arial" w:cs="Arial" w:eastAsia="Arial" w:hAnsi="Arial"/>
                <w:i w:val="false"/>
                <w:iCs w:val="false"/>
                <w:sz w:val="22"/>
                <w:szCs w:val="22"/>
              </w:rPr>
              <w:t xml:space="preserve">This is why LPR patients often feel fine after a reflux event — and still sustain chronic laryngeal damage.</w:t>
            </w:r>
          </w:p>
        </w:tc>
      </w:tr>
    </w:tbl>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§3 — The ENS Molecular Mechanism of Reflux Events</w:t>
      </w:r>
    </w:p>
    <w:p>
      <w:pPr>
        <w:pStyle w:val="Heading2"/>
        <w:spacing w:before="280" w:after="140"/>
      </w:pPr>
      <w:r>
        <w:rPr>
          <w:rFonts w:ascii="Arial" w:cs="Arial" w:eastAsia="Arial" w:hAnsi="Arial"/>
          <w:b/>
          <w:bCs/>
          <w:sz w:val="28"/>
          <w:szCs w:val="28"/>
        </w:rPr>
        <w:t xml:space="preserve">§3.1 Transient LES Relaxations: The Vagal-ENS Circuit</w:t>
      </w:r>
    </w:p>
    <w:p>
      <w:pPr>
        <w:spacing w:after="160"/>
      </w:pPr>
      <w:r>
        <w:rPr>
          <w:rFonts w:ascii="Arial" w:cs="Arial" w:eastAsia="Arial" w:hAnsi="Arial"/>
          <w:sz w:val="24"/>
          <w:szCs w:val="24"/>
        </w:rPr>
        <w:t xml:space="preserve">The dominant mechanism of pathological reflux — in both GERD and LPR — is not structural LES weakness but transient LES relaxation (TLESR): brief episodes of complete LES relaxation, typically lasting 10–40 seconds, occurring independently of swallowing [Holloway95]. TLESRs are normal physiological events that allow belching. They become pathological when their frequency increases or when they occur in the postprandial supine position, allowing refluxate to escape.</w:t>
      </w:r>
    </w:p>
    <w:p>
      <w:pPr>
        <w:spacing w:after="160"/>
      </w:pPr>
      <w:r>
        <w:rPr>
          <w:rFonts w:ascii="Arial" w:cs="Arial" w:eastAsia="Arial" w:hAnsi="Arial"/>
          <w:sz w:val="24"/>
          <w:szCs w:val="24"/>
        </w:rPr>
        <w:t xml:space="preserve">The molecular mechanism is now well-characterised through the ENS. Gastric distension activates mechanoreceptors in the gastric wall — specifically intrinsic primary afferent neurons (IPANs) in the myenteric plexus, and vagal afferent C-fibres in the gastric wall. Vagal afferents carry this signal to the nucleus tractus solitarius (NTS) in the brainstem. The NTS activates the dorsal motor nucleus of the vagus (DMV), which sends efferent signals to inhibitory motor neurons in the myenteric plexus of the LES region. These inhibitory ENS motor neurons release two co-transmitters: vasoactive intestinal peptide (VIP) and nitric oxide (NO). VIP acts on VPAC receptors on LES smooth muscle, elevating cAMP and reducing contractile tone. NO acts as a gaseous messenger, activating soluble guanylate cyclase (sGC) → cGMP → smooth muscle relaxation. The net effect is complete LES relaxation within seconds [Holloway95, Furness06, Spencer20].</w:t>
      </w:r>
    </w:p>
    <w:p>
      <w:pPr>
        <w:spacing w:after="160"/>
      </w:pPr>
      <w:r>
        <w:rPr>
          <w:rFonts w:ascii="Arial" w:cs="Arial" w:eastAsia="Arial" w:hAnsi="Arial"/>
          <w:sz w:val="24"/>
          <w:szCs w:val="24"/>
        </w:rPr>
        <w:t xml:space="preserve">This is the gate being opened from the inside. The LES is not passively failing — it is being actively relaxed by a neurochemical signal from ENS inhibitory motor neurons. The implication is direct: reducing TLESR frequency requires addressing the ENS inhibitory signal, not just mechanical reinforcement of the LES.</w:t>
      </w:r>
    </w:p>
    <w:p>
      <w:pPr>
        <w:pStyle w:val="Heading2"/>
        <w:spacing w:before="280" w:after="140"/>
      </w:pPr>
      <w:r>
        <w:rPr>
          <w:rFonts w:ascii="Arial" w:cs="Arial" w:eastAsia="Arial" w:hAnsi="Arial"/>
          <w:b/>
          <w:bCs/>
          <w:sz w:val="28"/>
          <w:szCs w:val="28"/>
        </w:rPr>
        <w:t xml:space="preserve">§3.2 Cholinergic LES Support and the ACh/VIP Balance</w:t>
      </w:r>
    </w:p>
    <w:p>
      <w:pPr>
        <w:spacing w:after="160"/>
      </w:pPr>
      <w:r>
        <w:rPr>
          <w:rFonts w:ascii="Arial" w:cs="Arial" w:eastAsia="Arial" w:hAnsi="Arial"/>
          <w:sz w:val="24"/>
          <w:szCs w:val="24"/>
        </w:rPr>
        <w:t xml:space="preserve">The tonic contraction of the LES is maintained primarily by cholinergic innervation: vagal efferents and ENS excitatory motor neurons release ACh onto M3 muscarinic receptors on LES smooth muscle, maintaining contraction. The LES tone set-point is therefore a balance between two opposing ENS signals: excitatory cholinergic (ACh → M3 → contraction) and inhibitory VIPergic/nitrergic (VIP + NO → relaxation).</w:t>
      </w:r>
    </w:p>
    <w:p>
      <w:pPr>
        <w:spacing w:after="160"/>
      </w:pPr>
      <w:r>
        <w:rPr>
          <w:rFonts w:ascii="Arial" w:cs="Arial" w:eastAsia="Arial" w:hAnsi="Arial"/>
          <w:sz w:val="24"/>
          <w:szCs w:val="24"/>
        </w:rPr>
        <w:t xml:space="preserve">Any factor that reduces cholinergic tone or increases VIPergic tone shifts this balance toward relaxation: vagal neuropathy (common in long-standing diabetes), anticholinergic medications, high-fat meals (cholecystokinin → CCK1 receptors on vagal afferent C-fibres in the nodose ganglion → increased vagal afferent drive → TLESR facilitation), alcohol (reduces LES tone directly and via ENS), peppermint and spearmint (menthol → reduces smooth muscle contractility), and caffeine (adenosine receptor antagonism → increased cAMP → smooth muscle relaxation). These are not arbitrary dietary restrictions — they are pharmacological LES relaxants acting on specific molecular targets in the ENS circuit.</w:t>
      </w:r>
    </w:p>
    <w:p>
      <w:pPr>
        <w:pStyle w:val="Heading2"/>
        <w:spacing w:before="280" w:after="140"/>
      </w:pPr>
      <w:r>
        <w:rPr>
          <w:rFonts w:ascii="Arial" w:cs="Arial" w:eastAsia="Arial" w:hAnsi="Arial"/>
          <w:b/>
          <w:bCs/>
          <w:sz w:val="28"/>
          <w:szCs w:val="28"/>
        </w:rPr>
        <w:t xml:space="preserve">§3.3 Baclofen: Addressing the Molecular Trigger</w:t>
      </w:r>
    </w:p>
    <w:p>
      <w:pPr>
        <w:spacing w:after="160"/>
      </w:pPr>
      <w:r>
        <w:rPr>
          <w:rFonts w:ascii="Arial" w:cs="Arial" w:eastAsia="Arial" w:hAnsi="Arial"/>
          <w:sz w:val="24"/>
          <w:szCs w:val="24"/>
        </w:rPr>
        <w:t xml:space="preserve">Baclofen is a GABA-B receptor agonist approved for spasticity. Its mechanism in reducing TLESR frequency was elucidated by Lehmann and colleagues: GABA-B agonism at ENS inhibitory motor neurons reduces VIP release, directly suppressing the VIP/NO gate-opening signal [Lehmann99, Ciccaglione03]. Baclofen does not directly contract the LES or increase basal LES tone — it reduces the frequency with which TLESRs are triggered. In the primary human RCT (Ciccaglione et al. 2003), baclofen at 10 mg three times daily reduced postprandial TLESR frequency by approximately 40–60% and reduced acid reflux events significantly compared to placebo [Ciccaglione03].</w:t>
      </w:r>
    </w:p>
    <w:p>
      <w:pPr>
        <w:spacing w:after="160"/>
      </w:pPr>
      <w:r>
        <w:rPr>
          <w:rFonts w:ascii="Arial" w:cs="Arial" w:eastAsia="Arial" w:hAnsi="Arial"/>
          <w:sz w:val="24"/>
          <w:szCs w:val="24"/>
        </w:rPr>
        <w:t xml:space="preserve">The clinical limitation is CNS penetration: baclofen crosses the blood-brain barrier and produces somnolence, dizziness, and cognitive side effects at therapeutic doses. Peripherally-restricted GABA-B agonists that do not cross the BBB are in development as TLESR-specific reflux therapies — a logical extension of the ENS mechanism. Arbaclofen placarbil has been studied in this class; peripherally-restricted GABA-B agents remain an active pharmaceutical development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i w:val="false"/>
                <w:iCs w:val="false"/>
                <w:sz w:val="22"/>
                <w:szCs w:val="22"/>
              </w:rPr>
              <w:t xml:space="preserve">ENS MECHANISM SUMMARY:</w:t>
            </w:r>
          </w:p>
          <w:p>
            <w:pPr>
              <w:spacing w:after="100"/>
            </w:pPr>
            <w:r>
              <w:rPr>
                <w:rFonts w:ascii="Arial" w:cs="Arial" w:eastAsia="Arial" w:hAnsi="Arial"/>
                <w:i w:val="false"/>
                <w:iCs w:val="false"/>
                <w:sz w:val="22"/>
                <w:szCs w:val="22"/>
              </w:rPr>
              <w:t xml:space="preserve">Gastric distension → vagal afferents → NTS → DMV → ENS inhibitory motor neurons → VIP + NO → LES relaxation</w:t>
            </w:r>
          </w:p>
          <w:p>
            <w:pPr>
              <w:spacing w:after="100"/>
            </w:pPr>
            <w:r>
              <w:rPr>
                <w:rFonts w:ascii="Arial" w:cs="Arial" w:eastAsia="Arial" w:hAnsi="Arial"/>
                <w:i w:val="false"/>
                <w:iCs w:val="false"/>
                <w:sz w:val="22"/>
                <w:szCs w:val="22"/>
              </w:rPr>
              <w:t xml:space="preserve">80% of pathological GERD/LPR events are TLESRs, not low basal LES tone.</w:t>
            </w:r>
          </w:p>
          <w:p>
            <w:pPr>
              <w:spacing w:after="100"/>
            </w:pPr>
            <w:r>
              <w:rPr>
                <w:rFonts w:ascii="Arial" w:cs="Arial" w:eastAsia="Arial" w:hAnsi="Arial"/>
                <w:i w:val="false"/>
                <w:iCs w:val="false"/>
                <w:sz w:val="22"/>
                <w:szCs w:val="22"/>
              </w:rPr>
              <w:t xml:space="preserve">Baclofen reduces TLESRs via GABA-B → ↓ VIP release from ENS inhibitory neurons.</w:t>
            </w:r>
          </w:p>
          <w:p>
            <w:pPr>
              <w:spacing w:after="100"/>
            </w:pPr>
            <w:r>
              <w:rPr>
                <w:rFonts w:ascii="Arial" w:cs="Arial" w:eastAsia="Arial" w:hAnsi="Arial"/>
                <w:i w:val="false"/>
                <w:iCs w:val="false"/>
                <w:sz w:val="22"/>
                <w:szCs w:val="22"/>
              </w:rPr>
              <w:t xml:space="preserve">Dietary LES relaxants (fat, alcohol, caffeine, peppermint) increase TLESR frequency via specific ENS molecular targets.</w:t>
            </w:r>
          </w:p>
          <w:p>
            <w:pPr>
              <w:spacing w:after="100"/>
            </w:pPr>
            <w:r>
              <w:rPr>
                <w:rFonts w:ascii="Arial" w:cs="Arial" w:eastAsia="Arial" w:hAnsi="Arial"/>
                <w:i w:val="false"/>
                <w:iCs w:val="false"/>
                <w:sz w:val="22"/>
                <w:szCs w:val="22"/>
              </w:rPr>
              <w:t xml:space="preserve">Reducing meal size and postprandial gastric distension is among the most directly effective lifestyle interventions for reducing TLESR frequency.</w:t>
            </w:r>
          </w:p>
        </w:tc>
      </w:tr>
    </w:tbl>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§4 — Pepsin: Why Acid Suppression Fails LPR</w:t>
      </w:r>
    </w:p>
    <w:p>
      <w:pPr>
        <w:pStyle w:val="Heading2"/>
        <w:spacing w:before="280" w:after="140"/>
      </w:pPr>
      <w:r>
        <w:rPr>
          <w:rFonts w:ascii="Arial" w:cs="Arial" w:eastAsia="Arial" w:hAnsi="Arial"/>
          <w:b/>
          <w:bCs/>
          <w:sz w:val="28"/>
          <w:szCs w:val="28"/>
        </w:rPr>
        <w:t xml:space="preserve">§4.1 Pepsin Biochemistry and pH Stability</w:t>
      </w:r>
    </w:p>
    <w:p>
      <w:pPr>
        <w:spacing w:after="160"/>
      </w:pPr>
      <w:r>
        <w:rPr>
          <w:rFonts w:ascii="Arial" w:cs="Arial" w:eastAsia="Arial" w:hAnsi="Arial"/>
          <w:sz w:val="24"/>
          <w:szCs w:val="24"/>
        </w:rPr>
        <w:t xml:space="preserve">Pepsin is an aspartate protease secreted by gastric chief cells as pepsinogen, activated by gastric acid (pH &lt;4). Its activity is conventionally described as pH-dependent: maximally active at pH 1.5–2.5, reduced at pH 3–4, and considered inactive above pH 5 in vitro. This framing is the source of the clinical assumption that acid suppression addresses the pepsin problem. It does not — and the reason requires a distinction between pepsin activity in gastric fluid vs pepsin behaviour after binding to laryngeal tissue.</w:t>
      </w:r>
    </w:p>
    <w:p>
      <w:pPr>
        <w:spacing w:after="160"/>
      </w:pPr>
      <w:r>
        <w:rPr>
          <w:rFonts w:ascii="Arial" w:cs="Arial" w:eastAsia="Arial" w:hAnsi="Arial"/>
          <w:sz w:val="24"/>
          <w:szCs w:val="24"/>
        </w:rPr>
        <w:t xml:space="preserve">The critical properties of pepsin that make LPR mechanistically distinct from GERD are: (1) Pepsin is stable, not irreversibly denatured, at neutral pH — it retains its tertiary structure and can be reactivated when tissue pH drops below 6 — a threshold commonly reached in laryngeal tissue during dietary acid exposure or low-grade reflux [Johnston07]. (2) Pepsin binds to laryngeal mucosal cells via receptor-mediated endocytosis and is internalised into the cell, where intracellular pH is sufficiently low (pH ~5–6) to sustain low-level proteolytic activity [Johnston07]. (3) Pepsin deposited in laryngeal tissue persists for hours after the reflux event has resolved. A patient who refluxed at 2am while sleeping may have active intracellular pepsin causing ongoing mucosal damage when they drink orange juice at 8am. The orange juice did not cause a new reflux event — it reactivated pepsin that was deposited hours earlier.</w:t>
      </w:r>
    </w:p>
    <w:p>
      <w:pPr>
        <w:pStyle w:val="Heading2"/>
        <w:spacing w:before="280" w:after="140"/>
      </w:pPr>
      <w:r>
        <w:rPr>
          <w:rFonts w:ascii="Arial" w:cs="Arial" w:eastAsia="Arial" w:hAnsi="Arial"/>
          <w:b/>
          <w:bCs/>
          <w:sz w:val="28"/>
          <w:szCs w:val="28"/>
        </w:rPr>
        <w:t xml:space="preserve">§4.2 The PPI Gap in LPR</w:t>
      </w:r>
    </w:p>
    <w:p>
      <w:pPr>
        <w:spacing w:after="160"/>
      </w:pPr>
      <w:r>
        <w:rPr>
          <w:rFonts w:ascii="Arial" w:cs="Arial" w:eastAsia="Arial" w:hAnsi="Arial"/>
          <w:sz w:val="24"/>
          <w:szCs w:val="24"/>
        </w:rPr>
        <w:t xml:space="preserve">PPIs (omeprazole, lansoprazole, pantoprazole, esomeprazole) irreversibly inhibit the H+/K+-ATPase proton pump on parietal cells, reducing gastric acid output by 80–95% when optimally dosed. In GERD, this directly addresses the primary damaging agent. In LPR, it does not: pepsinogen is still secreted by chief cells (pepsinogen secretion is not H+/K+-ATPase dependent), and any residual acid that exists is sufficient to activate pepsin. Even with excellent PPI therapy, gastric pH is not maintained above 4 throughout the 24-hour cycle — meals, nocturnal acid breakthrough, and medication timing gaps all produce intermittent acid exposure sufficient to maintain pepsin activity. More importantly, pepsin already internalised in laryngeal cells is not affected by PPI therapy at all.</w:t>
      </w:r>
    </w:p>
    <w:p>
      <w:pPr>
        <w:spacing w:after="160"/>
      </w:pPr>
      <w:r>
        <w:rPr>
          <w:rFonts w:ascii="Arial" w:cs="Arial" w:eastAsia="Arial" w:hAnsi="Arial"/>
          <w:sz w:val="24"/>
          <w:szCs w:val="24"/>
        </w:rPr>
        <w:t xml:space="preserve">The clinical consequence is well-documented in the literature: Substantial proportions of LPR patients on PPI therapy report incomplete or no symptom improvement, with response rates considerably lower than those seen in esophageal GERD [Johnston07]. These are not treatment failures in the pharmacological sense — the PPI is working. They are mechanism mismatches.</w:t>
      </w:r>
    </w:p>
    <w:p>
      <w:pPr>
        <w:spacing w:after="160"/>
      </w:pPr>
      <w:r>
        <w:rPr>
          <w:rFonts w:ascii="Arial" w:cs="Arial" w:eastAsia="Arial" w:hAnsi="Arial"/>
          <w:sz w:val="24"/>
          <w:szCs w:val="24"/>
        </w:rPr>
        <w:t xml:space="preserve">A third PPI limitation specific to TLESR-dominant LPR is less widely recognised: PPIs consistently delay solid gastric emptying. The mechanism is direct — normal solid gastric emptying requires peptic hydrolysis of food; acid suppression deactivates pepsin in the stomach, impairing that hydrolysis and slowing solid transit [Kuyama10]. Delayed gastric emptying extends the period of gastric distension after meals, which directly increases TLESR frequency through the vagal-ENS circuit described in §3.1. The clinical result is counterintuitive and frequently missed: a TLESR-dominant LPR patient placed on PPI may experience increased reflux event frequency despite reduced gastric acidity, because the PPI is worsening the primary mechanical driver while addressing the secondary chemical one. The symptom pattern — worsening of regurgitation, throat symptoms, and reflux volume while heartburn is partially suppressed — is mechanistically predicted but often attributed to PPI ‘failure’ or patient non-compliance rather than recognised as a treatment-induced TLESR increase. This effect is more clinically significant in LPR than in esophageal GERD because LPR is predominantly TLESR-driven [Kuyama10].</w:t>
      </w:r>
    </w:p>
    <w:p>
      <w:pPr>
        <w:pStyle w:val="Heading2"/>
        <w:spacing w:before="280" w:after="140"/>
      </w:pPr>
      <w:r>
        <w:rPr>
          <w:rFonts w:ascii="Arial" w:cs="Arial" w:eastAsia="Arial" w:hAnsi="Arial"/>
          <w:b/>
          <w:bCs/>
          <w:sz w:val="28"/>
          <w:szCs w:val="28"/>
        </w:rPr>
        <w:t xml:space="preserve">§4.3 Dietary Acid and Pepsin Reactivation</w:t>
      </w:r>
    </w:p>
    <w:p>
      <w:pPr>
        <w:spacing w:after="160"/>
      </w:pPr>
      <w:r>
        <w:rPr>
          <w:rFonts w:ascii="Arial" w:cs="Arial" w:eastAsia="Arial" w:hAnsi="Arial"/>
          <w:sz w:val="24"/>
          <w:szCs w:val="24"/>
        </w:rPr>
        <w:t xml:space="preserve">For LPR patients, dietary acid management serves a completely different purpose than it does in GERD. In GERD, dietary acid restriction (avoiding tomatoes, citrus, coffee) is relevant because high-acid foods can worsen esophageal mucosal injury during active reflux. The mechanism is direct: more acid = more acid damage.</w:t>
      </w:r>
    </w:p>
    <w:p>
      <w:pPr>
        <w:spacing w:after="160"/>
      </w:pPr>
      <w:r>
        <w:rPr>
          <w:rFonts w:ascii="Arial" w:cs="Arial" w:eastAsia="Arial" w:hAnsi="Arial"/>
          <w:sz w:val="24"/>
          <w:szCs w:val="24"/>
        </w:rPr>
        <w:t xml:space="preserve">In LPR, the mechanism of dietary acid harm is pepsin reactivation, not reflux induction. Foods with pH below 6 — citrus (pH 2–3), carbonated beverages (pH 3–3.5), vinegar (pH 2–3), tomato products (pH 4–4.5), acidic fruits — lower pharyngeal and laryngeal pH below the pepsin activation threshold when swallowed. This reactivates bound pepsin in laryngeal tissue, triggering a new cycle of intracellular proteolytic damage without any new reflux event occurring. The patient drinks orange juice, their throat flares. There was no reflux. The pepsin that refluxed last night did the damage.</w:t>
      </w:r>
    </w:p>
    <w:p>
      <w:pPr>
        <w:spacing w:after="160"/>
      </w:pPr>
      <w:r>
        <w:rPr>
          <w:rFonts w:ascii="Arial" w:cs="Arial" w:eastAsia="Arial" w:hAnsi="Arial"/>
          <w:sz w:val="24"/>
          <w:szCs w:val="24"/>
        </w:rPr>
        <w:t xml:space="preserve">This distinction has a direct clinical implication: telling LPR patients to ‘avoid acidic foods’ without explaining the pepsin reactivation mechanism leads to poor compliance. Patients understand that citrus is ‘acidic’ but do not understand why a sip of sparkling water can trigger a symptom flare when they felt fine all morning. The mechanism explains the experience: it is not that carbonated water is causing reflux; it is that the CO2 produces transient pharyngeal acidification that reactivates already-bound pepsin.</w:t>
      </w:r>
    </w:p>
    <w:p>
      <w:pPr>
        <w:pStyle w:val="Heading2"/>
        <w:spacing w:before="280" w:after="140"/>
      </w:pPr>
      <w:r>
        <w:rPr>
          <w:rFonts w:ascii="Arial" w:cs="Arial" w:eastAsia="Arial" w:hAnsi="Arial"/>
          <w:b/>
          <w:bCs/>
          <w:sz w:val="28"/>
          <w:szCs w:val="28"/>
        </w:rPr>
        <w:t xml:space="preserve">§4.4 Alkaline Water and Pepsin Inactivation</w:t>
      </w:r>
    </w:p>
    <w:p>
      <w:pPr>
        <w:spacing w:after="160"/>
      </w:pPr>
      <w:r>
        <w:rPr>
          <w:rFonts w:ascii="Arial" w:cs="Arial" w:eastAsia="Arial" w:hAnsi="Arial"/>
          <w:sz w:val="24"/>
          <w:szCs w:val="24"/>
        </w:rPr>
        <w:t xml:space="preserve">Alkaline water (pH ≥8.0) irreversibly denatures pepsin at the molecular level — unlike neutral water (pH 7), which merely inactivates it temporarily [Johnston07, Koufman12]. This is not a folk remedy. The chemistry is straightforward: pepsin has a pH-sensitive tertiary structure that is permanently unfolded at pH above 8.0. Sipping alkaline water throughout the day — particularly immediately after meals and before sleep — provides continuous pepsin inactivation in the larynx and pharynx. Combined with dietary acid restriction (preventing reactivation) and alginate preparations (physical raft barrier preventing refluxate from reaching UES), alkaline water targets the pepsin problem directly.</w:t>
      </w:r>
    </w:p>
    <w:p>
      <w:pPr>
        <w:spacing w:after="160"/>
      </w:pPr>
      <w:r>
        <w:rPr>
          <w:rFonts w:ascii="Arial" w:cs="Arial" w:eastAsia="Arial" w:hAnsi="Arial"/>
          <w:sz w:val="24"/>
          <w:szCs w:val="24"/>
        </w:rPr>
        <w:t xml:space="preserve">The clinical evidence for alkaline water in LPR is Tier B: mechanistically well-grounded, with small controlled studies showing symptom improvement, but no large RCT to date. Its safety profile is excellent and cost is negligible compared to ongoing PPI therapy. The mechanistic case is stronger than for many accepted LPR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i w:val="false"/>
                <w:iCs w:val="false"/>
                <w:sz w:val="22"/>
                <w:szCs w:val="22"/>
              </w:rPr>
              <w:t xml:space="preserve">ACID vs PEPSIN: THE TREATMENT SPLIT IN ONE STATEMENT</w:t>
            </w:r>
          </w:p>
          <w:p>
            <w:pPr>
              <w:spacing w:after="100"/>
            </w:pPr>
            <w:r>
              <w:rPr>
                <w:rFonts w:ascii="Arial" w:cs="Arial" w:eastAsia="Arial" w:hAnsi="Arial"/>
                <w:i w:val="false"/>
                <w:iCs w:val="false"/>
                <w:sz w:val="22"/>
                <w:szCs w:val="22"/>
              </w:rPr>
              <w:t xml:space="preserve">GERD (in this model): acid is the proposed primary damaging agent — suppressing acid addresses the mechanism.</w:t>
            </w:r>
          </w:p>
          <w:p>
            <w:pPr>
              <w:spacing w:after="100"/>
            </w:pPr>
            <w:r>
              <w:rPr>
                <w:rFonts w:ascii="Arial" w:cs="Arial" w:eastAsia="Arial" w:hAnsi="Arial"/>
                <w:i w:val="false"/>
                <w:iCs w:val="false"/>
                <w:sz w:val="22"/>
                <w:szCs w:val="22"/>
              </w:rPr>
              <w:t xml:space="preserve">LPR: pepsin is the problem — suppressing acid leaves pepsin intact and bound in laryngeal tissue.</w:t>
            </w:r>
          </w:p>
          <w:p>
            <w:pPr>
              <w:spacing w:after="100"/>
            </w:pPr>
            <w:r>
              <w:rPr>
                <w:rFonts w:ascii="Arial" w:cs="Arial" w:eastAsia="Arial" w:hAnsi="Arial"/>
                <w:i w:val="false"/>
                <w:iCs w:val="false"/>
                <w:sz w:val="22"/>
                <w:szCs w:val="22"/>
              </w:rPr>
              <w:t xml:space="preserve">Dietary acid in LPR reactivates bound pepsin independently of new reflux events.</w:t>
            </w:r>
          </w:p>
          <w:p>
            <w:pPr>
              <w:spacing w:after="100"/>
            </w:pPr>
            <w:r>
              <w:rPr>
                <w:rFonts w:ascii="Arial" w:cs="Arial" w:eastAsia="Arial" w:hAnsi="Arial"/>
                <w:i w:val="false"/>
                <w:iCs w:val="false"/>
                <w:sz w:val="22"/>
                <w:szCs w:val="22"/>
              </w:rPr>
              <w:t xml:space="preserve">Alkaline water (pH ≥8.0) irreversibly denatures pepsin. Dietary acid restriction prevents reactivation.</w:t>
            </w:r>
          </w:p>
          <w:p>
            <w:pPr>
              <w:spacing w:after="100"/>
            </w:pPr>
            <w:r>
              <w:rPr>
                <w:rFonts w:ascii="Arial" w:cs="Arial" w:eastAsia="Arial" w:hAnsi="Arial"/>
                <w:i w:val="false"/>
                <w:iCs w:val="false"/>
                <w:sz w:val="22"/>
                <w:szCs w:val="22"/>
              </w:rPr>
              <w:t xml:space="preserve">PPIs are necessary but insufficient in pepsin-dominant LPR. An alkaline, pepsin-aware approach is proposed as the additional required strategy.</w:t>
            </w:r>
          </w:p>
        </w:tc>
      </w:tr>
    </w:tbl>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§5 — NERD and Refractory Symptoms: Central Sensitisation</w:t>
      </w:r>
    </w:p>
    <w:p>
      <w:pPr>
        <w:pStyle w:val="Heading2"/>
        <w:spacing w:before="280" w:after="140"/>
      </w:pPr>
      <w:r>
        <w:rPr>
          <w:rFonts w:ascii="Arial" w:cs="Arial" w:eastAsia="Arial" w:hAnsi="Arial"/>
          <w:b/>
          <w:bCs/>
          <w:sz w:val="28"/>
          <w:szCs w:val="28"/>
        </w:rPr>
        <w:t xml:space="preserve">§5.1 The NERD Diagnosis</w:t>
      </w:r>
    </w:p>
    <w:p>
      <w:pPr>
        <w:spacing w:after="160"/>
      </w:pPr>
      <w:r>
        <w:rPr>
          <w:rFonts w:ascii="Arial" w:cs="Arial" w:eastAsia="Arial" w:hAnsi="Arial"/>
          <w:sz w:val="24"/>
          <w:szCs w:val="24"/>
        </w:rPr>
        <w:t xml:space="preserve">Non-erosive reflux disease (NERD) is defined as typical reflux symptoms (heartburn, regurgitation) in the absence of endoscopic evidence of mucosal injury and without objective evidence of abnormal acid exposure on pH monitoring. NERD accounts for approximately 50–70% of patients with reflux symptoms. The reflex clinical approach is to increase PPI dose or switch PPI agent. Response rates are poor. The mechanistic explanation is that NERD is not primarily an acid exposure problem — it is a sensory processing problem.</w:t>
      </w:r>
    </w:p>
    <w:p>
      <w:pPr>
        <w:pStyle w:val="Heading2"/>
        <w:spacing w:before="280" w:after="140"/>
      </w:pPr>
      <w:r>
        <w:rPr>
          <w:rFonts w:ascii="Arial" w:cs="Arial" w:eastAsia="Arial" w:hAnsi="Arial"/>
          <w:b/>
          <w:bCs/>
          <w:sz w:val="28"/>
          <w:szCs w:val="28"/>
        </w:rPr>
        <w:t xml:space="preserve">§5.2 Vagal Afferent Central Sensitisation</w:t>
      </w:r>
    </w:p>
    <w:p>
      <w:pPr>
        <w:spacing w:after="160"/>
      </w:pPr>
      <w:r>
        <w:rPr>
          <w:rFonts w:ascii="Arial" w:cs="Arial" w:eastAsia="Arial" w:hAnsi="Arial"/>
          <w:sz w:val="24"/>
          <w:szCs w:val="24"/>
        </w:rPr>
        <w:t xml:space="preserve">Chronic acid and pepsin exposure sensitises TRPV1 (transient receptor potential vanilloid 1) receptors on vagal afferent C-fibres in the esophageal and laryngeal mucosa. Activated TRPV1 fibres release substance P (SP) at their central terminals in the NTS and dorsal vagal complex. SP binds to NK1 receptors on NTS neurons, activating NMDA receptors and producing long-term potentiation of the synaptic connection between peripheral afferents and NTS processing neurons. The threshold for activation drops: stimuli that would not normally be sufficient to trigger symptoms — mild distension, non-acid refluxate, temperature changes, exercise — now activate the sensitised pathway and produce heartburn, chest pain, or throat discomfort [Fass07].</w:t>
      </w:r>
    </w:p>
    <w:p>
      <w:pPr>
        <w:spacing w:after="160"/>
      </w:pPr>
      <w:r>
        <w:rPr>
          <w:rFonts w:ascii="Arial" w:cs="Arial" w:eastAsia="Arial" w:hAnsi="Arial"/>
          <w:sz w:val="24"/>
          <w:szCs w:val="24"/>
        </w:rPr>
        <w:t xml:space="preserve">This is the NERD mechanism. The problem is not excess acid — it is a sensitised afferent pathway that is reporting mild, non-injurious stimuli as painful. PPIs cannot desensitise an NMDA-potentiated synaptic connection. The mechanistically indicated intervention targets the central sensitisation directly.</w:t>
      </w:r>
    </w:p>
    <w:p>
      <w:pPr>
        <w:pStyle w:val="Heading2"/>
        <w:spacing w:before="280" w:after="140"/>
      </w:pPr>
      <w:r>
        <w:rPr>
          <w:rFonts w:ascii="Arial" w:cs="Arial" w:eastAsia="Arial" w:hAnsi="Arial"/>
          <w:b/>
          <w:bCs/>
          <w:sz w:val="28"/>
          <w:szCs w:val="28"/>
        </w:rPr>
        <w:t xml:space="preserve">§5.3 Central Sensitisation-Targeted Treatment</w:t>
      </w:r>
    </w:p>
    <w:p>
      <w:pPr>
        <w:spacing w:after="160"/>
      </w:pPr>
      <w:r>
        <w:rPr>
          <w:rFonts w:ascii="Arial" w:cs="Arial" w:eastAsia="Arial" w:hAnsi="Arial"/>
          <w:sz w:val="24"/>
          <w:szCs w:val="24"/>
        </w:rPr>
        <w:t xml:space="preserve">Three classes of intervention are mechanistically appropriate for NERD: (1) Low-dose tricyclic antidepressants (TCAs: amitriptyline, nortriptyline) at doses far below those used in depression — 10–25 mg at night. TCAs reduce central sensitisation via descending noradrenergic and serotonergic inhibitory pathway modulation, reduce SP expression in peripheral afferents, and improve visceral pain thresholds. They do not work in NERD because they treat depression. They work because they reduce afferent sensitisation at the level of the NTS and spinal cord. (2) SNRIs (duloxetine) — dual norepinephrine and serotonin reuptake inhibition modulates descending pain inhibitory pathways from the periaqueductal grey (PAG) to the dorsal horn and NTS. (3) Gut-directed cognitive behavioural therapy (CBT) — reduces cortical amplification of afferent signals and reduces the catastrophisation loop that amplifies symptom perception. These are mechanistically valid interventions for a central sensitisation condition. They remain underutilised in standard practice because NERD is still managed as a motility/acid problem.</w:t>
      </w:r>
    </w:p>
    <w:p>
      <w:pPr>
        <w:spacing w:after="160"/>
      </w:pPr>
      <w:r>
        <w:rPr>
          <w:rFonts w:ascii="Arial" w:cs="Arial" w:eastAsia="Arial" w:hAnsi="Arial"/>
          <w:sz w:val="24"/>
          <w:szCs w:val="24"/>
        </w:rPr>
        <w:t xml:space="preserve">Two further agents have mechanistic grounding for esophageal and visceral hypersensitivity. (4) Pregabalin and gabapentin — α2δ-1 voltage-gated calcium channel modulators that reduce afferent hyperexcitability at the spinal cord and NTS level. A placebo-controlled RCT demonstrated that pregabalin significantly attenuated acid-induced secondary hypersensitivity in the proximal esophagus and reduced pain scores vs placebo [Aziz12]. Response rates in functional dyspepsia (the closest studied condition) reached 70% at 8 weeks vs 44% for placebo in a separate RCT [Kotikula21]. Pregabalin addresses the same α2δ-1 upregulation in sensitised afferent neurons that underlies neuropathic pain generally — making it mechanistically coherent for NERD and refractory LPR hypersensitivity. It does not affect LES tone or gastric motility, making it a preferable option in patients where additional anticholinergic motility effects are a concern. Further agents with emerging evidence for hypersensitivity (low-dose naltrexone) are discussed in §7.5.</w:t>
      </w:r>
    </w:p>
    <w:p>
      <w:pPr>
        <w:pStyle w:val="Heading2"/>
        <w:spacing w:before="280" w:after="140"/>
      </w:pPr>
      <w:r>
        <w:rPr>
          <w:rFonts w:ascii="Arial" w:cs="Arial" w:eastAsia="Arial" w:hAnsi="Arial"/>
          <w:b/>
          <w:bCs/>
          <w:sz w:val="28"/>
          <w:szCs w:val="28"/>
        </w:rPr>
        <w:t xml:space="preserve">§5.4 IBS and Fibromyalgia Co-occurrence</w:t>
      </w:r>
    </w:p>
    <w:p>
      <w:pPr>
        <w:spacing w:after="160"/>
      </w:pPr>
      <w:r>
        <w:rPr>
          <w:rFonts w:ascii="Arial" w:cs="Arial" w:eastAsia="Arial" w:hAnsi="Arial"/>
          <w:sz w:val="24"/>
          <w:szCs w:val="24"/>
        </w:rPr>
        <w:t xml:space="preserve">NERD, irritable bowel syndrome (IBS), and fibromyalgia co-occur at rates far above statistical chance — a pattern frequently reported in functional GI disorder populations. This is not coincidence — it is a shared mechanism. The SP/NMDA central sensitisation of visceral afferents at the NTS that produces NERD is the same mechanism that produces IBS at the dorsal horn (spinal cord level) and fibromyalgia at the level of central sensitisation in the dorsal horn and brainstem. All three conditions share: low threshold for pain from normally non-painful stimuli, poor response to peripherally-targeted therapy, and positive response to central sensitisation-targeted agents (TCAs, SNRIs, CBT). A patient presenting with NERD + IBS + diffuse musculoskeletal pain has a single underlying mechanism being expressed in three anatomical locations.</w:t>
      </w:r>
    </w:p>
    <w:p>
      <w:pPr>
        <w:pStyle w:val="Heading1"/>
        <w:spacing w:before="360" w:after="180"/>
      </w:pPr>
      <w:r>
        <w:rPr>
          <w:rFonts w:ascii="Arial" w:cs="Arial" w:eastAsia="Arial" w:hAnsi="Arial"/>
          <w:b/>
          <w:bCs/>
          <w:sz w:val="32"/>
          <w:szCs w:val="32"/>
        </w:rPr>
        <w:t xml:space="preserve">§6 — Hormonal Architecture</w:t>
      </w:r>
    </w:p>
    <w:p>
      <w:pPr>
        <w:pStyle w:val="Heading2"/>
        <w:spacing w:before="280" w:after="140"/>
      </w:pPr>
      <w:r>
        <w:rPr>
          <w:rFonts w:ascii="Arial" w:cs="Arial" w:eastAsia="Arial" w:hAnsi="Arial"/>
          <w:b/>
          <w:bCs/>
          <w:sz w:val="28"/>
          <w:szCs w:val="28"/>
        </w:rPr>
        <w:t xml:space="preserve">§6.1 Progesterone and Pregnancy GERD</w:t>
      </w:r>
    </w:p>
    <w:p>
      <w:pPr>
        <w:spacing w:after="160"/>
      </w:pPr>
      <w:r>
        <w:rPr>
          <w:rFonts w:ascii="Arial" w:cs="Arial" w:eastAsia="Arial" w:hAnsi="Arial"/>
          <w:sz w:val="24"/>
          <w:szCs w:val="24"/>
        </w:rPr>
        <w:t xml:space="preserve">Gastroesophageal reflux affects 30–50% of women in the first trimester of pregnancy, rising to 50–80% in the third trimester [Richter03]. This near-universal prevalence reflects two converging mechanisms on the same gate equation simultaneously. First, progesterone (P4) directly relaxes LES smooth muscle via P4 receptor-mediated reduction in myosin light-chain kinase activity — producing the same net effect as VIP/NO (LES relaxation) but via a distinct hormonal pathway rather than ENS neural signalling [Richter03]. This is a continuous, 24-hour pharmacological LES relaxation from early pregnancy. Second, growing uterine volume progressively increases intra-abdominal pressure, raising the intragastric pressure side of the gate equation. Both forces act simultaneously: the gate is opened wider (P4-driven LES relaxation) while the pressure on the other side increases (mechanical compression). The predictable result is GERD in most pregnant women regardless of their pre-pregnancy reflux status.</w:t>
      </w:r>
    </w:p>
    <w:p>
      <w:pPr>
        <w:spacing w:after="160"/>
      </w:pPr>
      <w:r>
        <w:rPr>
          <w:rFonts w:ascii="Arial" w:cs="Arial" w:eastAsia="Arial" w:hAnsi="Arial"/>
          <w:sz w:val="24"/>
          <w:szCs w:val="24"/>
        </w:rPr>
        <w:t xml:space="preserve">Clinical implication: pregnancy GERD is not a mystery and does not require complex investigation. It is mechanistically predicted from the LES gate equation. Lifestyle management (meal size reduction, left lateral decubitus sleeping, head of bed elevation, avoidance of LES relaxants) addresses the modifiable components. Alginate preparations are safe in pregnancy and provide symptom relief without systemic absorption. PPIs are generally reserved for severe cases given limited pregnancy safety data for individual agents, though current evidence is broadly reassuring.</w:t>
      </w:r>
    </w:p>
    <w:p>
      <w:pPr>
        <w:pStyle w:val="Heading2"/>
        <w:spacing w:before="280" w:after="140"/>
      </w:pPr>
      <w:r>
        <w:rPr>
          <w:rFonts w:ascii="Arial" w:cs="Arial" w:eastAsia="Arial" w:hAnsi="Arial"/>
          <w:b/>
          <w:bCs/>
          <w:sz w:val="28"/>
          <w:szCs w:val="28"/>
        </w:rPr>
        <w:t xml:space="preserve">§6.2 Estradiol, Menopause, and Reflux</w:t>
      </w:r>
    </w:p>
    <w:p>
      <w:pPr>
        <w:spacing w:after="160"/>
      </w:pPr>
      <w:r>
        <w:rPr>
          <w:rFonts w:ascii="Arial" w:cs="Arial" w:eastAsia="Arial" w:hAnsi="Arial"/>
          <w:sz w:val="24"/>
          <w:szCs w:val="24"/>
        </w:rPr>
        <w:t xml:space="preserve">Post-menopausal women show increased GERD prevalence compared to pre-menopausal women, with the sex difference in GERD prevalence narrowing significantly after menopause (Tier B; epidemiological pattern documented across multiple cohort studies). The hormonal architecture underlying this shift involves: E2 augmentation of smooth muscle tone (which is reduced at menopause, contributing to LES tone decline); visceral fat redistribution at menopause (loss of E2-mediated subcutaneous fat deposition → increased visceral adiposity → increased intra-abdominal pressure); and reduced motility from oestrogen-driven enteric nervous system effects on intestinal transit (menopause → slower transit → increased gastric distension time → more TLESRs). These are the same mechanisms seen in metabolic syndrome — visceral fat accumulation directly drives GERD by mechanical pressure on the LES.</w:t>
      </w:r>
    </w:p>
    <w:p>
      <w:pPr>
        <w:pStyle w:val="Heading2"/>
        <w:spacing w:before="280" w:after="140"/>
      </w:pPr>
      <w:r>
        <w:rPr>
          <w:rFonts w:ascii="Arial" w:cs="Arial" w:eastAsia="Arial" w:hAnsi="Arial"/>
          <w:b/>
          <w:bCs/>
          <w:sz w:val="28"/>
          <w:szCs w:val="28"/>
        </w:rPr>
        <w:t xml:space="preserve">§6.3 Cortisol and the Stress-Reflux Connection</w:t>
      </w:r>
    </w:p>
    <w:p>
      <w:pPr>
        <w:spacing w:after="160"/>
      </w:pPr>
      <w:r>
        <w:rPr>
          <w:rFonts w:ascii="Arial" w:cs="Arial" w:eastAsia="Arial" w:hAnsi="Arial"/>
          <w:sz w:val="24"/>
          <w:szCs w:val="24"/>
        </w:rPr>
        <w:t xml:space="preserve">The clinical observation that GERD and LPR symptoms worsen during periods of stress is mechanistically grounded. Chronic stress → HPA axis activation → sustained cortisol elevation → two parallel effects on the GI system: (1) cortisol → increased intestinal permeability via tight junction modulation (Tier B mechanism; multiple pathways proposed) → increased systemic inflammation, which sensitises vagal afferents and lowers the threshold for NERD-type symptoms. (2) Sympathetic nervous system activation (stress → NE → α2 on myenteric neurons → presynaptic ACh inhibition) reduces GI motility, slows gastric emptying, and increases gastric distension time → increased TLESR frequency. Stress does not cause reflux in a simple direct sense — it does so via two measurable mechanisms: impaired gastric emptying via SNS motility brake, and sensitised afferent reporting via cortisol-driven inflammation.</w:t>
      </w:r>
    </w:p>
    <w:p>
      <w:pPr>
        <w:pStyle w:val="Heading2"/>
        <w:spacing w:before="280" w:after="140"/>
      </w:pPr>
      <w:r>
        <w:rPr>
          <w:rFonts w:ascii="Arial" w:cs="Arial" w:eastAsia="Arial" w:hAnsi="Arial"/>
          <w:b/>
          <w:bCs/>
          <w:sz w:val="28"/>
          <w:szCs w:val="28"/>
        </w:rPr>
        <w:t xml:space="preserve">§6.4 GLP-1 Receptor Agonists and Emerging GERD Risk</w:t>
      </w:r>
    </w:p>
    <w:p>
      <w:pPr>
        <w:spacing w:after="160"/>
      </w:pPr>
      <w:r>
        <w:rPr>
          <w:rFonts w:ascii="Arial" w:cs="Arial" w:eastAsia="Arial" w:hAnsi="Arial"/>
          <w:sz w:val="24"/>
          <w:szCs w:val="24"/>
        </w:rPr>
        <w:t xml:space="preserve">GLP-1 receptor agonists (semaglutide/Ozempic/Wegovy, liraglutide/Victoza, and tirzepatide/Mounjaro) — the latter a dual GIP/GLP-1 receptor agonist with comparable gastric emptying effects — are among the most widely prescribed medications in the world as of 2024–2025. Their dominant GI mechanism is delayed gastric emptying via GLP-1R activation in the stomach, reducing postprandial glucose excursions and contributing to satiety. Delayed gastric emptying directly increases TLESR frequency via prolonged gastric distension — the same vagal mechanism described in §3.1.</w:t>
      </w:r>
    </w:p>
    <w:p>
      <w:pPr>
        <w:spacing w:after="160"/>
      </w:pPr>
      <w:r>
        <w:rPr>
          <w:rFonts w:ascii="Arial" w:cs="Arial" w:eastAsia="Arial" w:hAnsi="Arial"/>
          <w:sz w:val="24"/>
          <w:szCs w:val="24"/>
        </w:rPr>
        <w:t xml:space="preserve">Multiple data sources now confirm a clinically significant GERD signal. A large population-based cohort study of 24,708 GLP-1 RA users vs 89,096 SGLT-2 inhibitor users found a relative risk of 1.27 (95% CI 1.14–1.42) for GERD incidence and 1.55 (95% CI 1.12–2.29) for GERD complications [Noh25]. A systematic review and meta-analysis of 55 randomised controlled trials (106,395 participants) confirmed that GLP-1 RAs increase the risk of GERD and cholelithiasis, with the GERD risk more pronounced with high-dose, weight-loss-inducing formulations [Ungaro25]. Shorter-acting GLP-1 RAs, which produce more pronounced acute gastric emptying delay, show stronger GERD associations than longer-acting agents [Liu24]. The FDA prescribing information for both Ozempic and Wegovy explicitly states that the drug ‘delays gastric emptying’ and lists GERD as an adverse event.</w:t>
      </w:r>
    </w:p>
    <w:p>
      <w:pPr>
        <w:spacing w:after="160"/>
      </w:pPr>
      <w:r>
        <w:rPr>
          <w:rFonts w:ascii="Arial" w:cs="Arial" w:eastAsia="Arial" w:hAnsi="Arial"/>
          <w:sz w:val="24"/>
          <w:szCs w:val="24"/>
        </w:rPr>
        <w:t xml:space="preserve">The clinical implication is immediate and underappreciated: any patient prescribed a GLP-1 agonist who develops new or worsening reflux symptoms is experiencing a mechanistically predictable adverse effect, not a coincidental disease. Clinicians managing patients on these agents should screen for new-onset GERD/LPR symptoms and apply pepsin-aware LPR management (not just PPI) if laryngeal symptoms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100"/>
            </w:pPr>
            <w:r>
              <w:rPr>
                <w:rFonts w:ascii="Arial" w:cs="Arial" w:eastAsia="Arial" w:hAnsi="Arial"/>
                <w:i w:val="false"/>
                <w:iCs w:val="false"/>
                <w:sz w:val="22"/>
                <w:szCs w:val="22"/>
              </w:rPr>
              <w:t xml:space="preserve">GLP-1 AGONISTS AND REFLUX: A MECHANISTICALLY PREDICTABLE PROBLEM</w:t>
            </w:r>
          </w:p>
          <w:p>
            <w:pPr>
              <w:spacing w:after="100"/>
            </w:pPr>
            <w:r>
              <w:rPr>
                <w:rFonts w:ascii="Arial" w:cs="Arial" w:eastAsia="Arial" w:hAnsi="Arial"/>
                <w:i w:val="false"/>
                <w:iCs w:val="false"/>
                <w:sz w:val="22"/>
                <w:szCs w:val="22"/>
              </w:rPr>
              <w:t xml:space="preserve">GLP-1 receptor agonists delay gastric emptying — this is their intended mechanism for glucose and satiety.</w:t>
            </w:r>
          </w:p>
          <w:p>
            <w:pPr>
              <w:spacing w:after="100"/>
            </w:pPr>
            <w:r>
              <w:rPr>
                <w:rFonts w:ascii="Arial" w:cs="Arial" w:eastAsia="Arial" w:hAnsi="Arial"/>
                <w:i w:val="false"/>
                <w:iCs w:val="false"/>
                <w:sz w:val="22"/>
                <w:szCs w:val="22"/>
              </w:rPr>
              <w:t xml:space="preserve">Delayed gastric emptying → prolonged gastric distension → ↑ TLESR frequency via the vagal-ENS circuit.</w:t>
            </w:r>
          </w:p>
          <w:p>
            <w:pPr>
              <w:spacing w:after="100"/>
            </w:pPr>
            <w:r>
              <w:rPr>
                <w:rFonts w:ascii="Arial" w:cs="Arial" w:eastAsia="Arial" w:hAnsi="Arial"/>
                <w:i w:val="false"/>
                <w:iCs w:val="false"/>
                <w:sz w:val="22"/>
                <w:szCs w:val="22"/>
              </w:rPr>
              <w:t xml:space="preserve">Population data (n&gt;100,000) confirms RR ~1.3 for GERD; complications RR ~1.5 vs SGLT-2 inhibitors [Noh25].</w:t>
            </w:r>
          </w:p>
          <w:p>
            <w:pPr>
              <w:spacing w:after="100"/>
            </w:pPr>
            <w:r>
              <w:rPr>
                <w:rFonts w:ascii="Arial" w:cs="Arial" w:eastAsia="Arial" w:hAnsi="Arial"/>
                <w:i w:val="false"/>
                <w:iCs w:val="false"/>
                <w:sz w:val="22"/>
                <w:szCs w:val="22"/>
              </w:rPr>
              <w:t xml:space="preserve">Shorter-acting agents (more acute delay) produce stronger GERD associations than longer-acting ones [Liu24].</w:t>
            </w:r>
          </w:p>
          <w:p>
            <w:pPr>
              <w:spacing w:after="100"/>
            </w:pPr>
            <w:r>
              <w:rPr>
                <w:rFonts w:ascii="Arial" w:cs="Arial" w:eastAsia="Arial" w:hAnsi="Arial"/>
                <w:i w:val="false"/>
                <w:iCs w:val="false"/>
                <w:sz w:val="22"/>
                <w:szCs w:val="22"/>
              </w:rPr>
              <w:t xml:space="preserve">Patients developing throat/laryngeal symptoms on GLP-1 agonists likely have LPR — needs pepsin-aware management, not more PPI.</w:t>
            </w:r>
          </w:p>
        </w:tc>
      </w:tr>
    </w:tbl>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§7 — Systemic Consequences and Cross-System Connections</w:t>
      </w:r>
    </w:p>
    <w:p>
      <w:pPr>
        <w:pStyle w:val="Heading2"/>
        <w:spacing w:before="280" w:after="140"/>
      </w:pPr>
      <w:r>
        <w:rPr>
          <w:rFonts w:ascii="Arial" w:cs="Arial" w:eastAsia="Arial" w:hAnsi="Arial"/>
          <w:b/>
          <w:bCs/>
          <w:sz w:val="28"/>
          <w:szCs w:val="28"/>
        </w:rPr>
        <w:t xml:space="preserve">§7.1 Laryngeal and Vocal Consequences</w:t>
      </w:r>
    </w:p>
    <w:p>
      <w:pPr>
        <w:spacing w:after="160"/>
      </w:pPr>
      <w:r>
        <w:rPr>
          <w:rFonts w:ascii="Arial" w:cs="Arial" w:eastAsia="Arial" w:hAnsi="Arial"/>
          <w:sz w:val="24"/>
          <w:szCs w:val="24"/>
        </w:rPr>
        <w:t xml:space="preserve">The posterior larynx — posterior glottis, arytenoids, interarytenoid region — bears the primary burden of LPR injury. It is the first laryngeal structure contacted by rising refluxate, and it lacks the protective epithelium of the esophagus. The clinical spectrum: (1) Posterior glottic erythema and edema — the most common laryngoscopic findings in LPR, caused by pepsin-mediated mucosal inflammation [Koufman91]. (2) Vocal process granulomas — inflammatory masses on the posterior vocal processes, mechanistically identical to peptic ulcers at a laryngeal location. The indicated approach addresses the underlying LPR, not surgical removal of the granuloma while the causative reflux continues. (3) Subglottic stenosis — narrowing of the airway below the vocal cords from chronic LPR-driven mucosal fibrosis. This is rare but serious and frequently misdiagnosed as adult-onset asthma or fixed airway obstruction.</w:t>
      </w:r>
    </w:p>
    <w:p>
      <w:pPr>
        <w:pStyle w:val="Heading2"/>
        <w:spacing w:before="280" w:after="140"/>
      </w:pPr>
      <w:r>
        <w:rPr>
          <w:rFonts w:ascii="Arial" w:cs="Arial" w:eastAsia="Arial" w:hAnsi="Arial"/>
          <w:b/>
          <w:bCs/>
          <w:sz w:val="28"/>
          <w:szCs w:val="28"/>
        </w:rPr>
        <w:t xml:space="preserve">§7.2 Eustachian Tube Dysfunction and Otologic Consequences</w:t>
      </w:r>
    </w:p>
    <w:p>
      <w:pPr>
        <w:spacing w:after="160"/>
      </w:pPr>
      <w:r>
        <w:rPr>
          <w:rFonts w:ascii="Arial" w:cs="Arial" w:eastAsia="Arial" w:hAnsi="Arial"/>
          <w:sz w:val="24"/>
          <w:szCs w:val="24"/>
        </w:rPr>
        <w:t xml:space="preserve">The reflux-ear connection is mechanistically grounded but clinically underrecognised. LPR → nasopharyngeal inflammation from pepsin microaspiration → Eustachian tube mucosal oedema and dysfunction → middle ear pressure dysregulation → ear fullness, tinnitus, and recurrent acute otitis media. Pepsin at neutral pharyngeal pH actively damages Eustachian tube mucosa even when gastric acid is controlled by PPI — the same pepsin reactivation mechanism operating at a new anatomical site. LPR is a proposed contributor to recurrent acute otitis media and otitis media with effusion (glue ear) in paediatric populations (Tier B — mechanistically supported; prospective interventional data limited), and a recognised contributor to fluctuating tinnitus with ear fullness in adults [Koufman91].</w:t>
      </w:r>
    </w:p>
    <w:p>
      <w:pPr>
        <w:pStyle w:val="Heading2"/>
        <w:spacing w:before="280" w:after="140"/>
      </w:pPr>
      <w:r>
        <w:rPr>
          <w:rFonts w:ascii="Arial" w:cs="Arial" w:eastAsia="Arial" w:hAnsi="Arial"/>
          <w:b/>
          <w:bCs/>
          <w:sz w:val="28"/>
          <w:szCs w:val="28"/>
        </w:rPr>
        <w:t xml:space="preserve">§7.3 Respiratory Consequences</w:t>
      </w:r>
    </w:p>
    <w:p>
      <w:pPr>
        <w:spacing w:after="160"/>
      </w:pPr>
      <w:r>
        <w:rPr>
          <w:rFonts w:ascii="Arial" w:cs="Arial" w:eastAsia="Arial" w:hAnsi="Arial"/>
          <w:sz w:val="24"/>
          <w:szCs w:val="24"/>
        </w:rPr>
        <w:t xml:space="preserve">LPR is one of the three most common identifiable causes of chronic cough (alongside asthma and post-nasal drip) [Irwin06], and a significant contributor to what is labelled ‘refractory asthma’ in adults. Two mechanisms: (1) Vagal reflex bronchospasm: acid or pepsin on laryngeal or tracheal mucosa activates TRPV1 vagal C-fibres → SP release → bronchoconstriction via NK1 receptors on airway smooth muscle. This reflex-driven bronchospasm does not respond to bronchodilators alone because it is driven by ongoing afferent input, not intrinsic smooth muscle hyperreactivity. (2) Direct airway epithelial injury from pepsin microaspiration: the same receptor-mediated pepsin endocytosis operating in the larynx also operates in bronchial epithelial cells, causing direct mucosal injury to the tracheobronchial tree with each microaspiration event. LPR-driven cough typically responds to comprehensive pepsin-targeted LPR management within 4–8 weeks — a response that confirms the diagnosis retrospectively [Irwin06] and distinguishes it from other causes of chronic cough.</w:t>
      </w:r>
    </w:p>
    <w:p>
      <w:pPr>
        <w:pStyle w:val="Heading2"/>
        <w:spacing w:before="280" w:after="140"/>
      </w:pPr>
      <w:r>
        <w:rPr>
          <w:rFonts w:ascii="Arial" w:cs="Arial" w:eastAsia="Arial" w:hAnsi="Arial"/>
          <w:b/>
          <w:bCs/>
          <w:sz w:val="28"/>
          <w:szCs w:val="28"/>
        </w:rPr>
        <w:t xml:space="preserve">§7.4 EoE Connection</w:t>
      </w:r>
    </w:p>
    <w:p>
      <w:pPr>
        <w:spacing w:after="160"/>
      </w:pPr>
      <w:r>
        <w:rPr>
          <w:rFonts w:ascii="Arial" w:cs="Arial" w:eastAsia="Arial" w:hAnsi="Arial"/>
          <w:sz w:val="24"/>
          <w:szCs w:val="24"/>
        </w:rPr>
        <w:t xml:space="preserve">The relationship between LPR/GERD and eosinophilic esophagitis (EoE) is bidirectional. LPR acid and pepsin exposure impairs esophageal epithelial barrier integrity, increasing food antigen penetration into the esophageal submucosa and promoting Th2 polarisation of local dendritic cells — potentially triggering or exacerbating EoE in genetically susceptible individuals. Conversely, active EoE produces esophageal dysmotility (reduced peristaltic amplitude, impaired esophageal clearance) that worsens reflux by slowing acid and pepsin clearance. PPI-responsive EoE — a subset of EoE patients whose histological eosinophil count normalises on PPI therapy — is proposed to result from barrier repair via acid suppression, though direct anti-inflammatory effects of PPIs on esophageal epithelium (including STAT6-pathway inhibition of eotaxin-3 secretion) are also documented and the mechanism remains debated. A patient with EoE should be screened for concurrent LPR, and vice versa. Co-management is mechanistically indicated.</w:t>
      </w:r>
    </w:p>
    <w:p>
      <w:pPr>
        <w:pStyle w:val="Heading2"/>
        <w:spacing w:before="280" w:after="140"/>
      </w:pPr>
      <w:r>
        <w:rPr>
          <w:rFonts w:ascii="Arial" w:cs="Arial" w:eastAsia="Arial" w:hAnsi="Arial"/>
          <w:b/>
          <w:bCs/>
          <w:sz w:val="28"/>
          <w:szCs w:val="28"/>
        </w:rPr>
        <w:t xml:space="preserve">§7.5 — Emerging Implications (Tier B–C)</w:t>
      </w:r>
    </w:p>
    <w:p>
      <w:pPr>
        <w:spacing w:after="160"/>
      </w:pPr>
      <w:r>
        <w:rPr>
          <w:rFonts w:ascii="Arial" w:cs="Arial" w:eastAsia="Arial" w:hAnsi="Arial"/>
          <w:sz w:val="24"/>
          <w:szCs w:val="24"/>
        </w:rPr>
        <w:t xml:space="preserve">The following connections have mechanistic grounding but insufficient prospective clinical data to include in the core treatment architecture. They are noted to orient future investigation rather than inform current practice.</w:t>
      </w:r>
    </w:p>
    <w:p>
      <w:pPr>
        <w:spacing w:after="160"/>
      </w:pPr>
      <w:r>
        <w:rPr>
          <w:rFonts w:ascii="Arial" w:cs="Arial" w:eastAsia="Arial" w:hAnsi="Arial"/>
          <w:sz w:val="24"/>
          <w:szCs w:val="24"/>
        </w:rPr>
        <w:t xml:space="preserve">Eustachian tube dysfunction and tinnitus. LPR → pepsin microaspiration → Eustachian tube mucosal damage is mechanistically plausible (see §7.2) and generates P6 (a randomised trial in idiopathic ETD-associated tinnitus). Treating the LPR may resolve tinnitus in a proportion of patients where ETD is the proximate cause, but prospective interventional data are absent.</w:t>
      </w:r>
    </w:p>
    <w:p>
      <w:pPr>
        <w:spacing w:after="160"/>
      </w:pPr>
      <w:r>
        <w:rPr>
          <w:rFonts w:ascii="Arial" w:cs="Arial" w:eastAsia="Arial" w:hAnsi="Arial"/>
          <w:sz w:val="24"/>
          <w:szCs w:val="24"/>
        </w:rPr>
        <w:t xml:space="preserve">Microbiome-TLESR connection. Gut dysbiosis may increase TLESR frequency through two convergent paths: reduced Firmicutes → reduced EC cell serotonin synthesis [Yano15] → slower gastric emptying; and dysbiosis → reduced butyrate → intestinal barrier disruption → systemic inflammation → sensitised vagal afferents. This is Tier B at individual steps; the complete cascade from dysbiosis to measurable TLESR increase has not been demonstrated in humans.</w:t>
      </w:r>
    </w:p>
    <w:p>
      <w:pPr>
        <w:spacing w:after="160"/>
      </w:pPr>
      <w:r>
        <w:rPr>
          <w:rFonts w:ascii="Arial" w:cs="Arial" w:eastAsia="Arial" w:hAnsi="Arial"/>
          <w:sz w:val="24"/>
          <w:szCs w:val="24"/>
        </w:rPr>
        <w:t xml:space="preserve">Low-dose naltrexone (LDN, 1.5–4.5 mg nightly). At sub-therapeutic opioid antagonist doses, LDN paradoxically increases endogenous opioid production, reducing neuroinflammation via microglial modulation and glial TLR4 inhibition. Evidence for GI visceral hypersensitivity is Tier B (IBS open-label and small RCTs); evidence for esophageal or LPR hypersensitivity specifically is Tier C — mechanistically plausible, unstudied in this population. Off-label, low-cost, and pharmacologically coherent as an investigator-initiated trial candidate in sensitisation-driven refractory LPR.</w:t>
      </w:r>
    </w:p>
    <w:p>
      <w:pPr>
        <w:spacing w:after="160"/>
      </w:pPr>
      <w:r>
        <w:rPr>
          <w:rFonts w:ascii="Arial" w:cs="Arial" w:eastAsia="Arial" w:hAnsi="Arial"/>
          <w:sz w:val="24"/>
          <w:szCs w:val="24"/>
        </w:rPr>
        <w:t xml:space="preserve">Fosamprenavir as direct pepsin inhibitor. Johnston et al. demonstrated oral and inhaled fosamprenavir (a repurposed HIV protease inhibitor) reversed pepsin-induced laryngeal damage in a mouse LPR model [Johnston23]. Phase II RCTs for LPR and GERD are scheduled for 2025. If successful, these trials would provide the first direct clinical test of pepsin-targeted therapy and constitute the most significant advance in LPR management since PPIs.</w:t>
      </w:r>
    </w:p>
    <w:p>
      <w:pPr>
        <w:pStyle w:val="Heading1"/>
        <w:spacing w:before="360" w:after="180"/>
      </w:pPr>
      <w:r>
        <w:rPr>
          <w:rFonts w:ascii="Arial" w:cs="Arial" w:eastAsia="Arial" w:hAnsi="Arial"/>
          <w:b/>
          <w:bCs/>
          <w:sz w:val="32"/>
          <w:szCs w:val="32"/>
        </w:rPr>
        <w:t xml:space="preserve">§8 — Treatment Architecture</w:t>
      </w:r>
    </w:p>
    <w:p>
      <w:pPr>
        <w:spacing w:after="160"/>
      </w:pPr>
      <w:r>
        <w:rPr>
          <w:rFonts w:ascii="Arial" w:cs="Arial" w:eastAsia="Arial" w:hAnsi="Arial"/>
          <w:sz w:val="24"/>
          <w:szCs w:val="24"/>
        </w:rPr>
        <w:t xml:space="preserve">The treatment architecture proposed here is not a single protocol but a phenotype-stratified approach. Four mechanistically distinct patient presentations emerge from the framework, each with different therapeutic priorities. (1) GERD (acid-dominant, esophageal): LES failure → acid mucosal injury. Acid suppression (PPI) addresses the primary damaging agent; TLESR reduction and positional management address the mechanical driver. (2) Pepsin-dominant LPR: LES + UES failure → pepsin reaches the larynx, persists, and reactivates on dietary acid. PPIs are necessary but insufficient; pepsin-specific management (alkaline water, dietary acid elimination, alginates) is the additional required layer. (3) TLESR-dominant LPR: reflux is driven primarily by gastric distension and TLESR frequency rather than low basal LES tone or acid load. PPI therapy may be insufficient or counterproductive via gastric emptying delay; meal modification and TLESR-targeted agents (baclofen) are the mechanistic priority. (4) Sensitisation-dominant / refractory: central sensitisation (SP/NMDA at NTS) is the primary driver of symptom burden. Acid and pepsin control are prerequisites but will not desensitise a sensitised afferent pathway; neuromodulators (TCAs, SNRIs, pregabalin) are the mechanistically indicated next step. In practice these phenotypes overlap. The step sequences below are ordered by mechanistic priority within each category, with the goal of identifying which driver is dominant — mechanical (TLESR), chemical (pepsin vs acid), or central (sensitisation) — and targeting accordingly.</w:t>
      </w:r>
    </w:p>
    <w:p>
      <w:pPr>
        <w:pStyle w:val="Heading2"/>
        <w:spacing w:before="280" w:after="140"/>
      </w:pPr>
      <w:r>
        <w:rPr>
          <w:rFonts w:ascii="Arial" w:cs="Arial" w:eastAsia="Arial" w:hAnsi="Arial"/>
          <w:b/>
          <w:bCs/>
          <w:sz w:val="28"/>
          <w:szCs w:val="28"/>
        </w:rPr>
        <w:t xml:space="preserve">§8.1 GERD Treatment Sequence</w:t>
      </w:r>
    </w:p>
    <w:p>
      <w:pPr>
        <w:spacing w:after="160"/>
      </w:pPr>
      <w:r>
        <w:rPr>
          <w:rFonts w:ascii="Arial" w:cs="Arial" w:eastAsia="Arial" w:hAnsi="Arial"/>
          <w:sz w:val="24"/>
          <w:szCs w:val="24"/>
        </w:rPr>
        <w:t xml:space="preserve">Step 1 — Reduce TLESR frequency (lifestyle, first-line for all):</w:t>
      </w:r>
    </w:p>
    <w:p>
      <w:pPr>
        <w:pStyle w:val="ListParagraph"/>
        <w:numPr>
          <w:ilvl w:val="0"/>
          <w:numId w:val="2"/>
        </w:numPr>
        <w:spacing w:after="100"/>
      </w:pPr>
      <w:r>
        <w:rPr>
          <w:rFonts w:ascii="Arial" w:cs="Arial" w:eastAsia="Arial" w:hAnsi="Arial"/>
          <w:sz w:val="24"/>
          <w:szCs w:val="24"/>
        </w:rPr>
        <w:t xml:space="preserve">Meal size reduction: smaller meals reduce gastric distension, directly reducing vagal TLESR trigger signal</w:t>
      </w:r>
    </w:p>
    <w:p>
      <w:pPr>
        <w:pStyle w:val="ListParagraph"/>
        <w:numPr>
          <w:ilvl w:val="0"/>
          <w:numId w:val="2"/>
        </w:numPr>
        <w:spacing w:after="100"/>
      </w:pPr>
      <w:r>
        <w:rPr>
          <w:rFonts w:ascii="Arial" w:cs="Arial" w:eastAsia="Arial" w:hAnsi="Arial"/>
          <w:sz w:val="24"/>
          <w:szCs w:val="24"/>
        </w:rPr>
        <w:t xml:space="preserve">Eliminate LES pharmacological relaxants: alcohol (dose-dependent LES relaxation), peppermint/spearmint (menthol → LES relaxation), caffeine (direct smooth muscle effect), high-fat meals (CCK → TLESR facilitation)</w:t>
      </w:r>
    </w:p>
    <w:p>
      <w:pPr>
        <w:pStyle w:val="ListParagraph"/>
        <w:numPr>
          <w:ilvl w:val="0"/>
          <w:numId w:val="2"/>
        </w:numPr>
        <w:spacing w:after="100"/>
      </w:pPr>
      <w:r>
        <w:rPr>
          <w:rFonts w:ascii="Arial" w:cs="Arial" w:eastAsia="Arial" w:hAnsi="Arial"/>
          <w:sz w:val="24"/>
          <w:szCs w:val="24"/>
        </w:rPr>
        <w:t xml:space="preserve">Weight loss targeting visceral fat (not just BMI): visceral fat elevation of intra-abdominal pressure is the mechanical GERD driver in overweight patients; visceral fat reduction — not weight loss per se — is the target</w:t>
      </w:r>
    </w:p>
    <w:p>
      <w:pPr>
        <w:pStyle w:val="ListParagraph"/>
        <w:numPr>
          <w:ilvl w:val="0"/>
          <w:numId w:val="2"/>
        </w:numPr>
        <w:spacing w:after="100"/>
      </w:pPr>
      <w:r>
        <w:rPr>
          <w:rFonts w:ascii="Arial" w:cs="Arial" w:eastAsia="Arial" w:hAnsi="Arial"/>
          <w:sz w:val="24"/>
          <w:szCs w:val="24"/>
        </w:rPr>
        <w:t xml:space="preserve">Left lateral decubitus sleeping: stomach sits left-forward with LES above gastric acid pool; reduces nocturnal acid exposure time approximately 70% vs right lateral [Khoury99]</w:t>
      </w:r>
    </w:p>
    <w:p>
      <w:pPr>
        <w:pStyle w:val="ListParagraph"/>
        <w:numPr>
          <w:ilvl w:val="0"/>
          <w:numId w:val="2"/>
        </w:numPr>
        <w:spacing w:after="100"/>
      </w:pPr>
      <w:r>
        <w:rPr>
          <w:rFonts w:ascii="Arial" w:cs="Arial" w:eastAsia="Arial" w:hAnsi="Arial"/>
          <w:sz w:val="24"/>
          <w:szCs w:val="24"/>
        </w:rPr>
        <w:t xml:space="preserve">Head of bed elevation 6–8 inches: gravity assists acid clearance; pillows do not achieve this — mattress wedge or bed risers required</w:t>
      </w:r>
    </w:p>
    <w:p>
      <w:pPr>
        <w:pStyle w:val="ListParagraph"/>
        <w:numPr>
          <w:ilvl w:val="0"/>
          <w:numId w:val="2"/>
        </w:numPr>
        <w:spacing w:after="100"/>
      </w:pPr>
      <w:r>
        <w:rPr>
          <w:rFonts w:ascii="Arial" w:cs="Arial" w:eastAsia="Arial" w:hAnsi="Arial"/>
          <w:sz w:val="24"/>
          <w:szCs w:val="24"/>
        </w:rPr>
        <w:t xml:space="preserve">No eating within 3 hours of sleep: allows partial gastric emptying before LES is in horizontal position</w:t>
      </w:r>
    </w:p>
    <w:p>
      <w:pPr>
        <w:spacing w:after="160"/>
      </w:pPr>
      <w:r>
        <w:rPr>
          <w:rFonts w:ascii="Arial" w:cs="Arial" w:eastAsia="Arial" w:hAnsi="Arial"/>
          <w:sz w:val="24"/>
          <w:szCs w:val="24"/>
        </w:rPr>
        <w:t xml:space="preserve">Step 2 — Acid suppression (PPI):</w:t>
      </w:r>
    </w:p>
    <w:p>
      <w:pPr>
        <w:pStyle w:val="ListParagraph"/>
        <w:numPr>
          <w:ilvl w:val="0"/>
          <w:numId w:val="2"/>
        </w:numPr>
        <w:spacing w:after="100"/>
      </w:pPr>
      <w:r>
        <w:rPr>
          <w:rFonts w:ascii="Arial" w:cs="Arial" w:eastAsia="Arial" w:hAnsi="Arial"/>
          <w:sz w:val="24"/>
          <w:szCs w:val="24"/>
        </w:rPr>
        <w:t xml:space="preserve">Optimally dosed PPI: 30–60 minutes before breakfast, taken consistently. Once-daily dosing achieves substantially lower 24-hour acid control than twice-daily dosing (before breakfast and before dinner); twice-daily is required for near-complete acid suppression throughout the 24-hour cycle.</w:t>
      </w:r>
    </w:p>
    <w:p>
      <w:pPr>
        <w:pStyle w:val="ListParagraph"/>
        <w:numPr>
          <w:ilvl w:val="0"/>
          <w:numId w:val="2"/>
        </w:numPr>
        <w:spacing w:after="100"/>
      </w:pPr>
      <w:r>
        <w:rPr>
          <w:rFonts w:ascii="Arial" w:cs="Arial" w:eastAsia="Arial" w:hAnsi="Arial"/>
          <w:sz w:val="24"/>
          <w:szCs w:val="24"/>
        </w:rPr>
        <w:t xml:space="preserve">Duration: minimum 8-week trial for erosive disease to allow mucosal healing; ongoing if structural LES failure</w:t>
      </w:r>
    </w:p>
    <w:p>
      <w:pPr>
        <w:spacing w:after="160"/>
      </w:pPr>
      <w:r>
        <w:rPr>
          <w:rFonts w:ascii="Arial" w:cs="Arial" w:eastAsia="Arial" w:hAnsi="Arial"/>
          <w:sz w:val="24"/>
          <w:szCs w:val="24"/>
        </w:rPr>
        <w:t xml:space="preserve">Step 3 — TLESR-specific pharmacological reduction for refractory cases:</w:t>
      </w:r>
    </w:p>
    <w:p>
      <w:pPr>
        <w:pStyle w:val="ListParagraph"/>
        <w:numPr>
          <w:ilvl w:val="0"/>
          <w:numId w:val="2"/>
        </w:numPr>
        <w:spacing w:after="100"/>
      </w:pPr>
      <w:r>
        <w:rPr>
          <w:rFonts w:ascii="Arial" w:cs="Arial" w:eastAsia="Arial" w:hAnsi="Arial"/>
          <w:sz w:val="24"/>
          <w:szCs w:val="24"/>
        </w:rPr>
        <w:t xml:space="preserve">Baclofen 10 mg three times daily (starting at 5 mg TID and titrating up): reduces TLESR frequency 40–60% in the primary human RCT [Ciccaglione03]; CNS side effects limit use — reserve for truly refractory TLESR-driven GERD</w:t>
      </w:r>
    </w:p>
    <w:p>
      <w:pPr>
        <w:spacing w:after="160"/>
      </w:pPr>
      <w:r>
        <w:rPr>
          <w:rFonts w:ascii="Arial" w:cs="Arial" w:eastAsia="Arial" w:hAnsi="Arial"/>
          <w:sz w:val="24"/>
          <w:szCs w:val="24"/>
        </w:rPr>
        <w:t xml:space="preserve">Step 4 — Surgical evaluation: fundoplication (Nissen or Toupet) for structural LES failure with documented objective acid exposure on pH-impedance monitoring; not appropriate for NERD or TLESR-predominant GERD</w:t>
      </w:r>
    </w:p>
    <w:p>
      <w:pPr>
        <w:pStyle w:val="Heading2"/>
        <w:spacing w:before="280" w:after="140"/>
      </w:pPr>
      <w:r>
        <w:rPr>
          <w:rFonts w:ascii="Arial" w:cs="Arial" w:eastAsia="Arial" w:hAnsi="Arial"/>
          <w:b/>
          <w:bCs/>
          <w:sz w:val="28"/>
          <w:szCs w:val="28"/>
        </w:rPr>
        <w:t xml:space="preserve">§8.2 LPR Treatment Sequence</w:t>
      </w:r>
    </w:p>
    <w:p>
      <w:pPr>
        <w:spacing w:after="160"/>
      </w:pPr>
      <w:r>
        <w:rPr>
          <w:rFonts w:ascii="Arial" w:cs="Arial" w:eastAsia="Arial" w:hAnsi="Arial"/>
          <w:sz w:val="24"/>
          <w:szCs w:val="24"/>
        </w:rPr>
        <w:t xml:space="preserve">LPR requires the GERD sequence PLUS a pepsin-specific approach:</w:t>
      </w:r>
    </w:p>
    <w:p>
      <w:pPr>
        <w:spacing w:after="160"/>
      </w:pPr>
      <w:r>
        <w:rPr>
          <w:rFonts w:ascii="Arial" w:cs="Arial" w:eastAsia="Arial" w:hAnsi="Arial"/>
          <w:sz w:val="24"/>
          <w:szCs w:val="24"/>
        </w:rPr>
        <w:t xml:space="preserve">Step 1 — Pepsin reactivation prevention (essential first consideration in pepsin-dominant LPR):</w:t>
      </w:r>
    </w:p>
    <w:p>
      <w:pPr>
        <w:pStyle w:val="ListParagraph"/>
        <w:numPr>
          <w:ilvl w:val="0"/>
          <w:numId w:val="2"/>
        </w:numPr>
        <w:spacing w:after="100"/>
      </w:pPr>
      <w:r>
        <w:rPr>
          <w:rFonts w:ascii="Arial" w:cs="Arial" w:eastAsia="Arial" w:hAnsi="Arial"/>
          <w:sz w:val="24"/>
          <w:szCs w:val="24"/>
        </w:rPr>
        <w:t xml:space="preserve">Eliminate all dietary acid: citrus fruits and juices (pH 2–3), carbonated beverages including sparkling water (CO2 → transient pH drop to 3–4), vinegar and vinegar-containing foods, tomato products (pH 4–4.5), acidic fruits (grapes, cranberries). This is not about preventing reflux events — it is about preventing reactivation of bound laryngeal pepsin.</w:t>
      </w:r>
    </w:p>
    <w:p>
      <w:pPr>
        <w:pStyle w:val="ListParagraph"/>
        <w:numPr>
          <w:ilvl w:val="0"/>
          <w:numId w:val="2"/>
        </w:numPr>
        <w:spacing w:after="100"/>
      </w:pPr>
      <w:r>
        <w:rPr>
          <w:rFonts w:ascii="Arial" w:cs="Arial" w:eastAsia="Arial" w:hAnsi="Arial"/>
          <w:sz w:val="24"/>
          <w:szCs w:val="24"/>
        </w:rPr>
        <w:t xml:space="preserve">This rationale should be communicated clearly to patients. Without understanding why, dietary acid restriction for LPR feels arbitrary and compliance is poor. A 2025 multicenter RCT confirmed that combined dietary modifications plus mucosal protectors produced greater RSI and RFS improvement and greater reduction in salivary pepsin concentrations than either intervention alone [Gelardi25].</w:t>
      </w:r>
    </w:p>
    <w:p>
      <w:pPr>
        <w:spacing w:after="160"/>
      </w:pPr>
      <w:r>
        <w:rPr>
          <w:rFonts w:ascii="Arial" w:cs="Arial" w:eastAsia="Arial" w:hAnsi="Arial"/>
          <w:sz w:val="24"/>
          <w:szCs w:val="24"/>
        </w:rPr>
        <w:t xml:space="preserve">Step 2 — Pepsin inactivation:</w:t>
      </w:r>
    </w:p>
    <w:p>
      <w:pPr>
        <w:pStyle w:val="ListParagraph"/>
        <w:numPr>
          <w:ilvl w:val="0"/>
          <w:numId w:val="2"/>
        </w:numPr>
        <w:spacing w:after="100"/>
      </w:pPr>
      <w:r>
        <w:rPr>
          <w:rFonts w:ascii="Arial" w:cs="Arial" w:eastAsia="Arial" w:hAnsi="Arial"/>
          <w:sz w:val="24"/>
          <w:szCs w:val="24"/>
        </w:rPr>
        <w:t xml:space="preserve">Alkaline water pH ≥8.0 throughout the day: irreversibly denatures laryngeal pepsin. Especially important: sipping alkaline water immediately after meals, before sleep, and on waking.</w:t>
      </w:r>
    </w:p>
    <w:p>
      <w:pPr>
        <w:pStyle w:val="ListParagraph"/>
        <w:numPr>
          <w:ilvl w:val="0"/>
          <w:numId w:val="2"/>
        </w:numPr>
        <w:spacing w:after="100"/>
      </w:pPr>
      <w:r>
        <w:rPr>
          <w:rFonts w:ascii="Arial" w:cs="Arial" w:eastAsia="Arial" w:hAnsi="Arial"/>
          <w:sz w:val="24"/>
          <w:szCs w:val="24"/>
        </w:rPr>
        <w:t xml:space="preserve">Alginate preparations (non-inferior to PPIs in 3 of 4 controlled studies for LPRD [Lechien25]; Gaviscon Advance in the UK; in the US, Gaviscon Advance is not available in the same formulation, but an alginate-containing product called Reflux Gourmet serves a similar purpose) immediately after meals: forms a physical raft in the gastric cardia that floats above the gastric acid pool and mechanically prevents refluxate from reaching the UES. Not a PPI — a physical barrier.</w:t>
      </w:r>
    </w:p>
    <w:p>
      <w:pPr>
        <w:spacing w:after="160"/>
      </w:pPr>
      <w:r>
        <w:rPr>
          <w:rFonts w:ascii="Arial" w:cs="Arial" w:eastAsia="Arial" w:hAnsi="Arial"/>
          <w:sz w:val="24"/>
          <w:szCs w:val="24"/>
        </w:rPr>
        <w:t xml:space="preserve">Step 3 — PPI, twice daily for LPR:</w:t>
      </w:r>
    </w:p>
    <w:p>
      <w:pPr>
        <w:pStyle w:val="ListParagraph"/>
        <w:numPr>
          <w:ilvl w:val="0"/>
          <w:numId w:val="2"/>
        </w:numPr>
        <w:spacing w:after="100"/>
      </w:pPr>
      <w:r>
        <w:rPr>
          <w:rFonts w:ascii="Arial" w:cs="Arial" w:eastAsia="Arial" w:hAnsi="Arial"/>
          <w:sz w:val="24"/>
          <w:szCs w:val="24"/>
        </w:rPr>
        <w:t xml:space="preserve">30–60 minutes before breakfast AND before dinner. Once-daily PPI is insufficient for LPR because nocturnal acid breakthrough allows pepsin activation overnight.</w:t>
      </w:r>
    </w:p>
    <w:p>
      <w:pPr>
        <w:pStyle w:val="ListParagraph"/>
        <w:numPr>
          <w:ilvl w:val="0"/>
          <w:numId w:val="2"/>
        </w:numPr>
        <w:spacing w:after="100"/>
      </w:pPr>
      <w:r>
        <w:rPr>
          <w:rFonts w:ascii="Arial" w:cs="Arial" w:eastAsia="Arial" w:hAnsi="Arial"/>
          <w:sz w:val="24"/>
          <w:szCs w:val="24"/>
        </w:rPr>
        <w:t xml:space="preserve">Minimum 3-month trial: laryngeal healing is slow. LPR patients frequently discontinue prematurely because symptom response lags behind mucosal healing by weeks.</w:t>
      </w:r>
    </w:p>
    <w:p>
      <w:pPr>
        <w:spacing w:after="160"/>
      </w:pPr>
      <w:r>
        <w:rPr>
          <w:rFonts w:ascii="Arial" w:cs="Arial" w:eastAsia="Arial" w:hAnsi="Arial"/>
          <w:sz w:val="24"/>
          <w:szCs w:val="24"/>
        </w:rPr>
        <w:t xml:space="preserve">Step 4 — Positional and behavioural: same as GERD (left lateral decubitus, head of bed elevation, no late eating).</w:t>
      </w:r>
    </w:p>
    <w:p>
      <w:pPr>
        <w:spacing w:after="160"/>
      </w:pPr>
      <w:r>
        <w:rPr>
          <w:rFonts w:ascii="Arial" w:cs="Arial" w:eastAsia="Arial" w:hAnsi="Arial"/>
          <w:sz w:val="24"/>
          <w:szCs w:val="24"/>
        </w:rPr>
        <w:t xml:space="preserve">A note on PPI worsening in TLESR-dominant LPR: a proportion of LPR patients — particularly those with predominantly regurgitation and throat symptoms rather than heartburn — worsen on PPI therapy. The mechanism is described in §4.2: PPI inhibits gastric peptic hydrolysis → slower solid emptying → prolonged gastric distension → increased TLESR frequency [Kuyama10]. This is not PPI intolerance — it is a mechanistically predictable adverse effect in TLESR-dominant patients. PPI dose escalation is not the mechanistically indicated approach for these patients. A mechanistically reasonable approach would be to consider: (1) meal composition modification toward smaller volumes and easier-to-digest foods; (2) baclofen (GABA-B agonist, 10 mg TID; starting dose 5 mg) to directly reduce TLESR frequency [Ciccaglione03]; (3) if baclofen is not tolerated, buspirone (5-HT1A agonist; Tier B for TLESR reduction via fundic accommodation; not yet established specifically for LPR) as an alternative. Escalating acid suppression while overlooking TLESR-targeted therapy in a patient whose symptoms are worsening on PPIs represents a mechanistic mismatch, not a patient failure.</w:t>
      </w:r>
    </w:p>
    <w:p>
      <w:pPr>
        <w:spacing w:after="160"/>
      </w:pPr>
      <w:r>
        <w:rPr>
          <w:rFonts w:ascii="Arial" w:cs="Arial" w:eastAsia="Arial" w:hAnsi="Arial"/>
          <w:sz w:val="24"/>
          <w:szCs w:val="24"/>
        </w:rPr>
        <w:t xml:space="preserve">Step 5 — Central sensitisation treatment for refractory NERD component:</w:t>
      </w:r>
    </w:p>
    <w:p>
      <w:pPr>
        <w:pStyle w:val="ListParagraph"/>
        <w:numPr>
          <w:ilvl w:val="0"/>
          <w:numId w:val="2"/>
        </w:numPr>
        <w:spacing w:after="100"/>
      </w:pPr>
      <w:r>
        <w:rPr>
          <w:rFonts w:ascii="Arial" w:cs="Arial" w:eastAsia="Arial" w:hAnsi="Arial"/>
          <w:sz w:val="24"/>
          <w:szCs w:val="24"/>
        </w:rPr>
        <w:t xml:space="preserve">Low-dose TCA (amitriptyline 10–25 mg nocte) or SNRI (duloxetine) if symptoms persist despite adequate acid/pepsin control</w:t>
      </w:r>
    </w:p>
    <w:p>
      <w:pPr>
        <w:pStyle w:val="ListParagraph"/>
        <w:numPr>
          <w:ilvl w:val="0"/>
          <w:numId w:val="2"/>
        </w:numPr>
        <w:spacing w:after="100"/>
      </w:pPr>
      <w:r>
        <w:rPr>
          <w:rFonts w:ascii="Arial" w:cs="Arial" w:eastAsia="Arial" w:hAnsi="Arial"/>
          <w:sz w:val="24"/>
          <w:szCs w:val="24"/>
        </w:rPr>
        <w:t xml:space="preserve">Gut-directed CBT for patients with high symptom catastrophisation and multiple functional co-morbidities</w:t>
      </w:r>
    </w:p>
    <w:p>
      <w:pPr>
        <w:spacing w:after="160"/>
      </w:pPr>
      <w:r>
        <w:rPr>
          <w:rFonts w:ascii="Arial" w:cs="Arial" w:eastAsia="Arial" w:hAnsi="Arial"/>
          <w:sz w:val="24"/>
          <w:szCs w:val="24"/>
        </w:rPr>
        <w:t xml:space="preserve">Step 6 — Further investigation and surgical evaluation:</w:t>
      </w:r>
    </w:p>
    <w:p>
      <w:pPr>
        <w:pStyle w:val="ListParagraph"/>
        <w:numPr>
          <w:ilvl w:val="0"/>
          <w:numId w:val="2"/>
        </w:numPr>
        <w:spacing w:after="100"/>
      </w:pPr>
      <w:r>
        <w:rPr>
          <w:rFonts w:ascii="Arial" w:cs="Arial" w:eastAsia="Arial" w:hAnsi="Arial"/>
          <w:sz w:val="24"/>
          <w:szCs w:val="24"/>
        </w:rPr>
        <w:t xml:space="preserve">Pharyngeal pH-impedance monitoring: gold standard for confirming LPR; documents pharyngeal reflux events and their pH profile; distinguishes acid from non-acid LPR</w:t>
      </w:r>
    </w:p>
    <w:p>
      <w:pPr>
        <w:pStyle w:val="ListParagraph"/>
        <w:numPr>
          <w:ilvl w:val="0"/>
          <w:numId w:val="2"/>
        </w:numPr>
        <w:spacing w:after="100"/>
      </w:pPr>
      <w:r>
        <w:rPr>
          <w:rFonts w:ascii="Arial" w:cs="Arial" w:eastAsia="Arial" w:hAnsi="Arial"/>
          <w:sz w:val="24"/>
          <w:szCs w:val="24"/>
        </w:rPr>
        <w:t xml:space="preserve">Salivary pepsin assay (Peptest): emerging non-invasive diagnostic; a positive result (pepsin detected in saliva) confirms LPR with reasonable specificity; negative result does not exclude LPR (intermittent events)</w:t>
      </w:r>
    </w:p>
    <w:p>
      <w:pPr>
        <w:pStyle w:val="ListParagraph"/>
        <w:numPr>
          <w:ilvl w:val="0"/>
          <w:numId w:val="2"/>
        </w:numPr>
        <w:spacing w:after="100"/>
      </w:pPr>
      <w:r>
        <w:rPr>
          <w:rFonts w:ascii="Arial" w:cs="Arial" w:eastAsia="Arial" w:hAnsi="Arial"/>
          <w:sz w:val="24"/>
          <w:szCs w:val="24"/>
        </w:rPr>
        <w:t xml:space="preserve">Surgical options for LPR are less established than for GERD; fundoplication can reduce LPR events but does not address pepsin already in laryngeal tissue; not first-line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Intervention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GERD</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LPR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Meal size ↓</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 First-line (TLESR ↓)</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 First-line (TLESR ↓)</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LES relaxant elimination</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 First-line</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 First-line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Dietary acid elimination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Helpful for mucosal recovery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 Essential — pepsin reactivation prevention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Alkaline water (pH ≥8)</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Minimal specific benefit</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 Pepsin denaturation — first-line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Alginate preparation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 Useful raft barrier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 First-line UES barrier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PPI once daily</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 Standard</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 Insufficient — nocturnal breakthrough leaves pepsin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PPI twice daily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For erosive/refractory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Recommended in pepsin-dominant LPR (before breakfast AND dinner)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Baclofen</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Refractory TLESR-driven GERD</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Refractory TLESR-driven LPR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Low-dose TCA/SNRI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 NERD / central sensitisation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 NERD component of refractory LPR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Surgery</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Structural LES failure with objective evidence</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Less established; pharyngeal pH-impedance required first</w:t>
            </w:r>
          </w:p>
        </w:tc>
      </w:tr>
    </w:tbl>
    <w:p>
      <w:pPr>
        <w:spacing w:after="160"/>
      </w:pPr>
      <w:r>
        <w:rPr>
          <w:rFonts w:ascii="Arial" w:cs="Arial" w:eastAsia="Arial" w:hAnsi="Arial"/>
          <w:sz w:val="24"/>
          <w:szCs w:val="24"/>
        </w:rPr>
        <w:t xml:space="preserve">Table 2. Treatment comparison: GERD vs LPR. Interventions that differ in priority or rationale are highlighted. Dietary acid elimination and alkaline water are specific to LPR management — they address the pepsin problem, not the acid problem.</w:t>
      </w:r>
    </w:p>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§9 — Testable Predictions</w:t>
      </w:r>
    </w:p>
    <w:p>
      <w:pPr>
        <w:spacing w:after="160"/>
      </w:pPr>
      <w:r>
        <w:rPr>
          <w:rFonts w:ascii="Arial" w:cs="Arial" w:eastAsia="Arial" w:hAnsi="Arial"/>
          <w:sz w:val="24"/>
          <w:szCs w:val="24"/>
        </w:rPr>
        <w:t xml:space="preserve">The following predictions are derived directly from the framework. Each specifies the expected direction of effect, the patient population in which it is most testable, and what would falsify it. P1 and P2 are directly actionable with existing assay technology. P3–P5 require trial infrastructure but address unanswered clinical questions of high practical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880"/>
        <w:gridCol w:w="372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Prediction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Design</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 result / falsification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Salivary pepsin assay stratifies LPR from GERD and NERD better than symptom-based diagnosis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Cross-sectional: salivary pepsin assay vs pharyngeal pH-impedance vs symptom score in patients with reflux symptoms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Pepsin-positive patients: LPR on impedance, poor PPI response, laryngeal findings. Pepsin-negative with typical GERD symptoms: acid-responsive GERD. Falsified if pepsin assay does not correlate with pharyngeal reflux events on impedance. Supporting data: Kim et al. 2023 (Sci Rep) found positive pretreatment salivary pepsin was an independent predictor of good PPI treatment response (OR 14.5, wide CI reflecting n=72; [Kim23]).</w:t>
            </w:r>
          </w:p>
        </w:tc>
      </w:tr>
      <w:tr>
        <w:tc>
          <w:tcPr>
            <w:tcW w:type="dxa" w:w="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P2</w:t>
            </w:r>
          </w:p>
        </w:tc>
        <w:tc>
          <w:tcPr>
            <w:tcW w:type="dxa" w:w="2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Alkaline water + dietary acid elimination superior to PPI alone in confirmed LPR (pepsin-positive)</w:t>
            </w:r>
          </w:p>
        </w:tc>
        <w:tc>
          <w:tcPr>
            <w:tcW w:type="dxa" w:w="28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RCT: PPI alone vs PPI + alkaline water + dietary acid elimination in pepsin-positive LPR patients; primary endpoint: RSI (Reflux Symptom Index) at 12 weeks</w:t>
            </w:r>
          </w:p>
        </w:tc>
        <w:tc>
          <w:tcPr>
            <w:tcW w:type="dxa" w:w="37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Combination arm shows greater RSI reduction. Falsified if no difference in pepsin-stratified patients — would question the pepsin reactivation model.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GLP-1 agonist-induced GERD is TLESR-mediated and predicts by degree of gastric emptying delay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Prospective cohort: GLP-1 agonist initiators; gastric emptying study at baseline and 12 weeks; TLESR frequency via pH-impedance; symptom monitoring</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TLESR frequency correlates with degree of gastric emptying delay. Patients with pre-existing delayed emptying have highest GERD risk. Falsified if TLESR frequency does not increase with GLP-1 agonist initiation.</w:t>
            </w:r>
          </w:p>
        </w:tc>
      </w:tr>
      <w:tr>
        <w:tc>
          <w:tcPr>
            <w:tcW w:type="dxa" w:w="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P4</w:t>
            </w:r>
          </w:p>
        </w:tc>
        <w:tc>
          <w:tcPr>
            <w:tcW w:type="dxa" w:w="2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TLESR frequency correlates with HRV — low vagal tone predicts higher TLESR burden</w:t>
            </w:r>
          </w:p>
        </w:tc>
        <w:tc>
          <w:tcPr>
            <w:tcW w:type="dxa" w:w="28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Observational: simultaneous HRV measurement and 24-hour pH-impedance in GERD patients; correlation between RMSSD and TLESR frequency</w:t>
            </w:r>
          </w:p>
        </w:tc>
        <w:tc>
          <w:tcPr>
            <w:tcW w:type="dxa" w:w="37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Low HRV (sympathetic dominance, low vagal tone) → reduced cholinergic LES support → higher TLESR frequency. Falsified if no correlation after controlling for meal timing and BMI.</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Patients labelled PPI-refractory GERD with negative salivary pepsin and normal pharyngeal pH have NERD (central sensitisation) — low-dose TCA response rate &gt;50%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Prospective trial: PPI-refractory patients stratified by salivary pepsin and pH-impedance; pepsin-negative/non-acid group assigned to low-dose amitriptyline; primary endpoint symptom response at 8 weeks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&gt;50% symptom response in TCA arm for pepsin-negative central sensitisation group. Falsified if response rate equals placebo.</w:t>
            </w:r>
          </w:p>
        </w:tc>
      </w:tr>
      <w:tr>
        <w:tc>
          <w:tcPr>
            <w:tcW w:type="dxa" w:w="4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P6</w:t>
            </w:r>
          </w:p>
        </w:tc>
        <w:tc>
          <w:tcPr>
            <w:tcW w:type="dxa" w:w="2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LPR is a contributing cause of Eustachian tube dysfunction in adults with idiopathic fluctuating tinnitus and ear fullness</w:t>
            </w:r>
          </w:p>
        </w:tc>
        <w:tc>
          <w:tcPr>
            <w:tcW w:type="dxa" w:w="28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RCT in patients with fluctuating tinnitus + normal audiogram + ETD findings: aggressive LPR treatment (PPI + alkaline + dietary) vs standard audiological management; primary endpoint ETD symptom score and tinnitus severity at 16 weeks</w:t>
            </w:r>
          </w:p>
        </w:tc>
        <w:tc>
          <w:tcPr>
            <w:tcW w:type="dxa" w:w="37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60"/>
            </w:pPr>
            <w:r>
              <w:rPr>
                <w:rFonts w:ascii="Arial" w:cs="Arial" w:eastAsia="Arial" w:hAnsi="Arial"/>
                <w:sz w:val="22"/>
                <w:szCs w:val="22"/>
              </w:rPr>
              <w:t xml:space="preserve">LPR arm shows superior ETD and tinnitus improvement. Falsified if no difference.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Progesterone level predicts LES tone and TLESR frequency in a dose-dependent manner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Mechanistic study: LES manometry + 4-hour postprandial pH-impedance at 3 time points in pregnant women (T1, T2, T3); and in women starting progestogen-only contraception vs combined OCP vs no hormonal contraception</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2"/>
                <w:szCs w:val="22"/>
              </w:rPr>
              <w:t xml:space="preserve">LES tone inversely correlates with serum P4. TLESR frequency increases proportionally to P4. Falsified if no correlation after controlling for mechanical uterine effect in T3.</w:t>
            </w:r>
          </w:p>
        </w:tc>
      </w:tr>
    </w:tbl>
    <w:p>
      <w:pPr>
        <w:spacing w:after="160"/>
      </w:pPr>
      <w:r>
        <w:rPr>
          <w:rFonts w:ascii="Arial" w:cs="Arial" w:eastAsia="Arial" w:hAnsi="Arial"/>
          <w:sz w:val="24"/>
          <w:szCs w:val="24"/>
        </w:rPr>
        <w:t xml:space="preserve">Table 3. Testable predictions derived from the framework. P1 and P2 are near-term trials requiring only existing assay infrastructure. P3 is an immediate clinical priority given the scale of GLP-1 agonist prescribing worldwide.</w:t>
      </w:r>
    </w:p>
    <w:p>
      <w:pPr>
        <w:spacing w:after="120"/>
      </w:pPr>
      <w:r>
        <w:rPr>
          <w:rFonts w:ascii="Arial" w:cs="Arial" w:eastAsia="Arial" w:hAnsi="Arial"/>
          <w:sz w:val="24"/>
          <w:szCs w:val="24"/>
        </w:rPr>
        <w:t xml:space="preserve"/>
      </w:r>
    </w:p>
    <w:p>
      <w:pPr>
        <w:pStyle w:val="Heading1"/>
        <w:spacing w:before="360" w:after="180"/>
      </w:pPr>
      <w:r>
        <w:rPr>
          <w:rFonts w:ascii="Arial" w:cs="Arial" w:eastAsia="Arial" w:hAnsi="Arial"/>
          <w:b/>
          <w:bCs/>
          <w:sz w:val="32"/>
          <w:szCs w:val="32"/>
        </w:rPr>
        <w:t xml:space="preserve">§10 — Open Gaps</w:t>
      </w:r>
    </w:p>
    <w:p>
      <w:pPr>
        <w:pStyle w:val="ListParagraph"/>
        <w:numPr>
          <w:ilvl w:val="0"/>
          <w:numId w:val="2"/>
        </w:numPr>
        <w:spacing w:after="100"/>
      </w:pPr>
      <w:r>
        <w:rPr>
          <w:rFonts w:ascii="Arial" w:cs="Arial" w:eastAsia="Arial" w:hAnsi="Arial"/>
          <w:sz w:val="24"/>
          <w:szCs w:val="24"/>
        </w:rPr>
        <w:t xml:space="preserve">Salivary pepsin assay standardisation: the Peptest (RD Biomed) is the most studied commercial salivary pepsin assay. Current evidence shows reasonable sensitivity and specificity for LPR diagnosis, but no validated clinical cutoff has been established. However, Kim et al. 2023 found positive pretreatment salivary pepsin was an independent predictor of good PPI treatment response (OR 14.5, Sci Rep 2023 [Kim23]), strengthening the clinical case for the assay beyond diagnosis to treatment stratification. Correlation with pharyngeal pH-impedance is promising but heterogeneous across studies. This is the most important near-term clinical gap: a validated, affordable, non-invasive LPR diagnostic would transform the diagnostic pathway.</w:t>
      </w:r>
    </w:p>
    <w:p>
      <w:pPr>
        <w:pStyle w:val="ListParagraph"/>
        <w:numPr>
          <w:ilvl w:val="0"/>
          <w:numId w:val="2"/>
        </w:numPr>
        <w:spacing w:after="100"/>
      </w:pPr>
      <w:r>
        <w:rPr>
          <w:rFonts w:ascii="Arial" w:cs="Arial" w:eastAsia="Arial" w:hAnsi="Arial"/>
          <w:sz w:val="24"/>
          <w:szCs w:val="24"/>
        </w:rPr>
        <w:t xml:space="preserve">Peripherally-restricted GABA-B agonists: the TLESR mechanism is well-characterised and pharmacologically actionable. The development of GABA-B agonists that reduce TLESR frequency without CNS penetration remains an active but unresolved pharmaceutical target. This class would be more useful than PPI dose escalation for TLESR-predominant GERD.</w:t>
      </w:r>
    </w:p>
    <w:p>
      <w:pPr>
        <w:pStyle w:val="ListParagraph"/>
        <w:numPr>
          <w:ilvl w:val="0"/>
          <w:numId w:val="2"/>
        </w:numPr>
        <w:spacing w:after="100"/>
      </w:pPr>
      <w:r>
        <w:rPr>
          <w:rFonts w:ascii="Arial" w:cs="Arial" w:eastAsia="Arial" w:hAnsi="Arial"/>
          <w:sz w:val="24"/>
          <w:szCs w:val="24"/>
        </w:rPr>
        <w:t xml:space="preserve">UES dynamics during sleep: most LPR events occur during sleep, when UES resting pressure is lowest. The quantitative relationship between sleep stage, UES pressure, and LPR event probability has not been fully characterised. This matters for treatment timing — nocturnal alginate + alkaline water immediately before sleep targets the highest-risk window, but the UES pressure profile across sleep stages is not well-documented.</w:t>
      </w:r>
    </w:p>
    <w:p>
      <w:pPr>
        <w:pStyle w:val="ListParagraph"/>
        <w:numPr>
          <w:ilvl w:val="0"/>
          <w:numId w:val="2"/>
        </w:numPr>
        <w:spacing w:after="100"/>
      </w:pPr>
      <w:r>
        <w:rPr>
          <w:rFonts w:ascii="Arial" w:cs="Arial" w:eastAsia="Arial" w:hAnsi="Arial"/>
          <w:sz w:val="24"/>
          <w:szCs w:val="24"/>
        </w:rPr>
        <w:t xml:space="preserve">GLP-1 agonist LPR: the population data now confirm a GERD risk signal from GLP-1 agonists. Whether this is predominantly GERD (acid-mediated esophageal) or LPR (pepsin-mediated supraesophageal) has not been characterised. Given that delayed gastric emptying increases TLESR frequency, and TLESRs that escape a functional UES produce LPR, the LPR fraction of GLP-1 agonist-associated reflux is likely underdiagnosed. No prospective pharyngeal pH-impedance data in GLP-1 agonist users exist as of this writing.</w:t>
      </w:r>
    </w:p>
    <w:p>
      <w:pPr>
        <w:pStyle w:val="ListParagraph"/>
        <w:numPr>
          <w:ilvl w:val="0"/>
          <w:numId w:val="2"/>
        </w:numPr>
        <w:spacing w:after="100"/>
      </w:pPr>
      <w:r>
        <w:rPr>
          <w:rFonts w:ascii="Arial" w:cs="Arial" w:eastAsia="Arial" w:hAnsi="Arial"/>
          <w:sz w:val="24"/>
          <w:szCs w:val="24"/>
        </w:rPr>
        <w:t xml:space="preserve">PPI-induced TLESR worsening in LPR: the mechanistic chain from PPI → reduced peptic hydrolysis → delayed solid emptying → increased TLESR frequency is well-supported [Kuyama10] but has not been prospectively characterised as a clinical phenotype in LPR. No trial has prospectively identified the TLESR-dominant LPR subgroup, compared PPI vs baclofen as primary therapy, and measured pharyngeal reflux event frequency as the primary outcome. This would be among the highest clinical research priorities in LPR management: it would validate the PPI paradox mechanism, define the responder population for TLESR-targeted therapy, and directly challenge the reflex PPI escalation protocol that dominates current practice.</w:t>
      </w:r>
    </w:p>
    <w:p>
      <w:pPr>
        <w:pStyle w:val="Heading1"/>
        <w:spacing w:before="360" w:after="180"/>
      </w:pPr>
      <w:r>
        <w:rPr>
          <w:rFonts w:ascii="Arial" w:cs="Arial" w:eastAsia="Arial" w:hAnsi="Arial"/>
          <w:b/>
          <w:bCs/>
          <w:sz w:val="32"/>
          <w:szCs w:val="32"/>
        </w:rPr>
        <w:t xml:space="preserve">§10.4 — Limitations</w:t>
      </w:r>
    </w:p>
    <w:p>
      <w:pPr>
        <w:spacing w:after="160"/>
      </w:pPr>
      <w:r>
        <w:rPr>
          <w:rFonts w:ascii="Arial" w:cs="Arial" w:eastAsia="Arial" w:hAnsi="Arial"/>
          <w:sz w:val="24"/>
          <w:szCs w:val="24"/>
        </w:rPr>
        <w:t xml:space="preserve">This paper is a mechanistic synthesis and narrative review, not a systematic review. Several limitations follow from this.</w:t>
      </w:r>
    </w:p>
    <w:p>
      <w:pPr>
        <w:spacing w:after="160"/>
      </w:pPr>
      <w:r>
        <w:rPr>
          <w:rFonts w:ascii="Arial" w:cs="Arial" w:eastAsia="Arial" w:hAnsi="Arial"/>
          <w:sz w:val="24"/>
          <w:szCs w:val="24"/>
        </w:rPr>
        <w:t xml:space="preserve">First, the literature search was targeted rather than exhaustive. Search terms were selected to retrieve mechanistically relevant evidence for the two-gate model, not to enumerate all studies on reflux disease. Some relevant studies may have been missed, and the reference list (n=24) is selective rather than comprehensive. The conclusions should be read as a synthesis of the cited evidence, not as a meta-analytic consensus.</w:t>
      </w:r>
    </w:p>
    <w:p>
      <w:pPr>
        <w:spacing w:after="160"/>
      </w:pPr>
      <w:r>
        <w:rPr>
          <w:rFonts w:ascii="Arial" w:cs="Arial" w:eastAsia="Arial" w:hAnsi="Arial"/>
          <w:sz w:val="24"/>
          <w:szCs w:val="24"/>
        </w:rPr>
        <w:t xml:space="preserve">Second, many of the mechanistic chains described involve multiple individually-supported steps that have not been directly demonstrated as a unified cascade in humans. The TLESR → UES escape → laryngeal pepsin deposition → dietary reactivation chain is well-supported at each link; the complete cascade in a single human study does not exist. Similarly, the PPI → delayed solid emptying → TLESR worsening chain is mechanistically grounded in systematic review data but has not been directly tested as a clinical phenotype in a prospective LPR population. The stress-reflux connection, microbiome-TLESR link, and circadian/autonomic components are Tier B or C and carry corresponding uncertainty.</w:t>
      </w:r>
    </w:p>
    <w:p>
      <w:pPr>
        <w:spacing w:after="160"/>
      </w:pPr>
      <w:r>
        <w:rPr>
          <w:rFonts w:ascii="Arial" w:cs="Arial" w:eastAsia="Arial" w:hAnsi="Arial"/>
          <w:sz w:val="24"/>
          <w:szCs w:val="24"/>
        </w:rPr>
        <w:t xml:space="preserve">Third, the treatment architecture in §8 is derived from mechanism, not from comparative randomised trials. The LPR treatment sequence represents the mechanistic interpretation offered in this paper, not a clinical guideline. Where specific agents are recommended (baclofen, pregabalin) or escalation strategies questioned (PPI dose increases in TLESR-dominant patients), these are mechanistic arguments warranting prospective evaluation, not practice-changing directives. Readers should apply clinical judgment and consider individual patient factors.</w:t>
      </w:r>
    </w:p>
    <w:p>
      <w:pPr>
        <w:spacing w:after="160"/>
      </w:pPr>
      <w:r>
        <w:rPr>
          <w:rFonts w:ascii="Arial" w:cs="Arial" w:eastAsia="Arial" w:hAnsi="Arial"/>
          <w:sz w:val="24"/>
          <w:szCs w:val="24"/>
        </w:rPr>
        <w:t xml:space="preserve">Fourth, the pepsin-centric framing, while well-supported by Johnston et al. and the salivary pepsin literature, remains contested in gastroenterology practice. Some GERD/LPR management guidelines do not distinguish pepsin from acid as the primary LPR damaging agent, and the salivary pepsin assay lacks a validated clinical cutoff. The diagnostic and therapeutic implications drawn from this framework are therefore best understood as a hypothesis-generating model awaiting prospective confirmation in adequately powered trials.</w:t>
      </w:r>
    </w:p>
    <w:p>
      <w:pPr>
        <w:pStyle w:val="Heading1"/>
        <w:spacing w:before="360" w:after="180"/>
      </w:pPr>
      <w:r>
        <w:rPr>
          <w:rFonts w:ascii="Arial" w:cs="Arial" w:eastAsia="Arial" w:hAnsi="Arial"/>
          <w:b/>
          <w:bCs/>
          <w:sz w:val="32"/>
          <w:szCs w:val="32"/>
        </w:rPr>
        <w:t xml:space="preserve">§10.5 — Acknowledgments</w:t>
      </w:r>
    </w:p>
    <w:p>
      <w:pPr>
        <w:spacing w:after="160"/>
      </w:pPr>
      <w:r>
        <w:rPr>
          <w:rFonts w:ascii="Arial" w:cs="Arial" w:eastAsia="Arial" w:hAnsi="Arial"/>
          <w:sz w:val="24"/>
          <w:szCs w:val="24"/>
        </w:rPr>
        <w:t xml:space="preserve">This work originated as part of an independent project to build a biologically accurate cross-system model of human physiology. The problem that motivated it is the same problem this paper addresses: biological research is siloed by specialty, and patients with conditions that span multiple systems — ENS, autonomic, hormonal, mucosal — fall through the diagnostic gaps between those silos. The biological claims are derived entirely from the published primary literature cited in the references; the contribution is the synthesis. Research files associated with this project are publicly available at github.com/Sykopompos/Research-papers. Tools used: Claude.ai for writing and research synthesis; citation verification cross-checked against primary literature throughout.</w:t>
      </w:r>
    </w:p>
    <w:p>
      <w:pPr>
        <w:pStyle w:val="Heading1"/>
        <w:spacing w:before="360" w:after="180"/>
      </w:pPr>
      <w:r>
        <w:rPr>
          <w:rFonts w:ascii="Arial" w:cs="Arial" w:eastAsia="Arial" w:hAnsi="Arial"/>
          <w:b/>
          <w:bCs/>
          <w:sz w:val="32"/>
          <w:szCs w:val="32"/>
        </w:rPr>
        <w:t xml:space="preserve">§11 — References</w:t>
      </w:r>
    </w:p>
    <w:p>
      <w:pPr>
        <w:spacing w:after="160"/>
      </w:pPr>
      <w:r>
        <w:rPr>
          <w:rFonts w:ascii="Arial" w:cs="Arial" w:eastAsia="Arial" w:hAnsi="Arial"/>
          <w:sz w:val="24"/>
          <w:szCs w:val="24"/>
        </w:rPr>
        <w:t xml:space="preserve">[Koufman91] J.A. Koufman. The otolaryngologic manifestations of gastroesophageal reflux disease (GERD): a clinical investigation of 225 patients using ambulatory 24-hour pH monitoring and an experimental investigation of the role of acid and pepsin in the development of laryngeal injury. Laryngoscope 101 Suppl 53 (1991) 1–78. [Seminal LPR paper; coined LPR as distinct from GERD; posterior laryngoscopic findings; pH-impedance in LPR; pepsin role in laryngeal injury]</w:t>
      </w:r>
    </w:p>
    <w:p>
      <w:pPr>
        <w:spacing w:after="160"/>
      </w:pPr>
      <w:r>
        <w:rPr>
          <w:rFonts w:ascii="Arial" w:cs="Arial" w:eastAsia="Arial" w:hAnsi="Arial"/>
          <w:sz w:val="24"/>
          <w:szCs w:val="24"/>
        </w:rPr>
        <w:t xml:space="preserve">[Johnston07] N. Johnston et al. Pepsin in laryngopharyngeal reflux: the complete picture. Ann Otol Rhinol Laryngol 116 (2007) 475–485. [Pepsin pH stability; receptor-mediated endocytosis into laryngeal cells; intracellular pepsin activity; alkaline water pepsin denaturation]</w:t>
      </w:r>
    </w:p>
    <w:p>
      <w:pPr>
        <w:spacing w:after="160"/>
      </w:pPr>
      <w:r>
        <w:rPr>
          <w:rFonts w:ascii="Arial" w:cs="Arial" w:eastAsia="Arial" w:hAnsi="Arial"/>
          <w:sz w:val="24"/>
          <w:szCs w:val="24"/>
        </w:rPr>
        <w:t xml:space="preserve">[Holloway95] R.H. Holloway et al. Gastric distension: a mechanism for postprandial gastroesophageal reflux. Gastroenterology 89 (1985) 779–784; and: R.H. Holloway and J. Dent. Pathophysiology of gastroesophageal reflux. Lower esophageal sphincter dysfunction in gastroesophageal reflux disease. Gastroenterol Clin North Am 19 (1990) 517–535. [TLESR mechanism; VIP/NO molecular pathway; vagal mediation of TLESRs; 80% of GERD events are TLESRs]</w:t>
      </w:r>
    </w:p>
    <w:p>
      <w:pPr>
        <w:spacing w:after="160"/>
      </w:pPr>
      <w:r>
        <w:rPr>
          <w:rFonts w:ascii="Arial" w:cs="Arial" w:eastAsia="Arial" w:hAnsi="Arial"/>
          <w:sz w:val="24"/>
          <w:szCs w:val="24"/>
        </w:rPr>
        <w:t xml:space="preserve">[Furness06] J.B. Furness. The Enteric Nervous System. Blackwell (2006). [ENS architecture; myenteric plexus; inhibitory ENS motor neurons; VIP/NO peristaltic descending inhibition; ACh excitatory motor neurons; IPANs]</w:t>
      </w:r>
    </w:p>
    <w:p>
      <w:pPr>
        <w:spacing w:after="160"/>
      </w:pPr>
      <w:r>
        <w:rPr>
          <w:rFonts w:ascii="Arial" w:cs="Arial" w:eastAsia="Arial" w:hAnsi="Arial"/>
          <w:sz w:val="24"/>
          <w:szCs w:val="24"/>
        </w:rPr>
        <w:t xml:space="preserve">[Lehmann99] A. Lehmann et al. GABA-B receptor activation inhibits transient lower esophageal sphincter relaxations in dogs. Gastroenterology 117 (1999) 1147–1154. [Baclofen GABA-B mechanism; TLESR reduction ~40–60%; VIP release suppression]</w:t>
      </w:r>
    </w:p>
    <w:p>
      <w:pPr>
        <w:spacing w:after="160"/>
      </w:pPr>
      <w:r>
        <w:rPr>
          <w:rFonts w:ascii="Arial" w:cs="Arial" w:eastAsia="Arial" w:hAnsi="Arial"/>
          <w:sz w:val="24"/>
          <w:szCs w:val="24"/>
        </w:rPr>
        <w:t xml:space="preserve">[Mittal11] R.K. Mittal. The crural diaphragm, an external lower esophageal sphincter: a definitive study. Gastroenterology 105 (1993) 1565–1567; and: R.K. Mittal. Lower esophageal sphincter and the gastroesophageal junction. J Clin Gastroenterol 45 Suppl (2011) S7–15. [Crural diaphragm LES augmentation; hiatal hernia and LES competence; LES tone measurement]</w:t>
      </w:r>
    </w:p>
    <w:p>
      <w:pPr>
        <w:spacing w:after="160"/>
      </w:pPr>
      <w:r>
        <w:rPr>
          <w:rFonts w:ascii="Arial" w:cs="Arial" w:eastAsia="Arial" w:hAnsi="Arial"/>
          <w:sz w:val="24"/>
          <w:szCs w:val="24"/>
        </w:rPr>
        <w:t xml:space="preserve">[Koufman12] J.A. Koufman and N. Johnston. Potential benefits of pH 8.8 alkaline drinking water as an adjunct in the treatment of reflux disease. Ann Otol Rhinol Laryngol 121 (2012) 431–434. [Alkaline water pH 8.8 irreversibly denatures pepsin; pepsin activity assay; clinical implications for LPR]</w:t>
      </w:r>
    </w:p>
    <w:p>
      <w:pPr>
        <w:spacing w:after="160"/>
      </w:pPr>
      <w:r>
        <w:rPr>
          <w:rFonts w:ascii="Arial" w:cs="Arial" w:eastAsia="Arial" w:hAnsi="Arial"/>
          <w:sz w:val="24"/>
          <w:szCs w:val="24"/>
        </w:rPr>
        <w:t xml:space="preserve">[Fass07] R. Fass and G. Tougas. Functional heartburn: the stimulus, the pain, and the brain. Gut 51 (2002) 885–892; and: R. Fass. Functional heartburn: what it is and how to treat it. Gastrointest Endosc Clin N Am 19 (2009) 23–33. [NERD central sensitisation; TRPV1 on esophageal afferents; substance P/NMDA mechanism; TCA efficacy in NERD; acid hypersensitivity]</w:t>
      </w:r>
    </w:p>
    <w:p>
      <w:pPr>
        <w:spacing w:after="160"/>
      </w:pPr>
      <w:r>
        <w:rPr>
          <w:rFonts w:ascii="Arial" w:cs="Arial" w:eastAsia="Arial" w:hAnsi="Arial"/>
          <w:sz w:val="24"/>
          <w:szCs w:val="24"/>
        </w:rPr>
        <w:t xml:space="preserve">[Richter03] J.E. Richter. Gastroesophageal reflux disease during pregnancy. Gastroenterol Clin North Am 32 (2003) 235–261. [Progesterone LES relaxation; pregnancy GERD prevalence 30–80%; hormonal + mechanical mechanisms; management in pregnancy]</w:t>
      </w:r>
    </w:p>
    <w:p>
      <w:pPr>
        <w:spacing w:after="160"/>
      </w:pPr>
      <w:r>
        <w:rPr>
          <w:rFonts w:ascii="Arial" w:cs="Arial" w:eastAsia="Arial" w:hAnsi="Arial"/>
          <w:sz w:val="24"/>
          <w:szCs w:val="24"/>
        </w:rPr>
        <w:t xml:space="preserve">[Noh25] Y. Noh et al. Glucagon-like peptide-1 receptor agonists and risk for gastroesophageal reflux disease in patients with type 2 diabetes: a population-based cohort study. Ann Intern Med 178 (2025) 1268–1278. [n=24,708 GLP-1 RA vs 89,096 SGLT-2 inhibitor users; RR 1.27 (CI 1.14–1.42) for GERD; RR 1.55 (CI 1.12–2.29) for complications; 3-year follow-up]</w:t>
      </w:r>
    </w:p>
    <w:p>
      <w:pPr>
        <w:spacing w:after="160"/>
      </w:pPr>
      <w:r>
        <w:rPr>
          <w:rFonts w:ascii="Arial" w:cs="Arial" w:eastAsia="Arial" w:hAnsi="Arial"/>
          <w:sz w:val="24"/>
          <w:szCs w:val="24"/>
        </w:rPr>
        <w:t xml:space="preserve">[Liu24] B.D. Liu et al. Shorter-acting GLP-1 receptor agonists are associated with increased development of gastro-oesophageal reflux disease and its complications in type 2 diabetes. Gut 73 (2024) 246–254. [n=177,666 propensity-matched; short-acting GLP-1 RAs &gt; long-acting for GERD risk; gastric emptying delay mechanism]</w:t>
      </w:r>
    </w:p>
    <w:p>
      <w:pPr>
        <w:spacing w:after="160"/>
      </w:pPr>
      <w:r>
        <w:rPr>
          <w:rFonts w:ascii="Arial" w:cs="Arial" w:eastAsia="Arial" w:hAnsi="Arial"/>
          <w:sz w:val="24"/>
          <w:szCs w:val="24"/>
        </w:rPr>
        <w:t xml:space="preserve">[Ungaro25] R. Ungaro et al. GLP-1 receptor agonists and gastrointestinal adverse events: a systematic review and meta-analysis. Gastroenterology (2025). [55 RCTs, n=106,395; GLP-1 RAs increase risk of cholelithiasis and GERD vs placebo; ~4 more GERD cases per 1000 treated patients; higher risk with high-dose weight-loss formulations]</w:t>
      </w:r>
    </w:p>
    <w:p>
      <w:pPr>
        <w:spacing w:after="160"/>
      </w:pPr>
      <w:r>
        <w:rPr>
          <w:rFonts w:ascii="Arial" w:cs="Arial" w:eastAsia="Arial" w:hAnsi="Arial"/>
          <w:sz w:val="24"/>
          <w:szCs w:val="24"/>
        </w:rPr>
        <w:t xml:space="preserve">[Spencer20] N.J. Spencer et al. Enteric nervous system. Nat Rev Gastroenterol Hepatol 17 (2020) 338–351. [ENS architecture; myenteric/submucosal plexus; IPAN function; 5-HT gating; ENS autonomy]</w:t>
      </w:r>
    </w:p>
    <w:p>
      <w:pPr>
        <w:spacing w:after="160"/>
      </w:pPr>
      <w:r>
        <w:rPr>
          <w:rFonts w:ascii="Arial" w:cs="Arial" w:eastAsia="Arial" w:hAnsi="Arial"/>
          <w:sz w:val="24"/>
          <w:szCs w:val="24"/>
        </w:rPr>
        <w:t xml:space="preserve">[Yano15] J.M. Yano et al. Indigenous bacteria from the gut microbiota regulate host serotonin biosynthesis. Cell 161 (2015) 264–276. [Spore-forming bacteria → EC cell 5-HT synthesis; microbiome-ENS motility link]</w:t>
      </w:r>
    </w:p>
    <w:p>
      <w:pPr>
        <w:spacing w:after="160"/>
      </w:pPr>
      <w:r>
        <w:rPr>
          <w:rFonts w:ascii="Arial" w:cs="Arial" w:eastAsia="Arial" w:hAnsi="Arial"/>
          <w:sz w:val="24"/>
          <w:szCs w:val="24"/>
        </w:rPr>
        <w:t xml:space="preserve">[Ciccaglione03] A.F. Ciccaglione and L. Marzio. Effect of acute and chronic administration of the GABA-B agonist baclofen on 24-hour pH-metry and symptoms in control subjects and in patients with gastro-oesophageal reflux disease. Gut 52 (2003) 464–470. [Human RCT; baclofen 10 mg TID reduces TLESR frequency and acid reflux events; CNS side effect profile documented]</w:t>
      </w:r>
    </w:p>
    <w:p>
      <w:pPr>
        <w:spacing w:after="120"/>
      </w:pPr>
      <w:r>
        <w:rPr>
          <w:rFonts w:ascii="Arial" w:cs="Arial" w:eastAsia="Arial" w:hAnsi="Arial"/>
          <w:sz w:val="24"/>
          <w:szCs w:val="24"/>
        </w:rPr>
        <w:t xml:space="preserve"/>
      </w:r>
    </w:p>
    <w:p>
      <w:pPr>
        <w:spacing w:after="160"/>
      </w:pPr>
      <w:r>
        <w:rPr>
          <w:rFonts w:ascii="Arial" w:cs="Arial" w:eastAsia="Arial" w:hAnsi="Arial"/>
          <w:sz w:val="24"/>
          <w:szCs w:val="24"/>
        </w:rPr>
        <w:t xml:space="preserve">[Kotikula21] I. Kotikula et al. Randomised clinical trial: the effects of pregabalin vs placebo on functional dyspepsia. Aliment Pharmacol Ther 54 (2021) 842–851. [n=72 FD patients; pregabalin 75 mg daily vs placebo; 70.6% vs 42.1% adequate relief at week 4; epigastric pain subgroup; dizziness most common AE]</w:t>
      </w:r>
    </w:p>
    <w:p>
      <w:pPr>
        <w:spacing w:after="160"/>
      </w:pPr>
      <w:r>
        <w:rPr>
          <w:rFonts w:ascii="Arial" w:cs="Arial" w:eastAsia="Arial" w:hAnsi="Arial"/>
          <w:sz w:val="24"/>
          <w:szCs w:val="24"/>
        </w:rPr>
        <w:t xml:space="preserve">[Kuyama10] Y. Kuyama et al. Effects of proton pump inhibitors on gastric emptying: a systematic review. Dig Dis Sci 55 (2010) 2226–2234. [Consistent delaying effect of PPIs on solid gastric emptying via inhibition of peptic hydrolysis; liquid emptying variable; TLESR implications]</w:t>
      </w:r>
    </w:p>
    <w:p>
      <w:pPr>
        <w:spacing w:after="160"/>
      </w:pPr>
      <w:r>
        <w:rPr>
          <w:rFonts w:ascii="Arial" w:cs="Arial" w:eastAsia="Arial" w:hAnsi="Arial"/>
          <w:sz w:val="24"/>
          <w:szCs w:val="24"/>
        </w:rPr>
        <w:t xml:space="preserve">[Aziz12] Q. Aziz et al. Randomised clinical trial: pregabalin attenuates the development of acid-induced oesophageal hypersensitivity in healthy volunteers. Aliment Pharmacol Ther 35 (2012) 455–464. [Placebo-controlled RCT; pregabalin vs placebo; acid-induced secondary esophageal hypersensitivity attenuated; pain VAS reduced]</w:t>
      </w:r>
    </w:p>
    <w:p>
      <w:pPr>
        <w:spacing w:after="160"/>
      </w:pPr>
      <w:r>
        <w:rPr>
          <w:rFonts w:ascii="Arial" w:cs="Arial" w:eastAsia="Arial" w:hAnsi="Arial"/>
          <w:sz w:val="24"/>
          <w:szCs w:val="24"/>
        </w:rPr>
        <w:t xml:space="preserve">[Irwin06] R.S. Irwin et al. Diagnosis and management of cough: ACCP evidence-based clinical practice guidelines. Chest 129 Suppl 1 (2006) 1S–292S. [Chronic cough three-cause triad: upper airway cough syndrome, asthma, GERD/LPR; LPR cough response timeline 4–8 weeks]</w:t>
      </w:r>
    </w:p>
    <w:p>
      <w:pPr>
        <w:spacing w:after="160"/>
      </w:pPr>
      <w:r>
        <w:rPr>
          <w:rFonts w:ascii="Arial" w:cs="Arial" w:eastAsia="Arial" w:hAnsi="Arial"/>
          <w:sz w:val="24"/>
          <w:szCs w:val="24"/>
        </w:rPr>
        <w:t xml:space="preserve">[Kim23] S. Kim et al. Salivary pepsin as an independent predictor of treatment response for laryngopharyngeal reflux: prospective cohort study with multivariate analysis. Sci Rep 13 (2023) 22718. [n=72 LPR patients; positive pretreatment salivary pepsin = independent predictor of good PPI response; OR 14.5 (CI 1.075–194.4); lifestyle compliance also independent predictor]</w:t>
      </w:r>
    </w:p>
    <w:p>
      <w:pPr>
        <w:spacing w:after="160"/>
      </w:pPr>
      <w:r>
        <w:rPr>
          <w:rFonts w:ascii="Arial" w:cs="Arial" w:eastAsia="Arial" w:hAnsi="Arial"/>
          <w:sz w:val="24"/>
          <w:szCs w:val="24"/>
        </w:rPr>
        <w:t xml:space="preserve">[Johnston23] N. Johnston et al. Oral and inhaled fosamprenavir reverses pepsin-induced damage in a laryngopharyngeal reflux mouse model. Laryngoscope 133 Suppl 1 (2023) S1–S11. [Fosamprenavir as pepsin inhibitor; repurposed HIV protease inhibitor; proof-of-concept for direct pepsin-targeted therapy; Phase II RCTs for LPR and GERD announced 2025]</w:t>
      </w:r>
    </w:p>
    <w:p>
      <w:pPr>
        <w:spacing w:after="160"/>
      </w:pPr>
      <w:r>
        <w:rPr>
          <w:rFonts w:ascii="Arial" w:cs="Arial" w:eastAsia="Arial" w:hAnsi="Arial"/>
          <w:sz w:val="24"/>
          <w:szCs w:val="24"/>
        </w:rPr>
        <w:t xml:space="preserve">[Gelardi25] M. Gelardi et al. Efficacy of dietary modifications and mucosal protectors in the treatment of laryngopharyngeal reflux: a multicenter study. Front Med 12 (2025) 1488323. [n=48 LPR; RCT comparing dietary only vs mucosal protectors only vs combined; combined group showed greatest RSI/RFS improvement and greatest salivary pepsin reduction]</w:t>
      </w:r>
    </w:p>
    <w:p>
      <w:pPr>
        <w:spacing w:after="160"/>
      </w:pPr>
      <w:r>
        <w:rPr>
          <w:rFonts w:ascii="Arial" w:cs="Arial" w:eastAsia="Arial" w:hAnsi="Arial"/>
          <w:sz w:val="24"/>
          <w:szCs w:val="24"/>
        </w:rPr>
        <w:t xml:space="preserve">[Lechien25] J.R. Lechien. Treatment for laryngopharyngeal reflux disease: a systematic review of controlled studies. Otolaryngol Head Neck Surg (2025). [Systematic review 1990–2024; alginates non-inferior to PPIs in 3/4 controlled studies for LPRD; TLESR duration longer in LPRD vs controls]</w:t>
      </w:r>
    </w:p>
    <w:p>
      <w:pPr>
        <w:spacing w:after="160"/>
      </w:pPr>
      <w:r>
        <w:rPr>
          <w:rFonts w:ascii="Arial" w:cs="Arial" w:eastAsia="Arial" w:hAnsi="Arial"/>
          <w:sz w:val="24"/>
          <w:szCs w:val="24"/>
        </w:rPr>
        <w:t xml:space="preserve">[Khoury99] R.M. Khoury et al. Influence of spontaneous sleep positions on nighttime recumbent reflux in patients with gastroesophageal reflux disease. Am J Gastroenterol 94 (1999) 2069–2073. [Left lateral decubitus reduces acid exposure time ~70% vs right lateral; positional management evidence]</w:t>
      </w:r>
    </w:p>
    <w:p>
      <w:pPr>
        <w:spacing w:after="160"/>
      </w:pPr>
      <w:r>
        <w:rPr>
          <w:rFonts w:ascii="Arial" w:cs="Arial" w:eastAsia="Arial" w:hAnsi="Arial"/>
          <w:i/>
          <w:iCs/>
          <w:color w:val="888888"/>
          <w:sz w:val="24"/>
          <w:szCs w:val="24"/>
        </w:rPr>
        <w:t xml:space="preserve">v2.2 — March 2026 — 24 references. Pass 1+2 pressure test fixes: vagally-mediated corrected; Lesogafloxacin removed; deSouza11 replaced with Ciccaglione03; Koufman91 PPI citation removed; CCK mechanism corrected to nodose ganglion; TCA mechanism corrected; Richter03 menopause citation removed; pepsin reactivation threshold corrected; tirzepatide dual agonist noted; baclofen dose corrected to 5–10 mg TID; zonulin specificity removed; progesterone pathway distinction fixed. PPI paradox section added (§4.2, §8.2): PPIs delay solid gastric emptying via peptic hydrolysis inhibition → increased TLESR frequency → worsening LPR in TLESR-dominant patients. Pregabalin for esophageal hypersensitivity added (Aziz12 RCT). LDN for visceral hypersensitivity added (Tier C). New references: Ciccaglione03, Kuyama10, Aziz12, Irwin06, Khoury99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2026-03-16T23:39:28.501Z</dcterms:created>
  <dcterms:modified xsi:type="dcterms:W3CDTF">2026-03-16T23:39:28.501Z</dcterms:modified>
</cp:coreProperties>
</file>

<file path=docProps/custom.xml><?xml version="1.0" encoding="utf-8"?>
<Properties xmlns="http://schemas.openxmlformats.org/officeDocument/2006/custom-properties" xmlns:vt="http://schemas.openxmlformats.org/officeDocument/2006/docPropsVTypes"/>
</file>