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left"/>
      </w:pPr>
      <w:r>
        <w:rPr>
          <w:rFonts w:ascii="Arial" w:cs="Arial" w:eastAsia="Arial" w:hAnsi="Arial"/>
          <w:b/>
          <w:bCs/>
          <w:color w:val="1F3864"/>
          <w:sz w:val="52"/>
          <w:szCs w:val="52"/>
        </w:rPr>
        <w:t xml:space="preserve">Autoimmunity as Multi-System Failure</w:t>
      </w:r>
    </w:p>
    <w:p>
      <w:pPr>
        <w:spacing w:before="80" w:after="80"/>
      </w:pPr>
      <w:r>
        <w:rPr>
          <w:rFonts w:ascii="Arial" w:cs="Arial" w:eastAsia="Arial" w:hAnsi="Arial"/>
          <w:i/>
          <w:iCs/>
          <w:color w:val="444444"/>
          <w:sz w:val="28"/>
          <w:szCs w:val="28"/>
        </w:rPr>
        <w:t xml:space="preserve">Mapping the Siloed Evidence Across Immunology, Neuroimmunology, Endocrinology, Gut Biology, and Thymic Aging</w:t>
      </w:r>
    </w:p>
    <w:p>
      <w:pPr>
        <w:spacing w:before="80" w:after="80"/>
      </w:pPr>
      <w:r>
        <w:t xml:space="preserve"/>
      </w:r>
    </w:p>
    <w:p>
      <w:pPr>
        <w:spacing w:before="40" w:after="40"/>
      </w:pPr>
      <w:r>
        <w:rPr>
          <w:rFonts w:ascii="Arial" w:cs="Arial" w:eastAsia="Arial" w:hAnsi="Arial"/>
          <w:color w:val="555555"/>
          <w:sz w:val="24"/>
          <w:szCs w:val="24"/>
        </w:rPr>
        <w:t xml:space="preserve">M. Finnegan · ORCID: 0009-0009-4921-7722</w:t>
      </w:r>
    </w:p>
    <w:p>
      <w:pPr>
        <w:spacing w:before="40" w:after="40"/>
      </w:pPr>
      <w:r>
        <w:rPr>
          <w:rFonts w:ascii="Arial" w:cs="Arial" w:eastAsia="Arial" w:hAnsi="Arial"/>
          <w:color w:val="777777"/>
          <w:sz w:val="22"/>
          <w:szCs w:val="22"/>
        </w:rPr>
        <w:t xml:space="preserve">Version 1.6 · March 2026 · Preprint · Not yet peer reviewed</w:t>
      </w:r>
    </w:p>
    <w:p>
      <w:pPr>
        <w:spacing w:before="40" w:after="40"/>
      </w:pPr>
      <w:r>
        <w:rPr>
          <w:rFonts w:ascii="Arial" w:cs="Arial" w:eastAsia="Arial" w:hAnsi="Arial"/>
          <w:color w:val="2E5090"/>
          <w:sz w:val="22"/>
          <w:szCs w:val="22"/>
        </w:rPr>
        <w:t xml:space="preserve">github.com/Sykopompos/Research-Papers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Abstract</w:t>
      </w:r>
    </w:p>
    <w:p>
      <w:pPr>
        <w:spacing w:before="80" w:after="80"/>
        <w:jc w:val="both"/>
      </w:pPr>
      <w:r>
        <w:rPr>
          <w:rFonts w:ascii="Arial" w:cs="Arial" w:eastAsia="Arial" w:hAnsi="Arial"/>
          <w:sz w:val="24"/>
          <w:szCs w:val="24"/>
        </w:rPr>
        <w:t xml:space="preserve">Autoimmune disease is studied in at least five largely non-communicating literatures: immunology (central and peripheral tolerance), gut biology (microbiome–immune axis and intestinal barrier), neuroimmunology (vagal and sympathetic modulation), endocrinology (sex and stress hormone operating parameters), and thymic aging (involution-driven tolerance failure and inflammaging). Each has identified real mechanisms, yet none, taken alone, adequately explains why tolerance fails when it does, in whom, or why single-system interventions often produce only partial and unstable remission.</w:t>
      </w:r>
    </w:p>
    <w:p>
      <w:pPr>
        <w:spacing w:before="80" w:after="80"/>
        <w:jc w:val="both"/>
      </w:pPr>
      <w:r>
        <w:rPr>
          <w:rFonts w:ascii="Arial" w:cs="Arial" w:eastAsia="Arial" w:hAnsi="Arial"/>
          <w:sz w:val="24"/>
          <w:szCs w:val="24"/>
        </w:rPr>
        <w:t xml:space="preserve">This paper synthesizes these literatures as a coupled multi-system tolerance architecture and highlights five cross-system connections that become visible only when the silos are bridged: (1) a late-life convergence cascade in which DHEA decline, thymic involution, and glucocorticoid receptor resistance simultaneously erode the tolerance threshold; (2) a gut barrier-to-thymic involution pathway, newly characterized in 2024–2025, in which intestinal permeability accelerates thymic architectural disruption and central tolerance failure; (3) a sympathetic denervation feedback loop in which chronically inflamed tissue progressively loses its anti-inflammatory norepinephrine brake; (4) a Substance P/NK1 neurogenic amplification circuit that can sustain chronic inflammation independently of adaptive immune effectors and outside the reach of current biologics; and (5) a concentration-dependent estradiol polarity flip that helps reconcile pregnancy-induced remission with cycle-level autoimmune susceptibility.</w:t>
      </w:r>
    </w:p>
    <w:p>
      <w:pPr>
        <w:spacing w:before="80" w:after="80"/>
        <w:jc w:val="both"/>
      </w:pPr>
      <w:r>
        <w:rPr>
          <w:rFonts w:ascii="Arial" w:cs="Arial" w:eastAsia="Arial" w:hAnsi="Arial"/>
          <w:sz w:val="24"/>
          <w:szCs w:val="24"/>
        </w:rPr>
        <w:t xml:space="preserve">Together, these connections generate specific, testable predictions about disease onset timing, sex ratios, treatment response patterns, and the ceiling effects of current biologics that are not accounted for by single-system models. The paper also incorporates the RESET-RA trial (Nature Medicine, 2025), the first pivotal RCT of vagus nerve stimulation in drug-refractory rheumatoid arthritis, as proof-of-concept that neural modulation of the cholinergic anti-inflammatory pathway is a tractable therapeutic axis in human autoimmunity. The framework is explicitly falsifiable: if durable gut barrier restoration does not attenuate downstream autoimmune activity, the gut-thymus connection fails; if vagus nerve stimulation combined with microbiome intervention does not outperform either alone, the additive cross-system claim fails; if late-life convergence markers do not predict onset or acceleration better than single-system markers, the integrated model should be revised rather than expanded.</w:t>
      </w:r>
    </w:p>
    <w:p>
      <w:pPr>
        <w:spacing w:before="80" w:after="80"/>
        <w:jc w:val="both"/>
      </w:pPr>
      <w:r>
        <w:rPr>
          <w:rFonts w:ascii="Arial" w:cs="Arial" w:eastAsia="Arial" w:hAnsi="Arial"/>
          <w:sz w:val="24"/>
          <w:szCs w:val="24"/>
        </w:rPr>
        <w:t xml:space="preserve">Keywords: autoimmunity, immune tolerance, neuroimmunology, cholinergic anti-inflammatory pathway, gut–immune axis, thymic involution, sex hormones, inflammaging, vagus nerve stimulation, multi-system failure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§1 — The Fragmentation Problem</w:t>
      </w:r>
    </w:p>
    <w:p>
      <w:pPr>
        <w:spacing w:before="80" w:after="80"/>
        <w:jc w:val="both"/>
      </w:pPr>
      <w:r>
        <w:rPr>
          <w:rFonts w:ascii="Arial" w:cs="Arial" w:eastAsia="Arial" w:hAnsi="Arial"/>
          <w:sz w:val="24"/>
          <w:szCs w:val="24"/>
        </w:rPr>
        <w:t xml:space="preserve">Autoimmune disease affects approximately 5–8% of the global population and is rising in prevalence in all Westernized societies. Despite decades of mechanistic research and an expanding pharmacopeia of targeted biologics, most autoimmune conditions remain incurable: therapies achieve remission in a subset of patients, partial response in a larger subset, and non-response in a meaningful minority. Sustained, drug-free remission is rare.</w:t>
      </w:r>
    </w:p>
    <w:p>
      <w:pPr>
        <w:spacing w:before="80" w:after="80"/>
        <w:jc w:val="both"/>
      </w:pPr>
      <w:r>
        <w:rPr>
          <w:rFonts w:ascii="Arial" w:cs="Arial" w:eastAsia="Arial" w:hAnsi="Arial"/>
          <w:sz w:val="24"/>
          <w:szCs w:val="24"/>
        </w:rPr>
        <w:t xml:space="preserve">The standard explanation for this limitation is immunological complexity. Each autoimmune condition has a distinct target organ, distinct autoantigens, and partially distinct effector mechanisms; what works in RA may not work in lupus. This framing is correct as far as it goes. But it understates a different kind of complexity: the fragmentation of the evidence base across disciplines that are studying the same underlying system from different angles and rarely citing each other.</w:t>
      </w:r>
    </w:p>
    <w:p>
      <w:pPr>
        <w:spacing w:before="80" w:after="80"/>
        <w:jc w:val="both"/>
      </w:pPr>
      <w:r>
        <w:rPr>
          <w:rFonts w:ascii="Arial" w:cs="Arial" w:eastAsia="Arial" w:hAnsi="Arial"/>
          <w:sz w:val="24"/>
          <w:szCs w:val="24"/>
        </w:rPr>
        <w:t xml:space="preserve">An immunologist working on Treg biology and a gastroenterologist working on intestinal permeability are both studying factors that modulate the same immune tolerance threshold. A neuroimmunologist studying vagal tone and a rheumatologist studying RA flare patterns are both characterizing inputs to the same cholinergic anti-inflammatory circuit. An endocrinologist studying estradiol effects on B cells and a clinician observing pregnancy-associated remission are both observing the same concentration-dependent hormonal polarity switch. Few of these connections appear explicitly in the primary literature of any single field.</w:t>
      </w:r>
    </w:p>
    <w:p>
      <w:pPr>
        <w:spacing w:before="80" w:after="80"/>
        <w:jc w:val="both"/>
      </w:pPr>
      <w:r>
        <w:rPr>
          <w:rFonts w:ascii="Arial" w:cs="Arial" w:eastAsia="Arial" w:hAnsi="Arial"/>
          <w:sz w:val="24"/>
          <w:szCs w:val="24"/>
        </w:rPr>
        <w:t xml:space="preserve">This paper does not attempt to build a grand unified theory of autoimmunity. The conditions are genuinely heterogeneous at the level of trigger and target. What they share is a common tolerance architecture that fails through a limited number of convergent mechanisms — and those mechanisms are distributed across literatures that do not talk to each other. The goal is to map the connections.</w:t>
      </w:r>
    </w:p>
    <w:p>
      <w:pPr>
        <w:pStyle w:val="Heading2"/>
        <w:spacing w:before="280" w:after="100"/>
      </w:pPr>
      <w:r>
        <w:rPr>
          <w:rFonts w:ascii="Arial" w:cs="Arial" w:eastAsia="Arial" w:hAnsi="Arial"/>
          <w:b/>
          <w:bCs/>
          <w:color w:val="2E5090"/>
          <w:sz w:val="28"/>
          <w:szCs w:val="28"/>
        </w:rPr>
        <w:t xml:space="preserve">1.1 — What the Five Literatures Each See</w:t>
      </w:r>
    </w:p>
    <w:p>
      <w:pPr>
        <w:spacing w:before="80" w:after="80"/>
        <w:jc w:val="both"/>
      </w:pPr>
      <w:r>
        <w:rPr>
          <w:rFonts w:ascii="Arial" w:cs="Arial" w:eastAsia="Arial" w:hAnsi="Arial"/>
          <w:sz w:val="24"/>
          <w:szCs w:val="24"/>
        </w:rPr>
        <w:t xml:space="preserve">Immunology sees the tolerance machinery in detail: thymic negative selection, AIRE-dependent self-antigen presentation, Treg generation and function, co-inhibitory receptor signaling (PD-1, CTLA-4), and the two-signal activation requirement that separates appropriate immune activation from autoimmunity. It sees the effector arms — Th1, Th2, Th17, B-cell antibody production — with granular mechanistic clarity. What it does not see well is what modulates the threshold from outside the adaptive immune system.</w:t>
      </w:r>
    </w:p>
    <w:p>
      <w:pPr>
        <w:spacing w:before="80" w:after="80"/>
        <w:jc w:val="both"/>
      </w:pPr>
      <w:r>
        <w:rPr>
          <w:rFonts w:ascii="Arial" w:cs="Arial" w:eastAsia="Arial" w:hAnsi="Arial"/>
          <w:sz w:val="24"/>
          <w:szCs w:val="24"/>
        </w:rPr>
        <w:t xml:space="preserve">Gut biology sees that the microbiome continuously calibrates Treg/Th17 balance via short-chain fatty acids, Bacteroides fragilis PSA-driven IL-10 induction, and segmented filamentous bacteria-driven Th17 skewing. It sees that intestinal permeability allows microbial translocation that activates pattern recognition receptors systemically. What it has not yet connected, until recently, is that gut barrier dysfunction drives thymic architectural disruption directly — a finding that places gut health upstream of central tolerance.</w:t>
      </w:r>
    </w:p>
    <w:p>
      <w:pPr>
        <w:spacing w:before="80" w:after="80"/>
        <w:jc w:val="both"/>
      </w:pPr>
      <w:r>
        <w:rPr>
          <w:rFonts w:ascii="Arial" w:cs="Arial" w:eastAsia="Arial" w:hAnsi="Arial"/>
          <w:sz w:val="24"/>
          <w:szCs w:val="24"/>
        </w:rPr>
        <w:t xml:space="preserve">Neuroimmunology sees the cholinergic anti-inflammatory pathway (CAP): efferent vagal fibers → splenic ACh release → α7-nAChR on macrophages → TNF-α/IL-1β/IL-6 suppression without suppressing anti-inflammatory cytokines. It sees the sympathetic dual role: acute high-concentration NE is pro-inflammatory via β2-AR; tonic low-concentration NE is anti-inflammatory; and chronically inflamed tissue undergoes sympathetic denervation, removing the anti-inflammatory restraint precisely where it is most needed. What it has not connected is why vagal tone declines in parallel with autoimmune disease progression, or how the SP/NK1 neurogenic amplification loop sustains inflammation independent of adaptive immune control.</w:t>
      </w:r>
    </w:p>
    <w:p>
      <w:pPr>
        <w:spacing w:before="80" w:after="80"/>
        <w:jc w:val="both"/>
      </w:pPr>
      <w:r>
        <w:rPr>
          <w:rFonts w:ascii="Arial" w:cs="Arial" w:eastAsia="Arial" w:hAnsi="Arial"/>
          <w:sz w:val="24"/>
          <w:szCs w:val="24"/>
        </w:rPr>
        <w:t xml:space="preserve">Endocrinology sees that estradiol is immunostimulatory at physiological cycling concentrations — upregulating TLR7/9 responsiveness, B-cell survival, and IFN-α output — but flips to tolerogenic at supraphysiological pregnancy concentrations via a Th2/Treg-promoting shift. It sees that testosterone is immunosuppressive via androgen receptor-driven Treg expansion and IL-17 suppression. It sees that DHEA declines approximately 1–2% per year from age 25, progressively removing an anti-inflammatory buffer. What it has not mapped is how these endocrine inputs interact with the tolerance threshold in real time, or why their simultaneous convergence in the sixth decade produces late-onset autoimmune vulnerability.</w:t>
      </w:r>
    </w:p>
    <w:p>
      <w:pPr>
        <w:spacing w:before="80" w:after="80"/>
        <w:jc w:val="both"/>
      </w:pPr>
      <w:r>
        <w:rPr>
          <w:rFonts w:ascii="Arial" w:cs="Arial" w:eastAsia="Arial" w:hAnsi="Arial"/>
          <w:sz w:val="24"/>
          <w:szCs w:val="24"/>
        </w:rPr>
        <w:t xml:space="preserve">Thymic aging research sees that thymic involution reduces naive T cell export by approximately 90% between youth and age 60; that AIRE-dependent self-antigen coverage declines with involution, allowing self-reactive T cell escape; and that Treg generation becomes imbalanced as the involuted thymus continues selecting but with impaired architecture. It sees the inflammaging paradox — immunosenescence (insufficiency against pathogens) co-occurring with immune hyperreactivity (autoimmune and inflammatory) — as two sides of the same tolerance failure. What it has not connected is that gut barrier dysfunction is an upstream driver of this involution, or that DHEA decline and cortisol GR resistance are converging on the same threshold at the same time.</w:t>
      </w:r>
    </w:p>
    <w:p>
      <w:pPr>
        <w:pStyle w:val="Heading2"/>
        <w:spacing w:before="280" w:after="100"/>
      </w:pPr>
      <w:r>
        <w:rPr>
          <w:rFonts w:ascii="Arial" w:cs="Arial" w:eastAsia="Arial" w:hAnsi="Arial"/>
          <w:b/>
          <w:bCs/>
          <w:color w:val="2E5090"/>
          <w:sz w:val="28"/>
          <w:szCs w:val="28"/>
        </w:rPr>
        <w:t xml:space="preserve">1.2 — Methods and Approach</w:t>
      </w:r>
    </w:p>
    <w:p>
      <w:pPr>
        <w:spacing w:before="80" w:after="80"/>
        <w:jc w:val="both"/>
      </w:pPr>
      <w:r>
        <w:rPr>
          <w:rFonts w:ascii="Arial" w:cs="Arial" w:eastAsia="Arial" w:hAnsi="Arial"/>
          <w:sz w:val="24"/>
          <w:szCs w:val="24"/>
        </w:rPr>
        <w:t xml:space="preserve">This paper is a mechanistic narrative synthesis, not a systematic or scoping review. Sources were identified through targeted searches of PubMed and Google Scholar conducted between January and March 2026. Search terms were drawn from each of the five literatures covered: immune tolerance and regulatory T cells; gut microbiome and intestinal barrier; vagal nerve stimulation and neuroimmunology; sex hormones and autoimmunity; and thymic involution and inflammaging. Priority was given to mechanistic studies with human tissue or clinical data, replicated findings, landmark trials, and recent literature in areas of active development (2020–2026). Review articles were used for orientation but primary mechanistic sources were sought for all specific claims. Conflicting evidence is noted at point of use. Where mechanistic evidence was primarily from animal models without strong human correlates, claims are assigned Tier B or Tier C as appropriate.</w:t>
      </w:r>
    </w:p>
    <w:p>
      <w:pPr>
        <w:spacing w:before="80" w:after="80"/>
        <w:jc w:val="both"/>
      </w:pPr>
      <w:r>
        <w:rPr>
          <w:rFonts w:ascii="Arial" w:cs="Arial" w:eastAsia="Arial" w:hAnsi="Arial"/>
          <w:sz w:val="24"/>
          <w:szCs w:val="24"/>
        </w:rPr>
        <w:t xml:space="preserve">Tier assignments follow a three-level operational scheme applied at point of use throughout the paper. Tier A designates findings at textbook or clinical consensus level — well-replicated, mechanistically confirmed in humans, not meaningfully contested. Tier B designates mechanisms with direct experimental support in human tissue or well-validated animal models with human correlates, but not yet at full consensus. Tier C designates integrative syntheses where each individual mechanistic step is supported at Tier A or B, but the unified cascade as a clinical pattern has not been directly demonstrated. Tier assignments are the author's operational judgments and should be treated as such; reviewers may reasonably disagree on individual placements, particularly at the B/C boundary. The goal is not formal evidence grading but transparent signaling of where the paper is reporting established biology versus where it is proposing a new synthesis. A summary of key mechanisms against tier and primary testable prediction appears in Table 2 (see §5 Summary).</w:t>
      </w:r>
    </w:p>
    <w:p>
      <w:pPr>
        <w:pStyle w:val="Heading2"/>
        <w:spacing w:before="280" w:after="100"/>
      </w:pPr>
      <w:r>
        <w:rPr>
          <w:rFonts w:ascii="Arial" w:cs="Arial" w:eastAsia="Arial" w:hAnsi="Arial"/>
          <w:b/>
          <w:bCs/>
          <w:color w:val="2E5090"/>
          <w:sz w:val="28"/>
          <w:szCs w:val="28"/>
        </w:rPr>
        <w:t xml:space="preserve">1.3 — Evidence Tiers</w:t>
      </w:r>
    </w:p>
    <w:p>
      <w:pPr>
        <w:spacing w:before="80" w:after="80"/>
        <w:jc w:val="both"/>
      </w:pPr>
      <w:r>
        <w:rPr>
          <w:rFonts w:ascii="Arial" w:cs="Arial" w:eastAsia="Arial" w:hAnsi="Arial"/>
          <w:sz w:val="24"/>
          <w:szCs w:val="24"/>
        </w:rPr>
        <w:t xml:space="preserve">Evidence tiers follow a three-level structure throughout this paper. Tier A designates well-replicated, mechanistically confirmed findings at textbook or clinical consensus level. Tier B designates mechanisms with direct experimental support in human tissue or well-validated animal models with human correlates, but not yet at full consensus. Tier C designates integrative syntheses where individual mechanistic steps are supported but the unified cascade as a clinical program has not been directly demonstrated. Tier assignments are made at point of use and consolidated in the evidence tier summary in §10.</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§2 — The Tolerance Architecture</w:t>
      </w:r>
    </w:p>
    <w:p>
      <w:pPr>
        <w:spacing w:before="80" w:after="80"/>
        <w:jc w:val="both"/>
      </w:pPr>
      <w:r>
        <w:rPr>
          <w:rFonts w:ascii="Arial" w:cs="Arial" w:eastAsia="Arial" w:hAnsi="Arial"/>
          <w:sz w:val="24"/>
          <w:szCs w:val="24"/>
        </w:rPr>
        <w:t xml:space="preserve">Immune tolerance is the property that prevents the adaptive immune system from destroying host tissue. It is maintained by two complementary mechanisms operating at different anatomical sites: central tolerance in the thymus, which deletes the most self-reactive T cell clones before they reach the periphery; and peripheral tolerance throughout the body, which suppresses and contains the self-reactive clones that inevitably escape central deletion. Both are required. Neither is perfect. Autoimmune disease is the result when their combined capacity falls below what is needed to contain the self-reactive compartment.</w:t>
      </w:r>
    </w:p>
    <w:p>
      <w:pPr>
        <w:pStyle w:val="Heading2"/>
        <w:spacing w:before="280" w:after="100"/>
      </w:pPr>
      <w:r>
        <w:rPr>
          <w:rFonts w:ascii="Arial" w:cs="Arial" w:eastAsia="Arial" w:hAnsi="Arial"/>
          <w:b/>
          <w:bCs/>
          <w:color w:val="2E5090"/>
          <w:sz w:val="28"/>
          <w:szCs w:val="28"/>
        </w:rPr>
        <w:t xml:space="preserve">2.1 — Central Tolerance: The Thymic Gate</w:t>
      </w:r>
    </w:p>
    <w:p>
      <w:pPr>
        <w:spacing w:before="80" w:after="80"/>
        <w:jc w:val="both"/>
      </w:pPr>
      <w:r>
        <w:rPr>
          <w:rFonts w:ascii="Arial" w:cs="Arial" w:eastAsia="Arial" w:hAnsi="Arial"/>
          <w:sz w:val="24"/>
          <w:szCs w:val="24"/>
        </w:rPr>
        <w:t xml:space="preserve">The thymus educates T cells through two sequential selection events. Positive selection retains thymocytes whose T cell receptors (TCRs) can recognize self-MHC molecules with sufficient affinity to be useful for future immune surveillance. Negative selection eliminates thymocytes whose TCRs bind self-MHC-peptide complexes with too high an affinity — the operational definition of autoreactive. The critical mechanism enabling negative selection is AIRE (autoimmune regulator): a transcription factor expressed in medullary thymic epithelial cells (mTECs) that drives ectopic expression of more than 1,000 tissue-restricted antigens (TRAs) — proteins normally found only in the pancreas, thyroid, retina, and other peripheral organs. Thymocytes that react strongly to these ectopically expressed self-antigens are deleted before they can reach the periphery. AIRE loss-of-function causes APECED (autoimmune polyendocrinopathy-candidiasis-ectodermal dystrophy), characterized by multi-organ autoimmunity, providing direct proof that AIRE-dependent central tolerance is non-redundant. [Tier A; Anderson MS et al., Science 298 (2002) 1395; Sakaguchi S et al., Cell 133 (2008) 775]</w:t>
      </w:r>
    </w:p>
    <w:p>
      <w:pPr>
        <w:spacing w:before="80" w:after="80"/>
        <w:jc w:val="both"/>
      </w:pPr>
      <w:r>
        <w:rPr>
          <w:rFonts w:ascii="Arial" w:cs="Arial" w:eastAsia="Arial" w:hAnsi="Arial"/>
          <w:sz w:val="24"/>
          <w:szCs w:val="24"/>
        </w:rPr>
        <w:t xml:space="preserve">The second product of thymic education is thymic regulatory T cells (tTregs): CD4+CD25+FoxP3+ cells that are positively selected on intermediate-affinity self-antigen recognition — strong enough to signal, not strong enough to trigger deletion. These tTregs are exported to the periphery as a dedicated self-reactive suppressor population, compensating for the imperfections of negative selection by actively suppressing the self-reactive clones that escape. The balance between negative selection (deletion) and Treg generation (suppression) determines how much self-reactive activity the peripheral immune system must manage. [Tier A; Sakaguchi S et al., 2008]</w:t>
      </w:r>
    </w:p>
    <w:p>
      <w:pPr>
        <w:pStyle w:val="Heading2"/>
        <w:spacing w:before="280" w:after="100"/>
      </w:pPr>
      <w:r>
        <w:rPr>
          <w:rFonts w:ascii="Arial" w:cs="Arial" w:eastAsia="Arial" w:hAnsi="Arial"/>
          <w:b/>
          <w:bCs/>
          <w:color w:val="2E5090"/>
          <w:sz w:val="28"/>
          <w:szCs w:val="28"/>
        </w:rPr>
        <w:t xml:space="preserve">2.2 — Peripheral Tolerance: Multiple Redundant Brakes</w:t>
      </w:r>
    </w:p>
    <w:p>
      <w:pPr>
        <w:spacing w:before="80" w:after="80"/>
        <w:jc w:val="both"/>
      </w:pPr>
      <w:r>
        <w:rPr>
          <w:rFonts w:ascii="Arial" w:cs="Arial" w:eastAsia="Arial" w:hAnsi="Arial"/>
          <w:sz w:val="24"/>
          <w:szCs w:val="24"/>
        </w:rPr>
        <w:t xml:space="preserve">Self-reactive T cells that escape central tolerance encounter multiple peripheral suppression mechanisms. T regulatory cells (Tregs) suppress self-reactive clones via three non-redundant mechanisms: contact-dependent suppression (CTLA-4 on Tregs competes with CD28 on effector T cells for B7 ligands on APCs, reducing co-stimulation); cytokine-mediated suppression (IL-10 and TGF-β suppress effector proliferation and cytokine production); and metabolic disruption (IL-2 consumption depletes the survival signal for effector T cells). Co-inhibitory receptors on effector T cells — PD-1 and CTLA-4 — raise the activation threshold by competing with activating signals. Antigen clearance removes the stimulus that sustains self-reactive activation. [Tier A; Bluestone JA et al., Nat Rev Immunol 3 (2003) 253]</w:t>
      </w:r>
    </w:p>
    <w:p>
      <w:pPr>
        <w:spacing w:before="80" w:after="80"/>
        <w:jc w:val="both"/>
      </w:pPr>
      <w:r>
        <w:rPr>
          <w:rFonts w:ascii="Arial" w:cs="Arial" w:eastAsia="Arial" w:hAnsi="Arial"/>
          <w:sz w:val="24"/>
          <w:szCs w:val="24"/>
        </w:rPr>
        <w:t xml:space="preserve">The critical implication is that peripheral tolerance is not a single mechanism but a redundant stack. This is why autoimmunity typically requires either a catastrophic failure of one mechanism (AIRE mutation, complete Treg depletion) or the simultaneous partial failure of several (aging-related Treg dysfunction + gut barrier dysbiosis + sex hormone shift + chronic stress-driven GR resistance). No single hit is usually sufficient. The multi-system convergence is not an accident — it is what tolerance is architecturally designed to resist.</w:t>
      </w:r>
    </w:p>
    <w:p>
      <w:pPr>
        <w:pStyle w:val="Heading2"/>
        <w:spacing w:before="280" w:after="100"/>
      </w:pPr>
      <w:r>
        <w:rPr>
          <w:rFonts w:ascii="Arial" w:cs="Arial" w:eastAsia="Arial" w:hAnsi="Arial"/>
          <w:b/>
          <w:bCs/>
          <w:color w:val="2E5090"/>
          <w:sz w:val="28"/>
          <w:szCs w:val="28"/>
        </w:rPr>
        <w:t xml:space="preserve">2.3 — The Chronic Inflammation Integral</w:t>
      </w:r>
    </w:p>
    <w:p>
      <w:pPr>
        <w:spacing w:before="80" w:after="80"/>
        <w:jc w:val="both"/>
      </w:pPr>
      <w:r>
        <w:rPr>
          <w:rFonts w:ascii="Arial" w:cs="Arial" w:eastAsia="Arial" w:hAnsi="Arial"/>
          <w:sz w:val="24"/>
          <w:szCs w:val="24"/>
        </w:rPr>
        <w:t xml:space="preserve">Acute inflammation is an adaptive response with a defined endpoint: pathogen clearance drives resolution signals (IL-10, TGF-β, lipoxins) that contract the immune response. Chronic inflammation is what happens when the resolution mechanism fails or the antigenic stimulus persists. The inflammatory state accumulates over time — each cycle of activation adds to a growing burden of tissue-resident effector cells, primed macrophages, and sensitized mast cells that lower the threshold for re-activation.</w:t>
      </w:r>
    </w:p>
    <w:p>
      <w:pPr>
        <w:spacing w:before="80" w:after="80"/>
        <w:jc w:val="both"/>
      </w:pPr>
      <w:r>
        <w:rPr>
          <w:rFonts w:ascii="Arial" w:cs="Arial" w:eastAsia="Arial" w:hAnsi="Arial"/>
          <w:sz w:val="24"/>
          <w:szCs w:val="24"/>
        </w:rPr>
        <w:t xml:space="preserve">This accumulated inflammatory state is the key to understanding why autoimmune disease is so difficult to resolve with single-target therapies. A biologic that blocks TNF-α or depletes B cells addresses one effector mechanism. It does not clear the accumulated burden of antigen-experienced self-reactive cells, does not restore Treg suppressive function, does not address the neurogenic amplification loop running through Substance P/NK1 receptors, and does not reverse the underlying tolerance failure. Relief is real but partial. Sustained remission requires clearing the drivers, not just suppressing the outputs.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§3 — Sex Hormones as Immune Operating Parameters</w:t>
      </w:r>
    </w:p>
    <w:p>
      <w:pPr>
        <w:spacing w:before="80" w:after="80"/>
        <w:jc w:val="both"/>
      </w:pPr>
      <w:r>
        <w:rPr>
          <w:rFonts w:ascii="Arial" w:cs="Arial" w:eastAsia="Arial" w:hAnsi="Arial"/>
          <w:sz w:val="24"/>
          <w:szCs w:val="24"/>
        </w:rPr>
        <w:t xml:space="preserve">The 80% female prevalence of autoimmune disease is the largest sex asymmetry in any major disease category. It is not explained by differential exposure to environmental triggers, differential healthcare-seeking behavior, or random variation. It is explained mechanistically by the immunological effects of estradiol and testosterone, which set the immune system’s baseline operating point relative to the autoimmune threshold. This is one of the most well-supported but underemphasized findings in autoimmunity reviews — it appears in the endocrine literature but rarely in immunology reviews.</w:t>
      </w:r>
    </w:p>
    <w:p>
      <w:pPr>
        <w:pStyle w:val="Heading2"/>
        <w:spacing w:before="280" w:after="100"/>
      </w:pPr>
      <w:r>
        <w:rPr>
          <w:rFonts w:ascii="Arial" w:cs="Arial" w:eastAsia="Arial" w:hAnsi="Arial"/>
          <w:b/>
          <w:bCs/>
          <w:color w:val="2E5090"/>
          <w:sz w:val="28"/>
          <w:szCs w:val="28"/>
        </w:rPr>
        <w:t xml:space="preserve">3.1 — Estradiol: Immunostimulatory at Cycling Concentrations</w:t>
      </w:r>
    </w:p>
    <w:p>
      <w:pPr>
        <w:spacing w:before="80" w:after="80"/>
        <w:jc w:val="both"/>
      </w:pPr>
      <w:r>
        <w:rPr>
          <w:rFonts w:ascii="Arial" w:cs="Arial" w:eastAsia="Arial" w:hAnsi="Arial"/>
          <w:sz w:val="24"/>
          <w:szCs w:val="24"/>
        </w:rPr>
        <w:t xml:space="preserve">Estradiol (E2) acts on immune cells through both membrane estrogen receptors (rapid signaling) and nuclear ERα/ERβ (genomic). At physiological cycling concentrations (follicular and luteal phase levels), the net effect is immunostimulatory across multiple arms. E2 acts on B cells via ERα to upregulate Bcl-2, extending B cell survival and increasing antibody production — the same mechanism that drives higher autoantibody titers in female-predominant autoimmune conditions. E2 upregulates TLR7 and TLR9 on plasmacytoid dendritic cells, increasing responsiveness to ssRNA and dsDNA — the nuclear debris that drives lupus pathology. Plasmacytoid dendritic cells from females produce more IFN-α per TLR stimulus than those from males, E2-dependently. E2 promotes Th1 responses at low-to-moderate concentrations, consistent with the autoimmune susceptibility seen across the menstrual cycle. [Tier A; Fairweather D &amp; Rose NR, Emerg Infect Dis 10 (2004) 2005; Cunningham M &amp; Gilkeson G, Autoimmun Rev 10 (2011) 169]</w:t>
      </w:r>
    </w:p>
    <w:p>
      <w:pPr>
        <w:pStyle w:val="Heading2"/>
        <w:spacing w:before="280" w:after="100"/>
      </w:pPr>
      <w:r>
        <w:rPr>
          <w:rFonts w:ascii="Arial" w:cs="Arial" w:eastAsia="Arial" w:hAnsi="Arial"/>
          <w:b/>
          <w:bCs/>
          <w:color w:val="2E5090"/>
          <w:sz w:val="28"/>
          <w:szCs w:val="28"/>
        </w:rPr>
        <w:t xml:space="preserve">3.2 — Testosterone: Immunosuppressive at Physiological Levels</w:t>
      </w:r>
    </w:p>
    <w:p>
      <w:pPr>
        <w:spacing w:before="80" w:after="80"/>
        <w:jc w:val="both"/>
      </w:pPr>
      <w:r>
        <w:rPr>
          <w:rFonts w:ascii="Arial" w:cs="Arial" w:eastAsia="Arial" w:hAnsi="Arial"/>
          <w:sz w:val="24"/>
          <w:szCs w:val="24"/>
        </w:rPr>
        <w:t xml:space="preserve">Testosterone acts on immune cells through androgen receptors (AR) expressed on T cells, B cells, macrophages, and dendritic cells. The net immunological effect is suppressive. AR signaling on CD4+ thymocytes promotes FoxP3+ Treg differentiation, directly raising the peripheral tolerance capacity. AR signaling on B cells reduces survival and antibody production, opposing E2’s immunostimulatory effects on the humoral arm. Testosterone suppresses the Th17/IL-17 axis, explaining why conditions driven by IL-17 (ankylosing spondylitis, psoriatic arthritis) show male predominance and why female patients with these conditions tend to have milder disease courses. Testosterone promotes M2 macrophage polarization, shifting tissue macrophages toward anti-inflammatory and repair phenotypes. [Tier A; Okon LG &amp; Werth VP, J Dermatol Sci 73 (2014) 3; Toussirot E &amp; Roudier J, Autoimmun Rev 10 (2011) 127]</w:t>
      </w:r>
    </w:p>
    <w:p>
      <w:pPr>
        <w:pStyle w:val="Heading2"/>
        <w:spacing w:before="280" w:after="100"/>
      </w:pPr>
      <w:r>
        <w:rPr>
          <w:rFonts w:ascii="Arial" w:cs="Arial" w:eastAsia="Arial" w:hAnsi="Arial"/>
          <w:b/>
          <w:bCs/>
          <w:color w:val="2E5090"/>
          <w:sz w:val="28"/>
          <w:szCs w:val="28"/>
        </w:rPr>
        <w:t xml:space="preserve">3.3 — The Pregnancy Remission Model</w:t>
      </w:r>
    </w:p>
    <w:p>
      <w:pPr>
        <w:spacing w:before="80" w:after="80"/>
        <w:jc w:val="both"/>
      </w:pPr>
      <w:r>
        <w:rPr>
          <w:rFonts w:ascii="Arial" w:cs="Arial" w:eastAsia="Arial" w:hAnsi="Arial"/>
          <w:sz w:val="24"/>
          <w:szCs w:val="24"/>
        </w:rPr>
        <w:t xml:space="preserve">Pregnancy provides the strongest natural experiment demonstrating hormonal immune modulation. Rheumatoid arthritis remits in approximately 75% of pregnant women during the second and third trimesters, with relapse occurring in approximately 90% within three to six months post-delivery. Multiple sclerosis relapse rate falls approximately 70% in the third trimester and rebounds sharply in the first three months post-delivery. These patterns are not coincidental — they track the hormonal trajectory precisely. [Tier A; Nelson JL &amp; Ostensen M, Rheum Dis Clin North Am 23 (1997) 195; Confavreux C et al., NEJM 339 (1998) 285; Vukusic S et al., Brain 127 (2004) 1353]</w:t>
      </w:r>
    </w:p>
    <w:p>
      <w:pPr>
        <w:spacing w:before="80" w:after="80"/>
        <w:jc w:val="both"/>
      </w:pPr>
      <w:r>
        <w:rPr>
          <w:rFonts w:ascii="Arial" w:cs="Arial" w:eastAsia="Arial" w:hAnsi="Arial"/>
          <w:sz w:val="24"/>
          <w:szCs w:val="24"/>
        </w:rPr>
        <w:t xml:space="preserve">The mechanism is a concentration-dependent polarity switch in E2’s immunological action. At supraphysiological pregnancy concentrations, E2 shifts from Th1-promoting (autoimmune-permissive) to Th2/Treg-promoting (tolerogenic). Progesterone at pregnancy concentrations directly expands Tregs and upregulates IL-10. Estriol (E3), produced at high levels during pregnancy and preferentially binding ERβ, has anti-inflammatory properties distinct from E2. The convergence of supraphysiological E2, high progesterone, and high E3 creates a hormonal milieu that actively suppresses autoimmune activity rather than permitting it. Post-delivery collapse of all three — E2, progesterone, E3 — removes this suppression rapidly, explaining the stereotyped timing of postpartum flares.</w:t>
      </w:r>
    </w:p>
    <w:p>
      <w:pPr>
        <w:spacing w:before="80" w:after="80"/>
        <w:jc w:val="both"/>
      </w:pPr>
      <w:r>
        <w:rPr>
          <w:rFonts w:ascii="Arial" w:cs="Arial" w:eastAsia="Arial" w:hAnsi="Arial"/>
          <w:sz w:val="24"/>
          <w:szCs w:val="24"/>
        </w:rPr>
        <w:t xml:space="preserve">This polarity switch has a direct clinical implication that is almost entirely absent from standard autoimmunity treatment guidelines: the same hormone that raises autoimmune risk at physiological concentrations suppresses it at pregnancy concentrations. The therapeutic question of whether E3 supplementation or progesterone analog administration could replicate aspects of the pregnancy immune state outside of pregnancy has not been systematically pursued in most autoimmune conditions.</w:t>
      </w:r>
    </w:p>
    <w:p>
      <w:pPr>
        <w:pStyle w:val="Heading2"/>
        <w:spacing w:before="280" w:after="100"/>
      </w:pPr>
      <w:r>
        <w:rPr>
          <w:rFonts w:ascii="Arial" w:cs="Arial" w:eastAsia="Arial" w:hAnsi="Arial"/>
          <w:b/>
          <w:bCs/>
          <w:color w:val="2E5090"/>
          <w:sz w:val="28"/>
          <w:szCs w:val="28"/>
        </w:rPr>
        <w:t xml:space="preserve">3.4 — DHEA: The Declining Anti-Inflammatory Buffer</w:t>
      </w:r>
    </w:p>
    <w:p>
      <w:pPr>
        <w:spacing w:before="80" w:after="80"/>
        <w:jc w:val="both"/>
      </w:pPr>
      <w:r>
        <w:rPr>
          <w:rFonts w:ascii="Arial" w:cs="Arial" w:eastAsia="Arial" w:hAnsi="Arial"/>
          <w:sz w:val="24"/>
          <w:szCs w:val="24"/>
        </w:rPr>
        <w:t xml:space="preserve">DHEA (dehydroepiandrosterone) is the most abundant circulating steroid in humans, peaking near age 25 and declining approximately 1–2% per year thereafter, reaching roughly 20% of peak levels by age 70. DHEA antagonizes cortisol at glucocorticoid receptors, modulates Th1/Th2 balance, and directly suppresses pro-inflammatory cytokine production in macrophages. The DHEA/cortisol ratio, not either level alone, determines net immune operating point: as DHEA declines with age while cortisol remains relatively stable (or increases under chronic stress), the anti-inflammatory buffer progressively disappears. This DHEA decline is contemporaneous with thymic involution and precedes the peak onset of many autoimmune conditions by years to decades — a convergence that is examined in §5.1. [Tier A; Cutolo M et al., Ann Rheum Dis 59 (2000) 821; Petri MA et al., Arthritis Rheum 46 (2002) 1820]</w:t>
      </w:r>
    </w:p>
    <w:p>
      <w:pPr>
        <w:pStyle w:val="Heading2"/>
        <w:spacing w:before="280" w:after="100"/>
      </w:pPr>
      <w:r>
        <w:rPr>
          <w:rFonts w:ascii="Arial" w:cs="Arial" w:eastAsia="Arial" w:hAnsi="Arial"/>
          <w:b/>
          <w:bCs/>
          <w:color w:val="2E5090"/>
          <w:sz w:val="28"/>
          <w:szCs w:val="28"/>
        </w:rPr>
        <w:t xml:space="preserve">3.5 — Estradiol and Mast Cell Priming: A Third Amplification Layer</w:t>
      </w:r>
    </w:p>
    <w:p>
      <w:pPr>
        <w:spacing w:before="80" w:after="80"/>
        <w:jc w:val="both"/>
      </w:pPr>
      <w:r>
        <w:rPr>
          <w:rFonts w:ascii="Arial" w:cs="Arial" w:eastAsia="Arial" w:hAnsi="Arial"/>
          <w:sz w:val="24"/>
          <w:szCs w:val="24"/>
        </w:rPr>
        <w:t xml:space="preserve">In addition to upregulating TLR7/9 on plasmacytoid dendritic cells and extending B cell survival, E2 exerts a third immunostimulatory effect relevant to conditions with strong neurogenic amplification: it lowers the degranulation threshold of mast cells. Mast cells express ERα and ERβ, and E2 signalling increases their sensitivity to both IgE-mediated crosslinking and NK1R-driven Substance P stimulation, reducing the stimulus required to trigger histamine, tryptase, and prostaglandin release. In cycling women, the mast cell-SP/NK1 neurogenic amplification circuit described in §4.3 therefore operates at a lower threshold than in men or post-menopausal women. Inflammatory signals that would not cross the degranulation threshold in a male patient may do so in a premenopausal female patient — a third hormonal mechanism contributing to the female preponderance in conditions where mast cell and neurogenic amplification are part of the pathological loop. [Tier B; Zaitsu M et al., Eur Respir J 31 (2008) 1013; Vasiadi M et al., Int J Immunopathol Pharmacol 19 (2006) 787]</w:t>
      </w:r>
    </w:p>
    <w:p>
      <w:pPr>
        <w:pStyle w:val="Heading2"/>
        <w:spacing w:before="280" w:after="100"/>
      </w:pPr>
      <w:r>
        <w:rPr>
          <w:rFonts w:ascii="Arial" w:cs="Arial" w:eastAsia="Arial" w:hAnsi="Arial"/>
          <w:b/>
          <w:bCs/>
          <w:color w:val="2E5090"/>
          <w:sz w:val="28"/>
          <w:szCs w:val="28"/>
        </w:rPr>
        <w:t xml:space="preserve">3.6 — The Sex Ratio as a Mechanistic Readout</w:t>
      </w:r>
    </w:p>
    <w:p>
      <w:pPr>
        <w:spacing w:before="80" w:after="80"/>
        <w:jc w:val="both"/>
      </w:pPr>
      <w:r>
        <w:rPr>
          <w:rFonts w:ascii="Arial" w:cs="Arial" w:eastAsia="Arial" w:hAnsi="Arial"/>
          <w:sz w:val="24"/>
          <w:szCs w:val="24"/>
        </w:rPr>
        <w:t xml:space="preserve">The sex ratios across autoimmune conditions are not random. They reflect the specific immunological mechanisms driving each condition and which hormones modulate those mechanisms most strongly. Conditions driven by TLR7/9-amplified IFN-α production and B-cell hyperactivation (lupus 9:1 F, Sjögren’s 9:1 F) show the most extreme female skew because E2 specifically amplifies these mechanisms. Conditions driven by IL-17/Th17 (ankylosing spondylitis 3:1 M) show male predominance because testosterone suppresses IL-17. Conditions with a mixed mechanism (RA 3:1 F) sit between these extremes. Type 1 diabetes (≈1:1) is driven primarily by AIRE-deficit central tolerance failure, which is not substantially sex-hormone modulated. The sex ratio is a mechanistic fingerprint — it reveals which tolerance mechanism is most compromised in each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9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Condition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Sex Ratio</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Dominant Hormonal Mechanism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Systemic Lupus Erythematosus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9:1 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E2 upregulates TLR7/9 on pDCs → IFN-α amplification; E2 drives B-cell survival and autoantibody production. NETosis-derived dsDNA amplified by E2-enhanced pDC activation.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Hashimoto’s Thyroiditis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7:1 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E2 promotes Th1 responses targeting thyroid epithelium. Postpartum thyroiditis (5–10% of women) triggered by immune rebound after pregnancy-state withdrawal.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Rheumatoid Arthritis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3:1 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E2 promotes synovial B-cell survival and ACPA production. RA remits in pregnancy (E2/P4 tolerogenic shift) and flares within 3–6 months post-delivery.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Multiple Sclerosis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3:1 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E2 immunostimulatory baseline raises autoimmune susceptibility. Relapse drops ∼70% in third trimester (E2/P4 peak), rebounds sharply post-delivery.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Sjögren’s Syndrome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9:1 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E2 enhances B-cell activation and anti-Ro/La autoantibody production. Salivary gland pathology worsens post-menopause.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Type 1 Diabetes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AIRE-deficit central tolerance failure dominates. CD8+ insulitis mechanism not substantially sex-hormone modulated.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Ankylosing Spondylitis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3:1 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 promotes the IL-17/Th17 axis driving enthesitis and spinal inflammation. Female patients have milder courses; E2 partially suppresses IL-17.</w:t>
            </w:r>
          </w:p>
        </w:tc>
      </w:tr>
    </w:tbl>
    <w:p>
      <w:pPr>
        <w:spacing w:before="80" w:after="80"/>
      </w:pPr>
      <w:r>
        <w:t xml:space="preserve"/>
      </w:r>
    </w:p>
    <w:p>
      <w:pPr>
        <w:spacing w:before="80" w:after="80"/>
        <w:jc w:val="both"/>
      </w:pPr>
      <w:r>
        <w:rPr>
          <w:rFonts w:ascii="Arial" w:cs="Arial" w:eastAsia="Arial" w:hAnsi="Arial"/>
          <w:i/>
          <w:iCs/>
          <w:sz w:val="24"/>
          <w:szCs w:val="24"/>
        </w:rPr>
        <w:t xml:space="preserve">Table 1. Autoimmune sex ratios as mechanistic fingerprints. The ratio is a readout of which immune arm is hormonally amplified or suppressed in each condition. [Tier A for each ratio; Tier A for E2/T mechanisms; Tier B for the integrated sex-ratio-as-readout framing.]</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§4 — The Neuroimmune Interface</w:t>
      </w:r>
    </w:p>
    <w:p>
      <w:pPr>
        <w:spacing w:before="80" w:after="80"/>
        <w:jc w:val="both"/>
      </w:pPr>
      <w:r>
        <w:rPr>
          <w:rFonts w:ascii="Arial" w:cs="Arial" w:eastAsia="Arial" w:hAnsi="Arial"/>
          <w:sz w:val="24"/>
          <w:szCs w:val="24"/>
        </w:rPr>
        <w:t xml:space="preserve">The immune system does not operate autonomously. Two branches of the autonomic nervous system — parasympathetic (vagal) and sympathetic — maintain continuous real-time modulation of immune cell activity through distinct and partially opposing mechanisms. A third neuroimmune pathway, operating through peripheral sensory nerves and Substance P, amplifies inflammatory activity independent of both autonomic branches. These three circuits are well-characterized individually. Their combined contribution to immune tone, and the consequences of their dysfunction in autoimmune disease, is rarely incorporated explicitly into standard autoimmune treatment frameworks.</w:t>
      </w:r>
    </w:p>
    <w:p>
      <w:pPr>
        <w:pStyle w:val="Heading2"/>
        <w:spacing w:before="280" w:after="100"/>
      </w:pPr>
      <w:r>
        <w:rPr>
          <w:rFonts w:ascii="Arial" w:cs="Arial" w:eastAsia="Arial" w:hAnsi="Arial"/>
          <w:b/>
          <w:bCs/>
          <w:color w:val="2E5090"/>
          <w:sz w:val="28"/>
          <w:szCs w:val="28"/>
        </w:rPr>
        <w:t xml:space="preserve">4.1 — The Cholinergic Anti-Inflammatory Pathway</w:t>
      </w:r>
    </w:p>
    <w:p>
      <w:pPr>
        <w:spacing w:before="80" w:after="80"/>
        <w:jc w:val="both"/>
      </w:pPr>
      <w:r>
        <w:rPr>
          <w:rFonts w:ascii="Arial" w:cs="Arial" w:eastAsia="Arial" w:hAnsi="Arial"/>
          <w:sz w:val="24"/>
          <w:szCs w:val="24"/>
        </w:rPr>
        <w:t xml:space="preserve">The cholinergic anti-inflammatory pathway (CAP) is the primary neural mechanism for real-time downregulation of systemic inflammatory cytokine production. Efferent vagal fibers project to the spleen, lymph nodes, and gut-associated lymphoid tissue and release acetylcholine (ACh) at terminals near macrophages and monocytes. ACh binds α7 nicotinic acetylcholine receptors (α7-nAChR) on macrophages, activating JAK2-STAT3 signaling that suppresses NF-κB nuclear translocation and reduces transcription of TNF-α, IL-1β, IL-6, and IL-18. Critically, this suppression is selective: α7-nAChR signaling suppresses pro-inflammatory cytokines without suppressing anti-inflammatory cytokines (IL-10, TGF-β), preserving resolution signaling while reducing effector output. [Tier A; Tracey KJ, Nature 420 (2002) 853; Pavlov VA &amp; Tracey KJ, Nat Rev Immunol 12 (2012) 525]</w:t>
      </w:r>
    </w:p>
    <w:p>
      <w:pPr>
        <w:spacing w:before="80" w:after="80"/>
        <w:jc w:val="both"/>
      </w:pPr>
      <w:r>
        <w:rPr>
          <w:rFonts w:ascii="Arial" w:cs="Arial" w:eastAsia="Arial" w:hAnsi="Arial"/>
          <w:sz w:val="24"/>
          <w:szCs w:val="24"/>
        </w:rPr>
        <w:t xml:space="preserve">The RESET-RA pivotal trial (Nature Medicine, December 2025) provides the first Phase III-level clinical confirmation that this pathway is a tractable therapeutic target in human autoimmune disease. In 242 patients with moderate-to-severe RA who had inadequate response to biologic or targeted synthetic DMARDs, implantable vagus nerve stimulation produced ACR20 response in 35.2% of patients versus 24.2% in sham controls at three months (p = 0.0209), improving to 52.8% at 12 months in open-label follow-up. The systematic review by Lombo et al. (ACR Open Rheumatology, December 2025) covering 12 clinical trials across RA, Crohn’s disease, polymyalgia rheumatica, psoriatic arthritis, ankylosing spondylitis, SLE, and systemic sclerosis found that more than 50% of studies showed reduction in CRP and TNF-α following vagal nerve stimulation. [Tier A for mechanism; Tier A for clinical validation in RA; Tier B for other conditions pending larger trials]</w:t>
      </w:r>
    </w:p>
    <w:p>
      <w:pPr>
        <w:spacing w:before="80" w:after="80"/>
        <w:jc w:val="both"/>
      </w:pPr>
      <w:r>
        <w:rPr>
          <w:rFonts w:ascii="Arial" w:cs="Arial" w:eastAsia="Arial" w:hAnsi="Arial"/>
          <w:sz w:val="24"/>
          <w:szCs w:val="24"/>
        </w:rPr>
        <w:t xml:space="preserve">Vagal tone — the tonic activity of the efferent vagal CAP — is measurable non-invasively via heart rate variability (HRV-RMSSD), which reflects beat-to-beat variation driven by parasympathetic modulation of the sinoatrial node. Reduced HRV precedes both cardiovascular events and psychiatric disorders and is reduced in most chronic inflammatory and autoimmune conditions. The directionality is bidirectional: chronic inflammation reduces vagal tone (IL-1β and TNF-α suppress brainstem vagal nuclei), and reduced vagal tone removes the CAP brake on inflammation. This positive feedback loop — inflammation reducing its own neural brake — is one of the mechanisms through which autoimmune disease becomes self-sustaining. A direct body-brain regulatory circuit further modulates this reflex: Jin et al. (Nature 630 (2024) 695) characterized a spinal-vagal pathway through which peripheral inflammatory signals are relayed to the brain and modulate systemic inflammatory tone, adding a CNS-regulatory layer to the peripheral cholinergic anti-inflammatory mechanism. [Tier B; mechanistic confirmation in human autoimmune disease pending]</w:t>
      </w:r>
    </w:p>
    <w:p>
      <w:pPr>
        <w:pStyle w:val="Heading2"/>
        <w:spacing w:before="280" w:after="100"/>
      </w:pPr>
      <w:r>
        <w:rPr>
          <w:rFonts w:ascii="Arial" w:cs="Arial" w:eastAsia="Arial" w:hAnsi="Arial"/>
          <w:b/>
          <w:bCs/>
          <w:color w:val="2E5090"/>
          <w:sz w:val="28"/>
          <w:szCs w:val="28"/>
        </w:rPr>
        <w:t xml:space="preserve">4.2 — The Sympathetic Dual Role and Denervation Feedback</w:t>
      </w:r>
    </w:p>
    <w:p>
      <w:pPr>
        <w:spacing w:before="80" w:after="80"/>
        <w:jc w:val="both"/>
      </w:pPr>
      <w:r>
        <w:rPr>
          <w:rFonts w:ascii="Arial" w:cs="Arial" w:eastAsia="Arial" w:hAnsi="Arial"/>
          <w:sz w:val="24"/>
          <w:szCs w:val="24"/>
        </w:rPr>
        <w:t xml:space="preserve">The sympathetic nervous system plays a dual and concentration-dependent role in immune modulation. Acute, high-concentration norepinephrine (NE) release is pro-inflammatory: NE acts via β2-adrenergic receptors on macrophages to increase IL-6 production and on lymphocytes to modulate trafficking and activation. This acute pro-inflammatory effect is appropriate — the fight-or-flight response mobilizes immune resources for immediate defense. Tonic, low-concentration NE is anti-inflammatory: at baseline sympathetic tone levels, NE suppresses TNF-α production from macrophages and promotes M2 polarization. [Tier A; Elenkov IJ et al., Pharmacol Rev 52 (2000) 595]</w:t>
      </w:r>
    </w:p>
    <w:p>
      <w:pPr>
        <w:spacing w:before="80" w:after="80"/>
        <w:jc w:val="both"/>
      </w:pPr>
      <w:r>
        <w:rPr>
          <w:rFonts w:ascii="Arial" w:cs="Arial" w:eastAsia="Arial" w:hAnsi="Arial"/>
          <w:sz w:val="24"/>
          <w:szCs w:val="24"/>
        </w:rPr>
        <w:t xml:space="preserve">The consequence in chronic autoimmune disease is a damaging positive feedback mechanism that is almost never discussed in the autoimmune literature: chronically inflamed tissue undergoes progressive sympathetic denervation. Immune cells in inflamed tissue release nerve growth factor (NGF) and other mediators that signal local sympathetic nerve retraction. As disease duration increases, the tonic anti-inflammatory NE signal to that tissue progressively disappears — removing the anti-inflammatory brake at precisely the site that most needs it. The tissue becomes simultaneously more inflamed and less neurally restrained. This denervation feedback is documented in RA synovium, inflamed gut in IBD, and other chronically inflamed tissues. [Tier B for the denervation feedback loop as unified cascade]</w:t>
      </w:r>
    </w:p>
    <w:p>
      <w:pPr>
        <w:pStyle w:val="Heading2"/>
        <w:spacing w:before="280" w:after="100"/>
      </w:pPr>
      <w:r>
        <w:rPr>
          <w:rFonts w:ascii="Arial" w:cs="Arial" w:eastAsia="Arial" w:hAnsi="Arial"/>
          <w:b/>
          <w:bCs/>
          <w:color w:val="2E5090"/>
          <w:sz w:val="28"/>
          <w:szCs w:val="28"/>
        </w:rPr>
        <w:t xml:space="preserve">4.3 — Substance P and NK1 Neurogenic Amplification</w:t>
      </w:r>
    </w:p>
    <w:p>
      <w:pPr>
        <w:spacing w:before="80" w:after="80"/>
        <w:jc w:val="both"/>
      </w:pPr>
      <w:r>
        <w:rPr>
          <w:rFonts w:ascii="Arial" w:cs="Arial" w:eastAsia="Arial" w:hAnsi="Arial"/>
          <w:sz w:val="24"/>
          <w:szCs w:val="24"/>
        </w:rPr>
        <w:t xml:space="preserve">Substance P (SP) is released from peripheral sensory nerve terminals (C-fibers and Aδ-fibers) into inflamed tissue in response to noxious stimuli, tissue damage, and inflammatory mediators. SP binds NK1 receptors on mast cells, macrophages, and endothelial cells, triggering mast cell degranulation (histamine, tryptase, prostaglandins, leukotrienes) and macrophage pro-inflammatory cytokine production (TNF-α, IL-1β, IL-6). The NK1-driven cytokine release then sensitizes the sensory nerve terminals further, lowering their threshold for SP release and creating a self-sustaining positive-feedback neurogenic inflammation loop. [Tier A for individual steps; Tier B for the self-sustaining loop in human autoimmune tissue]</w:t>
      </w:r>
    </w:p>
    <w:p>
      <w:pPr>
        <w:spacing w:before="80" w:after="80"/>
        <w:jc w:val="both"/>
      </w:pPr>
      <w:r>
        <w:rPr>
          <w:rFonts w:ascii="Arial" w:cs="Arial" w:eastAsia="Arial" w:hAnsi="Arial"/>
          <w:sz w:val="24"/>
          <w:szCs w:val="24"/>
        </w:rPr>
        <w:t xml:space="preserve">The clinical significance of this pathway is that it operates entirely outside the adaptive immune system. Blocking TNF-α with a biologic does not prevent SP-driven mast cell degranulation. Depleting B cells does not affect NK1 receptor signaling on macrophages. The SP/NK1 neurogenic loop sustains the accumulated inflammatory burden through a pathway that is invisible to every biologic currently approved for autoimmune disease. This is one proposed structural explanation for the partial remission ceiling observed with biologics: by operating outside the adaptive immune cascade, SP/NK1-driven neurogenic amplification may continue sustaining inflammation even when adaptive effector arms are suppressed.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§5 — The Five Cross-System Connections</w:t>
      </w:r>
    </w:p>
    <w:p>
      <w:pPr>
        <w:spacing w:before="80" w:after="80"/>
        <w:jc w:val="both"/>
      </w:pPr>
      <w:r>
        <w:rPr>
          <w:rFonts w:ascii="Arial" w:cs="Arial" w:eastAsia="Arial" w:hAnsi="Arial"/>
          <w:sz w:val="24"/>
          <w:szCs w:val="24"/>
        </w:rPr>
        <w:t xml:space="preserve">The following connections are not new mechanisms; each rests on established findings from the five literatures described above. What is new is placing them in the same frame, which makes visible convergence patterns that no single field can see from its own vantage point.</w:t>
      </w:r>
    </w:p>
    <w:p>
      <w:pPr>
        <w:pStyle w:val="Heading2"/>
        <w:spacing w:before="280" w:after="100"/>
      </w:pPr>
      <w:r>
        <w:rPr>
          <w:rFonts w:ascii="Arial" w:cs="Arial" w:eastAsia="Arial" w:hAnsi="Arial"/>
          <w:b/>
          <w:bCs/>
          <w:color w:val="2E5090"/>
          <w:sz w:val="28"/>
          <w:szCs w:val="28"/>
        </w:rPr>
        <w:t xml:space="preserve">5.1 — Connection 1: The Late-Life Convergence Cascade</w:t>
      </w:r>
    </w:p>
    <w:p>
      <w:pPr>
        <w:spacing w:before="80" w:after="80"/>
        <w:jc w:val="both"/>
      </w:pPr>
      <w:r>
        <w:rPr>
          <w:rFonts w:ascii="Arial" w:cs="Arial" w:eastAsia="Arial" w:hAnsi="Arial"/>
          <w:sz w:val="24"/>
          <w:szCs w:val="24"/>
        </w:rPr>
        <w:t xml:space="preserve">Three independent biological processes converge on the immune tolerance threshold in the sixth decade of life.</w:t>
      </w:r>
    </w:p>
    <w:p>
      <w:pPr>
        <w:spacing w:before="80" w:after="80"/>
        <w:jc w:val="both"/>
      </w:pPr>
      <w:r>
        <w:rPr>
          <w:rFonts w:ascii="Arial" w:cs="Arial" w:eastAsia="Arial" w:hAnsi="Arial"/>
          <w:sz w:val="24"/>
          <w:szCs w:val="24"/>
        </w:rPr>
        <w:t xml:space="preserve">First, thymic involution: naive T cell export, which has been declining since puberty, reaches roughly 10% of young-adult levels by approximately age 60. The involuted thymus produces more self-reactive T cells as AIRE-dependent TRA coverage falls with shrinking medullary epithelial architecture, and age-related decline in FoxN1 contributes causally to this structural involution. [Tier A; Lynch HE et al., Trends Immunol 30 (2009) 366; Coder BD et al., J Immunol 195 (2015) 4356]</w:t>
      </w:r>
    </w:p>
    <w:p>
      <w:pPr>
        <w:spacing w:before="80" w:after="80"/>
        <w:jc w:val="both"/>
      </w:pPr>
      <w:r>
        <w:rPr>
          <w:rFonts w:ascii="Arial" w:cs="Arial" w:eastAsia="Arial" w:hAnsi="Arial"/>
          <w:sz w:val="24"/>
          <w:szCs w:val="24"/>
        </w:rPr>
        <w:t xml:space="preserve">Second, DHEA decline: by the sixth decade, circulating DHEA typically falls to approximately 30–40% of peak, substantially reducing the anti-inflammatory buffer that antagonizes cortisol at glucocorticoid receptors. As the DHEA/cortisol ratio shifts toward cortisol dominance, chronic cortisol exposure promotes glucocorticoid receptor (GR) resistance, making the immune system progressively less responsive to cortisol’s anti-inflammatory signaling. [Tier A; Cutolo M et al., Ann Rheum Dis 59 (2000) i19]</w:t>
      </w:r>
    </w:p>
    <w:p>
      <w:pPr>
        <w:spacing w:before="80" w:after="80"/>
        <w:jc w:val="both"/>
      </w:pPr>
      <w:r>
        <w:rPr>
          <w:rFonts w:ascii="Arial" w:cs="Arial" w:eastAsia="Arial" w:hAnsi="Arial"/>
          <w:sz w:val="24"/>
          <w:szCs w:val="24"/>
        </w:rPr>
        <w:t xml:space="preserve">Third, cumulative stress and GR resistance: chronic psychological and physiological stress sustain elevated cortisol, which over time downregulates GR expression and sensitivity. GR resistance converts cortisol from a brake into a contributor to immune dysregulation, because NF-κB and AP-1 operate with less glucocorticoid restraint. [Tier A for the GR resistance mechanism; Tsigos C &amp; Chrousos GP, J Psychosom Res 53 (2002) 865]</w:t>
      </w:r>
    </w:p>
    <w:p>
      <w:pPr>
        <w:spacing w:before="80" w:after="80"/>
        <w:jc w:val="both"/>
      </w:pPr>
      <w:r>
        <w:rPr>
          <w:rFonts w:ascii="Arial" w:cs="Arial" w:eastAsia="Arial" w:hAnsi="Arial"/>
          <w:sz w:val="24"/>
          <w:szCs w:val="24"/>
        </w:rPr>
        <w:t xml:space="preserve">The upshot is that thymic involution, DHEA withdrawal, and stress-induced GR resistance plausibly converge on the same tolerance threshold in many people’s 50s–60s, coinciding with the observed late-onset peak for several autoimmune conditions. The individual components are Tier A; the claim that their joint timing explains the late-life onset pattern is Tier C and requires prospective testing against single-system markers. Alternative explanations — including cohort effects, cumulative antigen exposure, and age-related microbiome changes — may independently or additively contribute to this window.</w:t>
      </w:r>
    </w:p>
    <w:p>
      <w:pPr>
        <w:pStyle w:val="Heading2"/>
        <w:spacing w:before="280" w:after="100"/>
      </w:pPr>
      <w:r>
        <w:rPr>
          <w:rFonts w:ascii="Arial" w:cs="Arial" w:eastAsia="Arial" w:hAnsi="Arial"/>
          <w:b/>
          <w:bCs/>
          <w:color w:val="2E5090"/>
          <w:sz w:val="28"/>
          <w:szCs w:val="28"/>
        </w:rPr>
        <w:t xml:space="preserve">5.2 — Connection 2: Gut Barrier → Thymic Involution (new 2025)</w:t>
      </w:r>
    </w:p>
    <w:p>
      <w:pPr>
        <w:spacing w:before="80" w:after="80"/>
        <w:jc w:val="both"/>
      </w:pPr>
      <w:r>
        <w:rPr>
          <w:rFonts w:ascii="Arial" w:cs="Arial" w:eastAsia="Arial" w:hAnsi="Arial"/>
          <w:sz w:val="24"/>
          <w:szCs w:val="24"/>
        </w:rPr>
        <w:t xml:space="preserve">Recent work suggests a direct pathway from gut barrier dysfunction to thymic architectural disruption, placing gut integrity upstream of central tolerance.</w:t>
      </w:r>
    </w:p>
    <w:p>
      <w:pPr>
        <w:spacing w:before="80" w:after="80"/>
        <w:jc w:val="both"/>
      </w:pPr>
      <w:r>
        <w:rPr>
          <w:rFonts w:ascii="Arial" w:cs="Arial" w:eastAsia="Arial" w:hAnsi="Arial"/>
          <w:sz w:val="24"/>
          <w:szCs w:val="24"/>
        </w:rPr>
        <w:t xml:space="preserve">Conway et al. (Aging Cell, March 2025) reported that increased intestinal permeability and microbial translocation in human cohorts associate with accumulation of terminally differentiated, senescent, and exhausted T cells in the periphery, along with compensatory Treg expansion. In aged germ-free mice, preserved barrier integrity protects against age-related permeability increases and attenuates thymic involution, implying that gut barrier failure drives thymic aging rather than merely tracking it. [Tier B; Conway J et al., Aging Cell 24 (2025) e14401]</w:t>
      </w:r>
    </w:p>
    <w:p>
      <w:pPr>
        <w:spacing w:before="80" w:after="80"/>
        <w:jc w:val="both"/>
      </w:pPr>
      <w:r>
        <w:rPr>
          <w:rFonts w:ascii="Arial" w:cs="Arial" w:eastAsia="Arial" w:hAnsi="Arial"/>
          <w:sz w:val="24"/>
          <w:szCs w:val="24"/>
        </w:rPr>
        <w:t xml:space="preserve">Mechanistically, microbial translocation across a leaky gut delivers LPS and other PAMPs into the circulation, activating TLR4 and related innate receptors and sustaining low-grade systemic inflammation that accelerates thymic epithelial cell senescence. In this frame, a leaky gut does not just permit systemic inflammation — it accelerates loss of the organ that edits the self-reactive T cell repertoire.</w:t>
      </w:r>
    </w:p>
    <w:p>
      <w:pPr>
        <w:spacing w:before="80" w:after="80"/>
        <w:jc w:val="both"/>
      </w:pPr>
      <w:r>
        <w:rPr>
          <w:rFonts w:ascii="Arial" w:cs="Arial" w:eastAsia="Arial" w:hAnsi="Arial"/>
          <w:sz w:val="24"/>
          <w:szCs w:val="24"/>
        </w:rPr>
        <w:t xml:space="preserve">Lemarquis et al. (Immunity, January 2025) add a partial counterweight: recirculating amphiregulin-expressing Tregs mediate thymic regeneration after injury, and a human CD39+ICOS+ analog population exists. This suggests that gut-driven thymic damage may be partly reversible, making microbiome-targeted interventions candidates for upstream tolerance restoration rather than solely downstream cytokine control. [Tier B; Lemarquis AL et al., Immunity 58 (2025) 363]</w:t>
      </w:r>
    </w:p>
    <w:p>
      <w:pPr>
        <w:spacing w:before="80" w:after="80"/>
        <w:jc w:val="both"/>
      </w:pPr>
      <w:r>
        <w:rPr>
          <w:rFonts w:ascii="Arial" w:cs="Arial" w:eastAsia="Arial" w:hAnsi="Arial"/>
          <w:sz w:val="24"/>
          <w:szCs w:val="24"/>
        </w:rPr>
        <w:t xml:space="preserve">A parallel innate alarm link runs through epithelial damage: TSLP, IL-33, and IL-25 released by stressed barrier cells activate ILC2s, which produce IL-5 and IL-13 without antigen-specific T cell help. The same innate alarm architecture that underlies eosinophilic esophagitis, atopic dermatitis, and asthma thus provides a shared scaffold through which gut barrier failure can drive both atopic and autoimmune disease clustering in families. [Tier A for ILC2/TSLP mechanism in atopic disease; Tier B for the gut barrier-driven ILC2 contribution to autoimmune clustering; Obata-Ninomiya K &amp; Ziegler SF, Nat Immunol 25 (2024) 1495]</w:t>
      </w:r>
    </w:p>
    <w:p>
      <w:pPr>
        <w:spacing w:before="80" w:after="80"/>
        <w:jc w:val="both"/>
      </w:pPr>
      <w:r>
        <w:rPr>
          <w:rFonts w:ascii="Arial" w:cs="Arial" w:eastAsia="Arial" w:hAnsi="Arial"/>
          <w:sz w:val="24"/>
          <w:szCs w:val="24"/>
        </w:rPr>
        <w:t xml:space="preserve">The upshot is that gut barrier integrity appears to modulate central tolerance and systemic immune tone through convergent thymic and ILC-mediated pathways. The gut→thymus link is Tier B; the integrated cascade including ILC2 alarm signaling and tolerance clustering is Tier C pending prospective human studies.</w:t>
      </w:r>
    </w:p>
    <w:p>
      <w:pPr>
        <w:pStyle w:val="Heading2"/>
        <w:spacing w:before="280" w:after="100"/>
      </w:pPr>
      <w:r>
        <w:rPr>
          <w:rFonts w:ascii="Arial" w:cs="Arial" w:eastAsia="Arial" w:hAnsi="Arial"/>
          <w:b/>
          <w:bCs/>
          <w:color w:val="2E5090"/>
          <w:sz w:val="28"/>
          <w:szCs w:val="28"/>
        </w:rPr>
        <w:t xml:space="preserve">5.3 — Connection 3: Sympathetic Denervation Feedback</w:t>
      </w:r>
    </w:p>
    <w:p>
      <w:pPr>
        <w:spacing w:before="80" w:after="80"/>
        <w:jc w:val="both"/>
      </w:pPr>
      <w:r>
        <w:rPr>
          <w:rFonts w:ascii="Arial" w:cs="Arial" w:eastAsia="Arial" w:hAnsi="Arial"/>
          <w:sz w:val="24"/>
          <w:szCs w:val="24"/>
        </w:rPr>
        <w:t xml:space="preserve">Chronic autoimmune inflammation appears to progressively dismantle the sympathetic innervation that normally restrains it. As summarized in §4.2, tonic low-concentration norepinephrine (NE) from sympathetic fibers exerts an anti-inflammatory effect, whereas acute high-concentration bursts are pro-inflammatory. In chronically inflamed tissues, immune-derived mediators including NGF and related factors induce local sympathetic nerve retraction, reducing sympathetic fiber density over time.</w:t>
      </w:r>
    </w:p>
    <w:p>
      <w:pPr>
        <w:spacing w:before="80" w:after="80"/>
        <w:jc w:val="both"/>
      </w:pPr>
      <w:r>
        <w:rPr>
          <w:rFonts w:ascii="Arial" w:cs="Arial" w:eastAsia="Arial" w:hAnsi="Arial"/>
          <w:sz w:val="24"/>
          <w:szCs w:val="24"/>
        </w:rPr>
        <w:t xml:space="preserve">In early RA, synovial tissue shows measurable sympathetic innervation; in established RA, sympathetic fibers in inflamed synovium are markedly reduced, while SP-positive sensory fibers are preserved or increased. Similar denervation patterns have been observed in inflamed gut in IBD and other chronic inflammatory sites, shifting the local neuroimmune balance toward pro-inflammatory SP/NK1 signaling and away from anti-inflammatory NE tone. [Tier B; Straub RH et al., Ann Rheum Dis 67 (2008) 317]</w:t>
      </w:r>
    </w:p>
    <w:p>
      <w:pPr>
        <w:spacing w:before="80" w:after="80"/>
        <w:jc w:val="both"/>
      </w:pPr>
      <w:r>
        <w:rPr>
          <w:rFonts w:ascii="Arial" w:cs="Arial" w:eastAsia="Arial" w:hAnsi="Arial"/>
          <w:sz w:val="24"/>
          <w:szCs w:val="24"/>
        </w:rPr>
        <w:t xml:space="preserve">The upshot is a self-amplifying loop: chronic inflammation drives sympathetic denervation, denervation removes an anti-inflammatory brake, and the tissue becomes easier to inflame and harder to fully resolve even when adaptive immune effectors are suppressed. The denervation phenomenon is Tier B; its contribution to biologic non-response and relapse dynamics is a Tier C integrative claim that warrants targeted imaging and innervation-response correlation studies. Alternative explanations for the biologic ceiling — including pharmacokinetics, target redundancy, and comorbid infection susceptibility — may also contribute independently.</w:t>
      </w:r>
    </w:p>
    <w:p>
      <w:pPr>
        <w:pStyle w:val="Heading2"/>
        <w:spacing w:before="280" w:after="100"/>
      </w:pPr>
      <w:r>
        <w:rPr>
          <w:rFonts w:ascii="Arial" w:cs="Arial" w:eastAsia="Arial" w:hAnsi="Arial"/>
          <w:b/>
          <w:bCs/>
          <w:color w:val="2E5090"/>
          <w:sz w:val="28"/>
          <w:szCs w:val="28"/>
        </w:rPr>
        <w:t xml:space="preserve">5.4 — Connection 4: Substance P Independence from Adaptive Control</w:t>
      </w:r>
    </w:p>
    <w:p>
      <w:pPr>
        <w:spacing w:before="80" w:after="80"/>
        <w:jc w:val="both"/>
      </w:pPr>
      <w:r>
        <w:rPr>
          <w:rFonts w:ascii="Arial" w:cs="Arial" w:eastAsia="Arial" w:hAnsi="Arial"/>
          <w:sz w:val="24"/>
          <w:szCs w:val="24"/>
        </w:rPr>
        <w:t xml:space="preserve">The SP/NK1 neurogenic amplification loop operates largely outside adaptive immunity and therefore outside the reach of current biologics.</w:t>
      </w:r>
    </w:p>
    <w:p>
      <w:pPr>
        <w:spacing w:before="80" w:after="80"/>
        <w:jc w:val="both"/>
      </w:pPr>
      <w:r>
        <w:rPr>
          <w:rFonts w:ascii="Arial" w:cs="Arial" w:eastAsia="Arial" w:hAnsi="Arial"/>
          <w:sz w:val="24"/>
          <w:szCs w:val="24"/>
        </w:rPr>
        <w:t xml:space="preserve">As outlined in §4.3, Substance P released from peripheral sensory fibers binds NK1 receptors on mast cells, macrophages, and endothelial cells, triggering mast cell degranulation and pro-inflammatory cytokine release. These mediators in turn sensitize sensory terminals, lower the threshold for further SP release, and establish a positive-feedback loop that can sustain local inflammation.</w:t>
      </w:r>
    </w:p>
    <w:p>
      <w:pPr>
        <w:spacing w:before="80" w:after="80"/>
        <w:jc w:val="both"/>
      </w:pPr>
      <w:r>
        <w:rPr>
          <w:rFonts w:ascii="Arial" w:cs="Arial" w:eastAsia="Arial" w:hAnsi="Arial"/>
          <w:sz w:val="24"/>
          <w:szCs w:val="24"/>
        </w:rPr>
        <w:t xml:space="preserve">Standard biologic targets — TNF-α, IL-6, IL-17, IL-23, B cells, T-cell co-stimulation — act within the adaptive immune system and do not directly interrupt SP→NK1R→mast cell degranulation. In tissues where neurogenic amplification is prominent, adaptive effector blockade can therefore reduce but not abolish cytokine production, because NK1-driven mast cell outputs continue to feed the local inflammatory pool.</w:t>
      </w:r>
    </w:p>
    <w:p>
      <w:pPr>
        <w:spacing w:before="80" w:after="80"/>
        <w:jc w:val="both"/>
      </w:pPr>
      <w:r>
        <w:rPr>
          <w:rFonts w:ascii="Arial" w:cs="Arial" w:eastAsia="Arial" w:hAnsi="Arial"/>
          <w:sz w:val="24"/>
          <w:szCs w:val="24"/>
        </w:rPr>
        <w:t xml:space="preserve">NK1 antagonists such as aprepitant have shown anti-inflammatory effects in non-autoimmune contexts but have not been systematically tested in autoimmune populations. The upshot is that SP/NK1 offers a mechanistically distinct axis that may help explain partial responses and residual inflammation under biologics, and suggests a clear add-on target for future trials. The SP/NK1 loop components are Tier A/B; the claim that NK1-driven amplification is a meaningful contributor to the biologic ceiling is Tier C and requires NK1 antagonist add-on trials to test. Additional ceiling contributors including pharmacokinetics, target redundancy, and disease heterogeneity should not be excluded.</w:t>
      </w:r>
    </w:p>
    <w:p>
      <w:pPr>
        <w:pStyle w:val="Heading2"/>
        <w:spacing w:before="280" w:after="100"/>
      </w:pPr>
      <w:r>
        <w:rPr>
          <w:rFonts w:ascii="Arial" w:cs="Arial" w:eastAsia="Arial" w:hAnsi="Arial"/>
          <w:b/>
          <w:bCs/>
          <w:color w:val="2E5090"/>
          <w:sz w:val="28"/>
          <w:szCs w:val="28"/>
        </w:rPr>
        <w:t xml:space="preserve">5.5 — Connection 5: Estradiol Polarity Flip and the Menopause Paradox</w:t>
      </w:r>
    </w:p>
    <w:p>
      <w:pPr>
        <w:spacing w:before="80" w:after="80"/>
        <w:jc w:val="both"/>
      </w:pPr>
      <w:r>
        <w:rPr>
          <w:rFonts w:ascii="Arial" w:cs="Arial" w:eastAsia="Arial" w:hAnsi="Arial"/>
          <w:sz w:val="24"/>
          <w:szCs w:val="24"/>
        </w:rPr>
        <w:t xml:space="preserve">Estradiol’s immune effects are dose-dependent and bidirectional, helping reconcile increased premenopausal susceptibility with pregnancy-associated remission.</w:t>
      </w:r>
    </w:p>
    <w:p>
      <w:pPr>
        <w:spacing w:before="80" w:after="80"/>
        <w:jc w:val="both"/>
      </w:pPr>
      <w:r>
        <w:rPr>
          <w:rFonts w:ascii="Arial" w:cs="Arial" w:eastAsia="Arial" w:hAnsi="Arial"/>
          <w:sz w:val="24"/>
          <w:szCs w:val="24"/>
        </w:rPr>
        <w:t xml:space="preserve">At cycling physiological concentrations, E2 is predominantly immunostimulatory: it amplifies TLR7/9 responsiveness, extends B-cell survival, increases IFN-α output, promotes Th1 and certain Th17 responses, and lowers mast-cell degranulation thresholds. At supraphysiological pregnancy concentrations, E2 flips polarity and contributes to a Th2/Treg-skewed, more tolerogenic milieu, synergizing with high progesterone and estriol to suppress autoimmune activity. [Tier A for both modes individually; Fairweather D &amp; Rose NR, Emerg Infect Dis 10 (2004) 2005; Confavreux C et al., NEJM 339 (1998) 285]</w:t>
      </w:r>
    </w:p>
    <w:p>
      <w:pPr>
        <w:spacing w:before="80" w:after="80"/>
        <w:jc w:val="both"/>
      </w:pPr>
      <w:r>
        <w:rPr>
          <w:rFonts w:ascii="Arial" w:cs="Arial" w:eastAsia="Arial" w:hAnsi="Arial"/>
          <w:sz w:val="24"/>
          <w:szCs w:val="24"/>
        </w:rPr>
        <w:t xml:space="preserve">The inflection point between these regimes is not precisely mapped in humans but appears to sit above the high end of the normal menstrual cycle. Clinically, this polarity manifests as increased female predominance and cycle-linked flares in many autoimmune conditions, alongside high-rate remission in late pregnancy and stereotyped postpartum rebounds when E2, progesterone, and estriol collapse together.</w:t>
      </w:r>
    </w:p>
    <w:p>
      <w:pPr>
        <w:spacing w:before="80" w:after="80"/>
        <w:jc w:val="both"/>
      </w:pPr>
      <w:r>
        <w:rPr>
          <w:rFonts w:ascii="Arial" w:cs="Arial" w:eastAsia="Arial" w:hAnsi="Arial"/>
          <w:sz w:val="24"/>
          <w:szCs w:val="24"/>
        </w:rPr>
        <w:t xml:space="preserve">Menopause removes cycling E2 and changes the picture further. Conditions primarily driven by cycling-range Th1/B-cell amplification may show improvement in activity post-menopause even as vascular and skeletal risks rise, whereas conditions in which E2 plays a tissue-protective role may worsen. The upshot is that E2 should be treated as a tunable operating parameter rather than a unidirectional risk hormone, and that this polarity provides mechanistic grounding for hormonal trial designs. [Tier A for both E2 modes individually; Tier B for the detailed flip mechanism and condition-specific menopause effects]</w:t>
      </w:r>
    </w:p>
    <w:p>
      <w:pPr>
        <w:pBdr>
          <w:bottom w:val="single" w:color="CCCCCC" w:sz="4" w:space="1"/>
        </w:pBdr>
        <w:spacing w:before="120" w:after="120"/>
      </w:pPr>
      <w:r>
        <w:t xml:space="preserve"/>
      </w:r>
    </w:p>
    <w:p>
      <w:pPr>
        <w:pStyle w:val="Heading2"/>
        <w:spacing w:before="280" w:after="100"/>
      </w:pPr>
      <w:r>
        <w:rPr>
          <w:rFonts w:ascii="Arial" w:cs="Arial" w:eastAsia="Arial" w:hAnsi="Arial"/>
          <w:b/>
          <w:bCs/>
          <w:color w:val="2E5090"/>
          <w:sz w:val="28"/>
          <w:szCs w:val="28"/>
        </w:rPr>
        <w:t xml:space="preserve">Summary: Five Cross-System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Connection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Systems Involved</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Tier</w:t>
            </w:r>
          </w:p>
        </w:tc>
        <w:tc>
          <w:tcPr>
            <w:tcW w:type="dxa" w:w="4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Primary Testable Prediction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Late-life convergence (DHEA, GR resistance, thymic involution)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Endocrine, stress axis, thymic aging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Combined late-life markers predict autoimmune onset better than any single-system marker alone.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Gut barrier to thymic involution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Gut, thymus, innate immunity (ILC2/TSLP)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Durable gut barrier restoration slows thymic involution rate in aging humans.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Sympathetic denervation feedback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Sympathetic NS, local innate immune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Degree of denervation at inflamed sites predicts biologic non-response independent of systemic disease markers.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SP/NK1 neurogenic amplification independent of adaptive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Sensory nerves, mast cells, innate immune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NK1R antagonism adds benefit on top of biologic therapy in high-pain or high-neurogenic phenotypes.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Estradiol polarity flip (cycling stimulatory vs pregnancy tolerogenic)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Endocrine, adaptive immune, mast cells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Estriol or progesterone analog supplementation partially recreates pregnancy-like immune state and reduces relapse rate.</w:t>
            </w:r>
          </w:p>
        </w:tc>
      </w:tr>
    </w:tbl>
    <w:p>
      <w:pPr>
        <w:spacing w:before="80" w:after="80"/>
      </w:pPr>
      <w:r>
        <w:t xml:space="preserve"/>
      </w:r>
    </w:p>
    <w:p>
      <w:pPr>
        <w:spacing w:before="80" w:after="80"/>
        <w:jc w:val="both"/>
      </w:pPr>
      <w:r>
        <w:rPr>
          <w:rFonts w:ascii="Arial" w:cs="Arial" w:eastAsia="Arial" w:hAnsi="Arial"/>
          <w:i/>
          <w:iCs/>
          <w:sz w:val="24"/>
          <w:szCs w:val="24"/>
        </w:rPr>
        <w:t xml:space="preserve">Table 2. Five cross-system connections with evidence tier and primary testable prediction. Tier C: individual components are Tier A/B but the unified cascade as a clinical driver is not yet prospectively demonstrated. Tier B: direct experimental support in human or well-validated animal data with human correlates.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§6 — Condition Analysis: Five Failure Mode Profiles</w:t>
      </w:r>
    </w:p>
    <w:p>
      <w:pPr>
        <w:spacing w:before="80" w:after="80"/>
        <w:jc w:val="both"/>
      </w:pPr>
      <w:r>
        <w:rPr>
          <w:rFonts w:ascii="Arial" w:cs="Arial" w:eastAsia="Arial" w:hAnsi="Arial"/>
          <w:sz w:val="24"/>
          <w:szCs w:val="24"/>
        </w:rPr>
        <w:t xml:space="preserve">With the cross-system architecture established, this section characterizes the specific failure mode profiles of five conditions that together represent the range of mechanisms the framework identifies. These are not intended as comprehensive disease reviews; they are representative failure-mode exemplars, selected to show the framework doing concrete work across different mechanistic profiles. Readers should expect later versions or companion papers to expand condition coverage. Each condition is described in terms of which tolerance layers fail, which cross-system connections are operative, and what this predicts about treatment response.</w:t>
      </w:r>
    </w:p>
    <w:p>
      <w:pPr>
        <w:pStyle w:val="Heading2"/>
        <w:spacing w:before="280" w:after="100"/>
      </w:pPr>
      <w:r>
        <w:rPr>
          <w:rFonts w:ascii="Arial" w:cs="Arial" w:eastAsia="Arial" w:hAnsi="Arial"/>
          <w:b/>
          <w:bCs/>
          <w:color w:val="2E5090"/>
          <w:sz w:val="28"/>
          <w:szCs w:val="28"/>
        </w:rPr>
        <w:t xml:space="preserve">6.1 — Systemic Lupus Erythematosus: TLR Amplification + Central Tolerance Escape</w:t>
      </w:r>
    </w:p>
    <w:p>
      <w:pPr>
        <w:spacing w:before="200" w:after="80"/>
      </w:pPr>
      <w:r>
        <w:rPr>
          <w:rFonts w:ascii="Arial" w:cs="Arial" w:eastAsia="Arial" w:hAnsi="Arial"/>
          <w:b/>
          <w:bCs/>
          <w:color w:val="2E5090"/>
          <w:sz w:val="24"/>
          <w:szCs w:val="24"/>
        </w:rPr>
        <w:t xml:space="preserve">Failure mode profile</w:t>
      </w:r>
    </w:p>
    <w:p>
      <w:pPr>
        <w:spacing w:before="80" w:after="80"/>
        <w:jc w:val="both"/>
      </w:pPr>
      <w:r>
        <w:rPr>
          <w:rFonts w:ascii="Arial" w:cs="Arial" w:eastAsia="Arial" w:hAnsi="Arial"/>
          <w:sz w:val="24"/>
          <w:szCs w:val="24"/>
        </w:rPr>
        <w:t xml:space="preserve">SLE is the paradigm case of E2-amplified TLR-driven autoimmunity. The initiating defect is a failure to clear apoptotic debris — dead cells release nuclear material (dsDNA, chromatin, snRNPs) that should be rapidly cleared by complement-mediated opsonization and macrophage phagocytosis. In SLE, complement deficiency (C1q mutations are the single highest-risk genetic factor) and macrophage clearance defects allow nuclear debris to accumulate in tissue and blood. This debris then becomes the antigen driving the disease: anti-dsDNA and anti-Sm antibodies are the diagnostic hallmarks. [Tier A; Björk A et al., Nat Rev Rheumatol 17 (2021) 515]</w:t>
      </w:r>
    </w:p>
    <w:p>
      <w:pPr>
        <w:spacing w:before="80" w:after="80"/>
        <w:jc w:val="both"/>
      </w:pPr>
      <w:r>
        <w:rPr>
          <w:rFonts w:ascii="Arial" w:cs="Arial" w:eastAsia="Arial" w:hAnsi="Arial"/>
          <w:sz w:val="24"/>
          <w:szCs w:val="24"/>
        </w:rPr>
        <w:t xml:space="preserve">The amplification mechanism is TLR-driven. Plasmacytoid dendritic cells (pDCs) express TLR7 (detects ssRNA) and TLR9 (detects dsDNA) in endosomes. When nuclear debris crosses into the endosomal compartment — facilitated by immune complexes delivering it via Fcγ receptors — TLR7/9 are activated and pDCs produce massive quantities of type I interferons (IFN-α/β). IFN-α then amplifies virtually every arm of the autoimmune response: it activates dendritic cells to present autoantigens more efficiently, promotes B cell differentiation into antibody-producing plasma cells, prevents T cell apoptosis, and upregulates expression of TLR7 and TLR9 itself — a positive-feedback loop. The “IFN signature” (elevated expression of IFN-stimulated genes in blood) is present in approximately 75% of SLE patients and is the strongest molecular correlate of disease activity. [Tier A; Banchereau J &amp; Pascual V, Immunity 25 (2006) 383]</w:t>
      </w:r>
    </w:p>
    <w:p>
      <w:pPr>
        <w:spacing w:before="200" w:after="80"/>
      </w:pPr>
      <w:r>
        <w:rPr>
          <w:rFonts w:ascii="Arial" w:cs="Arial" w:eastAsia="Arial" w:hAnsi="Arial"/>
          <w:b/>
          <w:bCs/>
          <w:color w:val="2E5090"/>
          <w:sz w:val="24"/>
          <w:szCs w:val="24"/>
        </w:rPr>
        <w:t xml:space="preserve">Cross-system connections operative in SLE</w:t>
      </w:r>
    </w:p>
    <w:p>
      <w:pPr>
        <w:spacing w:before="80" w:after="80"/>
        <w:jc w:val="both"/>
      </w:pPr>
      <w:r>
        <w:rPr>
          <w:rFonts w:ascii="Arial" w:cs="Arial" w:eastAsia="Arial" w:hAnsi="Arial"/>
          <w:sz w:val="24"/>
          <w:szCs w:val="24"/>
        </w:rPr>
        <w:t xml:space="preserve">E2 amplification (Connection 5): E2 at physiological concentrations specifically upregulates TLR7 and TLR9 expression on pDCs, meaning female pDCs produce more IFN-α per unit of nuclear debris stimulus than male pDCs. This is the mechanistic root of the 9:1 female:male ratio in SLE — it is not merely that women have “more active immune systems” but that E2 specifically amplifies the TLR7/9 → IFN-α axis that is the primary driver of SLE pathology. The same E2 that makes the menstrual cycle possible makes the TLR amplifier louder. [Tier A]</w:t>
      </w:r>
    </w:p>
    <w:p>
      <w:pPr>
        <w:spacing w:before="80" w:after="80"/>
        <w:jc w:val="both"/>
      </w:pPr>
      <w:r>
        <w:rPr>
          <w:rFonts w:ascii="Arial" w:cs="Arial" w:eastAsia="Arial" w:hAnsi="Arial"/>
          <w:sz w:val="24"/>
          <w:szCs w:val="24"/>
        </w:rPr>
        <w:t xml:space="preserve">NETosis and nuclear debris (unique to SLE): neutrophils in SLE have a heightened propensity to undergo NETosis (neutrophil extracellular trap formation), extruding their nuclear chromatin into the extracellular space as a web of DNA and antimicrobial proteins. NETs are potent activators of pDC TLR9, creating a continuous endogenous source of the dsDNA ligand that drives IFN-α production. E2 increases NETosis propensity in neutrophils, adding a third level at which E2 amplifies the specific pathogenic cascade in SLE. Reduced clearance + TLR amplification + NETosis amplification + IFN-α positive feedback = the 9:1 sex ratio. [Tier B for NETosis-SLE amplification cascade as unified driver]</w:t>
      </w:r>
    </w:p>
    <w:p>
      <w:pPr>
        <w:spacing w:before="80" w:after="80"/>
        <w:jc w:val="both"/>
      </w:pPr>
      <w:r>
        <w:rPr>
          <w:rFonts w:ascii="Arial" w:cs="Arial" w:eastAsia="Arial" w:hAnsi="Arial"/>
          <w:sz w:val="24"/>
          <w:szCs w:val="24"/>
        </w:rPr>
        <w:t xml:space="preserve">Vagal tone and the CAP (Connection 3): IFN-α and IL-1β suppress brainstem vagal nuclei, reducing efferent vagal tone and weakening the cholinergic anti-inflammatory brake. As SLE activity increases, vagal tone falls, removing the macrophage restraint that would otherwise limit cytokine output. This bidirectional deterioration — inflammation reducing its own neural brake — is particularly consequential in SLE given the central role of macrophage TLR activation in the IFN amplification loop.</w:t>
      </w:r>
    </w:p>
    <w:p>
      <w:pPr>
        <w:spacing w:before="200" w:after="80"/>
      </w:pPr>
      <w:r>
        <w:rPr>
          <w:rFonts w:ascii="Arial" w:cs="Arial" w:eastAsia="Arial" w:hAnsi="Arial"/>
          <w:b/>
          <w:bCs/>
          <w:color w:val="2E5090"/>
          <w:sz w:val="24"/>
          <w:szCs w:val="24"/>
        </w:rPr>
        <w:t xml:space="preserve">Treatment ceiling explanation</w:t>
      </w:r>
    </w:p>
    <w:p>
      <w:pPr>
        <w:spacing w:before="80" w:after="80"/>
        <w:jc w:val="both"/>
      </w:pPr>
      <w:r>
        <w:rPr>
          <w:rFonts w:ascii="Arial" w:cs="Arial" w:eastAsia="Arial" w:hAnsi="Arial"/>
          <w:sz w:val="24"/>
          <w:szCs w:val="24"/>
        </w:rPr>
        <w:t xml:space="preserve">Hydroxychloroquine (the backbone of SLE treatment) works by accumulating in endolysosomes and raising endosomal pH, impairing TLR7/9 signaling — acting directly on the amplification mechanism rather than the downstream effectors. This is why HCQ produces broad disease activity reduction despite being a decades-old generic drug. Anifrolumab (anti-IFNAR1, blocking IFN-α/β receptor, FDA approved 2021) addresses the IFN amplification arm directly and is now Tier A for moderate-to-severe SLE. Neither addresses complement deficiency, NETosis, or DHEA decline as upstream drivers. Sustained remission without ongoing medication remains rare because the structural drivers — impaired complement clearance and E2-amplified TLR sensitivity — are not reversed by cytokine blockade. [Tier A for anifrolumab; Tier B for the ceiling mechanism]</w:t>
      </w:r>
    </w:p>
    <w:p>
      <w:pPr>
        <w:pStyle w:val="Heading2"/>
        <w:spacing w:before="280" w:after="100"/>
      </w:pPr>
      <w:r>
        <w:rPr>
          <w:rFonts w:ascii="Arial" w:cs="Arial" w:eastAsia="Arial" w:hAnsi="Arial"/>
          <w:b/>
          <w:bCs/>
          <w:color w:val="2E5090"/>
          <w:sz w:val="28"/>
          <w:szCs w:val="28"/>
        </w:rPr>
        <w:t xml:space="preserve">6.2 — Rheumatoid Arthritis: Peripheral Tolerance Failure + Synovial Neurogenic Amplification</w:t>
      </w:r>
    </w:p>
    <w:p>
      <w:pPr>
        <w:spacing w:before="200" w:after="80"/>
      </w:pPr>
      <w:r>
        <w:rPr>
          <w:rFonts w:ascii="Arial" w:cs="Arial" w:eastAsia="Arial" w:hAnsi="Arial"/>
          <w:b/>
          <w:bCs/>
          <w:color w:val="2E5090"/>
          <w:sz w:val="24"/>
          <w:szCs w:val="24"/>
        </w:rPr>
        <w:t xml:space="preserve">Failure mode profile</w:t>
      </w:r>
    </w:p>
    <w:p>
      <w:pPr>
        <w:spacing w:before="80" w:after="80"/>
        <w:jc w:val="both"/>
      </w:pPr>
      <w:r>
        <w:rPr>
          <w:rFonts w:ascii="Arial" w:cs="Arial" w:eastAsia="Arial" w:hAnsi="Arial"/>
          <w:sz w:val="24"/>
          <w:szCs w:val="24"/>
        </w:rPr>
        <w:t xml:space="preserve">RA is a disease of the synovial joint driven by a cascade that begins years before clinical symptoms appear. The earliest detectable event is the generation of anti-citrullinated protein antibodies (ACPA, also called anti-CCP): antibodies targeting proteins in which arginine residues have been converted to citrulline by peptidylarginine deiminase (PAD) enzymes. Citrullination is a normal post-translational modification, but in genetically susceptible individuals (particularly those carrying HLA-DRB1 shared epitope alleles), citrullinated peptides are presented to CD4+ T cells as foreign antigens, initiating adaptive immune responses against self-proteins. This tolerance failure occurs first in the lung and gut, not in the joint — mucosal sites where citrullination is high and where the gut microbiome can drive cross-reactive responses. [Tier A; Catrina AI et al., Nat Rev Rheumatol 13 (2017) 592]</w:t>
      </w:r>
    </w:p>
    <w:p>
      <w:pPr>
        <w:spacing w:before="80" w:after="80"/>
        <w:jc w:val="both"/>
      </w:pPr>
      <w:r>
        <w:rPr>
          <w:rFonts w:ascii="Arial" w:cs="Arial" w:eastAsia="Arial" w:hAnsi="Arial"/>
          <w:sz w:val="24"/>
          <w:szCs w:val="24"/>
        </w:rPr>
        <w:t xml:space="preserve">Prevotella copri, a gut bacterium consistently enriched in RA patients at the time of diagnosis and in individuals with early undifferentiated arthritis who subsequently develop RA, has been identified as a driver of Th17 skewing and potentially a source of citrullinated antigens that could prime the ACPA response. The gut-to-joint pathway in RA is not metaphorical: gut dysbiosis drives mucosal immune activation, which primes systemic Th17 responses, which then manifest as joint inflammation when ACPA-bearing immune complexes deposit in synovium. [Tier B; Scher JU et al., eLife 2 (2013) e01202]</w:t>
      </w:r>
    </w:p>
    <w:p>
      <w:pPr>
        <w:spacing w:before="80" w:after="80"/>
        <w:jc w:val="both"/>
      </w:pPr>
      <w:r>
        <w:rPr>
          <w:rFonts w:ascii="Arial" w:cs="Arial" w:eastAsia="Arial" w:hAnsi="Arial"/>
          <w:sz w:val="24"/>
          <w:szCs w:val="24"/>
        </w:rPr>
        <w:t xml:space="preserve">Once established in synovium, RA involves a self-sustaining inflammatory architecture: synovial fibroblasts (FLS) become activated and adopt an aggressive, invasive phenotype, secreting RANKL (which drives osteoclast-mediated bone erosion), IL-6, and MMPs independently of ongoing T and B cell activation. The FLS inflammatory program persists even when adaptive immune cells are removed — the fibroblast has become an autonomous inflammatory effector. [Tier A; Firestein GS &amp; McInnes IB, Immunity 46 (2017) 183]</w:t>
      </w:r>
    </w:p>
    <w:p>
      <w:pPr>
        <w:spacing w:before="200" w:after="80"/>
      </w:pPr>
      <w:r>
        <w:rPr>
          <w:rFonts w:ascii="Arial" w:cs="Arial" w:eastAsia="Arial" w:hAnsi="Arial"/>
          <w:b/>
          <w:bCs/>
          <w:color w:val="2E5090"/>
          <w:sz w:val="24"/>
          <w:szCs w:val="24"/>
        </w:rPr>
        <w:t xml:space="preserve">Cross-system connections operative in RA</w:t>
      </w:r>
    </w:p>
    <w:p>
      <w:pPr>
        <w:spacing w:before="80" w:after="80"/>
        <w:jc w:val="both"/>
      </w:pPr>
      <w:r>
        <w:rPr>
          <w:rFonts w:ascii="Arial" w:cs="Arial" w:eastAsia="Arial" w:hAnsi="Arial"/>
          <w:sz w:val="24"/>
          <w:szCs w:val="24"/>
        </w:rPr>
        <w:t xml:space="preserve">Sympathetic denervation feedback (Connection 3): This mechanism is most thoroughly documented in RA synovium. In early RA, sympathetic innervation of synovial tissue is measurable and provides tonic anti-inflammatory NE signaling. In established RA, sympathetic fiber density in inflamed synovium is substantially reduced while SP-positive sensory fiber density is preserved or increased. The result is a shift in the neuroimmune balance of the joint: anti-inflammatory NE signaling disappears while pro-inflammatory SP/NK1 signaling intensifies. This neurochemical reorganization is a structural feature of established RA that operates independently of whether adaptive immune cells are active. Biologic therapies cannot reverse denervation — explaining why complete synovial resolution is rare even in ACR70 responders. [Tier B; Straub RH et al., Ann Rheum Dis 67 (2008) 317]</w:t>
      </w:r>
    </w:p>
    <w:p>
      <w:pPr>
        <w:spacing w:before="80" w:after="80"/>
        <w:jc w:val="both"/>
      </w:pPr>
      <w:r>
        <w:rPr>
          <w:rFonts w:ascii="Arial" w:cs="Arial" w:eastAsia="Arial" w:hAnsi="Arial"/>
          <w:sz w:val="24"/>
          <w:szCs w:val="24"/>
        </w:rPr>
        <w:t xml:space="preserve">SP/NK1 independence from biologic control (Connection 4): Synovial mast cells in RA are activated by both IgE-mediated mechanisms and NK1R-mediated SP signaling. SP released from sensory nerve terminals activates synovial mast cells to degranulate histamine, tryptase, PGE2, and LTB4, all of which lower the activation threshold for synovial fibroblasts and macrophages. This NK1R-driven amplification loop runs alongside the TNF-α and IL-6 pathways targeted by current biologics but is not downstream of them. Patients with high synovial SP levels show attenuated responses to TNF-α blockade, consistent with an independent amplification circuit maintaining inflammation. [Tier B]</w:t>
      </w:r>
    </w:p>
    <w:p>
      <w:pPr>
        <w:spacing w:before="80" w:after="80"/>
        <w:jc w:val="both"/>
      </w:pPr>
      <w:r>
        <w:rPr>
          <w:rFonts w:ascii="Arial" w:cs="Arial" w:eastAsia="Arial" w:hAnsi="Arial"/>
          <w:sz w:val="24"/>
          <w:szCs w:val="24"/>
        </w:rPr>
        <w:t xml:space="preserve">Pregnancy remission and the hormonal layer (Connection 5): RA remits in approximately 75% of pregnant women during the second and third trimesters, with near-universal postpartum relapse within six months. This pattern maps precisely onto the E2/progesterone tolerogenic shift described in §3.3. The clinical implication is that the hormonal milieu is not merely a background modifier of RA — it is a primary operating parameter of the synovial inflammatory threshold. Postpartum flare prevention using progesterone analogs is a mechanistically grounded but systematically understudied intervention. [Tier A for the flare pattern; Tier C for progesterone intervention]</w:t>
      </w:r>
    </w:p>
    <w:p>
      <w:pPr>
        <w:spacing w:before="200" w:after="80"/>
      </w:pPr>
      <w:r>
        <w:rPr>
          <w:rFonts w:ascii="Arial" w:cs="Arial" w:eastAsia="Arial" w:hAnsi="Arial"/>
          <w:b/>
          <w:bCs/>
          <w:color w:val="2E5090"/>
          <w:sz w:val="24"/>
          <w:szCs w:val="24"/>
        </w:rPr>
        <w:t xml:space="preserve">Treatment ceiling explanation</w:t>
      </w:r>
    </w:p>
    <w:p>
      <w:pPr>
        <w:spacing w:before="80" w:after="80"/>
        <w:jc w:val="both"/>
      </w:pPr>
      <w:r>
        <w:rPr>
          <w:rFonts w:ascii="Arial" w:cs="Arial" w:eastAsia="Arial" w:hAnsi="Arial"/>
          <w:sz w:val="24"/>
          <w:szCs w:val="24"/>
        </w:rPr>
        <w:t xml:space="preserve">TNF-α blockade produces ACR50 response in approximately 50–60% of patients and ACR70 in 30–40%, with the remainder showing partial or no response. IL-6 blockade (tocilizumab) produces similar population-level response rates. The ceiling is not primarily due to target selection error — TNF-α and IL-6 are genuine drivers of synovial inflammation. One proposed explanation is the parallel operation of the FLS autonomous inflammatory program, the SP/NK1 neurogenic amplification loop, and the sympathetic denervation that has progressively removed the anti-inflammatory brake — none of which are downstream of the biologic targets. RESET-RA demonstrated that VNS produces meaningful additional benefit in biologic-refractory patients precisely because it addresses the neuroimmune layer that biologics do not reach. [Tier A for RESET-RA; Tier B for the ceiling mechanism]</w:t>
      </w:r>
    </w:p>
    <w:p>
      <w:pPr>
        <w:pStyle w:val="Heading2"/>
        <w:spacing w:before="280" w:after="100"/>
      </w:pPr>
      <w:r>
        <w:rPr>
          <w:rFonts w:ascii="Arial" w:cs="Arial" w:eastAsia="Arial" w:hAnsi="Arial"/>
          <w:b/>
          <w:bCs/>
          <w:color w:val="2E5090"/>
          <w:sz w:val="28"/>
          <w:szCs w:val="28"/>
        </w:rPr>
        <w:t xml:space="preserve">6.3 — Multiple Sclerosis: CNS Immune Privilege Failure + Smoldering Compartment</w:t>
      </w:r>
    </w:p>
    <w:p>
      <w:pPr>
        <w:spacing w:before="200" w:after="80"/>
      </w:pPr>
      <w:r>
        <w:rPr>
          <w:rFonts w:ascii="Arial" w:cs="Arial" w:eastAsia="Arial" w:hAnsi="Arial"/>
          <w:b/>
          <w:bCs/>
          <w:color w:val="2E5090"/>
          <w:sz w:val="24"/>
          <w:szCs w:val="24"/>
        </w:rPr>
        <w:t xml:space="preserve">Failure mode profile</w:t>
      </w:r>
    </w:p>
    <w:p>
      <w:pPr>
        <w:spacing w:before="80" w:after="80"/>
        <w:jc w:val="both"/>
      </w:pPr>
      <w:r>
        <w:rPr>
          <w:rFonts w:ascii="Arial" w:cs="Arial" w:eastAsia="Arial" w:hAnsi="Arial"/>
          <w:sz w:val="24"/>
          <w:szCs w:val="24"/>
        </w:rPr>
        <w:t xml:space="preserve">MS involves two mechanistically distinct disease processes that are often conflated in both research and clinical practice. The first is relapsing-remitting inflammation: peripheral autoreactive T cells and B cells breach the blood-brain barrier, attack oligodendrocytes producing myelin in discrete plaques, and cause acute conduction failure in the affected tracts. The second is the smoldering compartment: chronic low-grade neuroinflammation driven by activated microglia within the CNS parenchyma, largely behind the intact blood-brain barrier, producing progressive axonal loss independent of peripheral immune attack. These two processes have different mechanisms, different therapeutic targets, and different timescales. Stopping the first does not stop the second — which is why approved therapies for relapsing MS reduce relapse rates dramatically but have limited effect on long-term disability progression. [Tier A; Lassmann H, Ann Neurol 86 (2019) 294]</w:t>
      </w:r>
    </w:p>
    <w:p>
      <w:pPr>
        <w:spacing w:before="80" w:after="80"/>
        <w:jc w:val="both"/>
      </w:pPr>
      <w:r>
        <w:rPr>
          <w:rFonts w:ascii="Arial" w:cs="Arial" w:eastAsia="Arial" w:hAnsi="Arial"/>
          <w:sz w:val="24"/>
          <w:szCs w:val="24"/>
        </w:rPr>
        <w:t xml:space="preserve">The autoantigen targets in MS are myelin proteins (MBP, MOG, PLP) and oligodendrocyte-specific proteins. The EBV connection is now the strongest epidemiological finding in MS: Björnevik et al. (Science 375 (2022) 296), in a prospective cohort of 10 million US military personnel with serial serum samples, found that EBV infection increased MS risk 32-fold, and that essentially all MS cases were preceded by EBV infection — establishing EBV as a near-necessary (though not sufficient) cause. The mechanism is molecular mimicry: EBV nuclear antigen 1 (EBNA1) contains peptide sequences that cross-react with GlialCAM, a myelin-associated protein, and autoreactive T cells primed against EBNA1 can attack oligodendrocytes expressing GlialCAM. [Tier A for EBV epidemiology; Tier B for molecular mimicry mechanism]</w:t>
      </w:r>
    </w:p>
    <w:p>
      <w:pPr>
        <w:spacing w:before="80" w:after="80"/>
        <w:jc w:val="both"/>
      </w:pPr>
      <w:r>
        <w:rPr>
          <w:rFonts w:ascii="Arial" w:cs="Arial" w:eastAsia="Arial" w:hAnsi="Arial"/>
          <w:sz w:val="24"/>
          <w:szCs w:val="24"/>
        </w:rPr>
        <w:t xml:space="preserve">The smoldering compartment is driven by microglial glutamate excitotoxicity. Chronically activated microglia release glutamate via the system Xc- transporter at levels that overwhelm oligodendrocyte precursor cells’ (OPC) AMPA/kainate receptor capacity, killing OPCs before they can remyelinate damaged axons and directly damaging axons via excitotoxic mechanisms. This process is independent of whether new peripheral immune cells are entering the CNS — it continues behind an intact BBB in progressive MS, which is why S1P modulators and natalizumab (which prevent peripheral lymphocyte trafficking into CNS) do not arrest progression. [Tier A for microglial excitotoxicity mechanism; Tier B for OPC-specific targeting as therapy]</w:t>
      </w:r>
    </w:p>
    <w:p>
      <w:pPr>
        <w:spacing w:before="200" w:after="80"/>
      </w:pPr>
      <w:r>
        <w:rPr>
          <w:rFonts w:ascii="Arial" w:cs="Arial" w:eastAsia="Arial" w:hAnsi="Arial"/>
          <w:b/>
          <w:bCs/>
          <w:color w:val="2E5090"/>
          <w:sz w:val="24"/>
          <w:szCs w:val="24"/>
        </w:rPr>
        <w:t xml:space="preserve">Cross-system connections operative in MS</w:t>
      </w:r>
    </w:p>
    <w:p>
      <w:pPr>
        <w:spacing w:before="80" w:after="80"/>
        <w:jc w:val="both"/>
      </w:pPr>
      <w:r>
        <w:rPr>
          <w:rFonts w:ascii="Arial" w:cs="Arial" w:eastAsia="Arial" w:hAnsi="Arial"/>
          <w:sz w:val="24"/>
          <w:szCs w:val="24"/>
        </w:rPr>
        <w:t xml:space="preserve">Gut microbiome dysbiosis (Connection 2 pathway): MS patients show consistent gut microbiome alterations including reduction of butyrate-producing bacteria (Faecalibacterium prausnitzii, Butyricicoccus) and enrichment of taxa associated with Th17 skewing. Gut dysbiosis in MS reduces SCFA production, impairing Treg induction in the gut-associated lymphoid tissue. This systemic Th17 skew contributes to the peripheral autoreactive T cell pool that breaches the BBB. Germ-free mice colonized with MS patient microbiomes show enhanced experimental autoimmune encephalomyelitis severity compared to those colonized with healthy control microbiomes — establishing a causal contribution of the microbiome to CNS autoimmune activity. [Tier B; Cekanaviciute E et al., PNAS 114 (2017) 10713]</w:t>
      </w:r>
    </w:p>
    <w:p>
      <w:pPr>
        <w:spacing w:before="80" w:after="80"/>
        <w:jc w:val="both"/>
      </w:pPr>
      <w:r>
        <w:rPr>
          <w:rFonts w:ascii="Arial" w:cs="Arial" w:eastAsia="Arial" w:hAnsi="Arial"/>
          <w:sz w:val="24"/>
          <w:szCs w:val="24"/>
        </w:rPr>
        <w:t xml:space="preserve">Hormonal layers (Connection 5): The pregnancy remission pattern in MS mirrors RA — approximately 70% reduction in relapse rate in the third trimester, with sharp rebound in the first three months post-delivery. Allopregnanolone (ALLO), a progesterone metabolite, has a specific additional role in MS: it supports oligodendrocyte precursor cell maturation and remyelination capacity, meaning the hormonal environment of pregnancy not only suppresses the peripheral immune attack but actively supports the CNS repair process. Estriol supplementation trials in relapsing-remitting MS have shown reduced relapse rate and neuroprotective MRI effects. The hormonal layer in MS is therefore both immunological (suppressing peripheral attack) and neurobiological (supporting remyelination). [Tier A for pregnancy relapse reduction; Tier B for estriol and ALLO therapeutic applications]</w:t>
      </w:r>
    </w:p>
    <w:p>
      <w:pPr>
        <w:spacing w:before="80" w:after="80"/>
        <w:jc w:val="both"/>
      </w:pPr>
      <w:r>
        <w:rPr>
          <w:rFonts w:ascii="Arial" w:cs="Arial" w:eastAsia="Arial" w:hAnsi="Arial"/>
          <w:sz w:val="24"/>
          <w:szCs w:val="24"/>
        </w:rPr>
        <w:t xml:space="preserve">The smoldering compartment and the biologic ceiling: The separation between the relapsing and smoldering processes maps precisely onto the ceiling effect of current MS therapeutics. High-efficacy therapies (natalizumab, alemtuzumab, ocrelizumab) suppress relapses aggressively but show limited effects on progression in established SPMS. BTK inhibitors (evobrutinib, tolebrutinib) are in clinical trials specifically because they penetrate the CNS and can target microglia and B cells within the compartment that peripheral immunotherapies cannot reach. The smoldering compartment is the MS-specific version of the biologic ceiling identified in Connection 4. [Tier A for clinical trial data; Tier B for BTK-microglial mechanism]</w:t>
      </w:r>
    </w:p>
    <w:p>
      <w:pPr>
        <w:pStyle w:val="Heading2"/>
        <w:spacing w:before="280" w:after="100"/>
      </w:pPr>
      <w:r>
        <w:rPr>
          <w:rFonts w:ascii="Arial" w:cs="Arial" w:eastAsia="Arial" w:hAnsi="Arial"/>
          <w:b/>
          <w:bCs/>
          <w:color w:val="2E5090"/>
          <w:sz w:val="28"/>
          <w:szCs w:val="28"/>
        </w:rPr>
        <w:t xml:space="preserve">6.4 — Type 1 Diabetes: AIRE-Deficit Central Tolerance + Islet Exhaustion</w:t>
      </w:r>
    </w:p>
    <w:p>
      <w:pPr>
        <w:spacing w:before="200" w:after="80"/>
      </w:pPr>
      <w:r>
        <w:rPr>
          <w:rFonts w:ascii="Arial" w:cs="Arial" w:eastAsia="Arial" w:hAnsi="Arial"/>
          <w:b/>
          <w:bCs/>
          <w:color w:val="2E5090"/>
          <w:sz w:val="24"/>
          <w:szCs w:val="24"/>
        </w:rPr>
        <w:t xml:space="preserve">Failure mode profile</w:t>
      </w:r>
    </w:p>
    <w:p>
      <w:pPr>
        <w:spacing w:before="80" w:after="80"/>
        <w:jc w:val="both"/>
      </w:pPr>
      <w:r>
        <w:rPr>
          <w:rFonts w:ascii="Arial" w:cs="Arial" w:eastAsia="Arial" w:hAnsi="Arial"/>
          <w:sz w:val="24"/>
          <w:szCs w:val="24"/>
        </w:rPr>
        <w:t xml:space="preserve">Type 1 diabetes (T1D) is the canonical “central tolerance failure” disease in this framework — the condition in which AIRE-deficit thymic selection is the dominant mechanistic driver and sex-hormone modulation plays a minimal role. T1D is the paradigm case of central tolerance failure. Unlike RA, SLE, and MS — where peripheral tolerance failure and environmental amplification play major roles — T1D is driven primarily by inadequate thymic deletion of insulin-reactive and islet-associated T cells. AIRE drives ectopic expression of insulin and other islet antigens (IAPP, glutamic acid decarboxylase/GAD65, IA-2) in medullary thymic epithelial cells; thymocytes that bind these antigens with high affinity are deleted. In individuals who develop T1D, this deletion is incomplete — either because of AIRE dysfunction, reduced insulin expression in the thymus (the insulin gene promoter variant in the IDDM2 locus directly regulates thymic insulin expression), or stochastic failure — and autoreactive CD8+ T cells specific for islet antigens escape to the periphery. [Tier A; Vafiadis P et al., Nat Genet 15 (1997) 289; Anderson MS et al., Science 298 (2002) 1395]</w:t>
      </w:r>
    </w:p>
    <w:p>
      <w:pPr>
        <w:spacing w:before="80" w:after="80"/>
        <w:jc w:val="both"/>
      </w:pPr>
      <w:r>
        <w:rPr>
          <w:rFonts w:ascii="Arial" w:cs="Arial" w:eastAsia="Arial" w:hAnsi="Arial"/>
          <w:sz w:val="24"/>
          <w:szCs w:val="24"/>
        </w:rPr>
        <w:t xml:space="preserve">The effector mechanism is CD8+ T cell-mediated β-cell destruction (insulitis): autoreactive CD8+ CTLs infiltrate the islets of Langerhans, recognize islet antigens presented on MHC class I by β cells, and kill β cells via perforin/granzyme and Fas-FasL mechanisms. CD4+ Th1 cells contribute by producing IFN-γ, which upregulates MHC class I on β cells (making them better targets) and activates local macrophages to produce IL-1β and TNF-α (which have direct β-cell cytotoxicity at high concentrations). The result is progressive β-cell mass reduction — usually 80–90% before clinical diagnosis — followed by absolute insulin deficiency.</w:t>
      </w:r>
    </w:p>
    <w:p>
      <w:pPr>
        <w:spacing w:before="80" w:after="80"/>
        <w:jc w:val="both"/>
      </w:pPr>
      <w:r>
        <w:rPr>
          <w:rFonts w:ascii="Arial" w:cs="Arial" w:eastAsia="Arial" w:hAnsi="Arial"/>
          <w:sz w:val="24"/>
          <w:szCs w:val="24"/>
        </w:rPr>
        <w:t xml:space="preserve">The approximately 1:1 sex ratio in T1D is mechanistically informative: unlike SLE and RA, T1D is not substantially modulated by E2/T hormonal status. This is consistent with the central tolerance failure mechanism — AIRE-mediated thymic deletion is not strongly sex-hormone regulated. The sex ratio is a diagnostic readout of mechanism: when the ratio is near 1:1, the dominant failure mode is central tolerance rather than a peripherally amplified effector arm that is hormonally modulated. [Tier B for the sex-ratio-as-mechanism-readout inference]</w:t>
      </w:r>
    </w:p>
    <w:p>
      <w:pPr>
        <w:spacing w:before="200" w:after="80"/>
      </w:pPr>
      <w:r>
        <w:rPr>
          <w:rFonts w:ascii="Arial" w:cs="Arial" w:eastAsia="Arial" w:hAnsi="Arial"/>
          <w:b/>
          <w:bCs/>
          <w:color w:val="2E5090"/>
          <w:sz w:val="24"/>
          <w:szCs w:val="24"/>
        </w:rPr>
        <w:t xml:space="preserve">Cross-system connections operative in T1D</w:t>
      </w:r>
    </w:p>
    <w:p>
      <w:pPr>
        <w:spacing w:before="80" w:after="80"/>
        <w:jc w:val="both"/>
      </w:pPr>
      <w:r>
        <w:rPr>
          <w:rFonts w:ascii="Arial" w:cs="Arial" w:eastAsia="Arial" w:hAnsi="Arial"/>
          <w:sz w:val="24"/>
          <w:szCs w:val="24"/>
        </w:rPr>
        <w:t xml:space="preserve">Gut microbiome and early islet autoimmunity (Connection 2 pathway): The TEDDY (The Environmental Determinants of Diabetes in the Young) longitudinal study established that gut microbiome composition in the first years of life predicts progression to islet autoimmunity. Reduced butyrate-producing bacteria and earlier microbiome maturation are associated with higher T1D risk. Germ-free NOD mice (the standard T1D animal model) develop accelerated diabetes, and colonization with specific protective bacteria delays onset — establishing that the microbiome modulates the T1D cascade even though the primary failure is central tolerance. The mechanism is SCFA-mediated Treg induction: adequate peripheral Treg density can partially compensate for incomplete central tolerance deletion by suppressing escaped autoreactive clones. When gut dysbiosis reduces Treg induction capacity, the partial central tolerance failure becomes sufficient to initiate insulitis. [Tier B; Vatanen T et al., Cell 165 (2016) 842]</w:t>
      </w:r>
    </w:p>
    <w:p>
      <w:pPr>
        <w:spacing w:before="80" w:after="80"/>
        <w:jc w:val="both"/>
      </w:pPr>
      <w:r>
        <w:rPr>
          <w:rFonts w:ascii="Arial" w:cs="Arial" w:eastAsia="Arial" w:hAnsi="Arial"/>
          <w:sz w:val="24"/>
          <w:szCs w:val="24"/>
        </w:rPr>
        <w:t xml:space="preserve">DHEA and the late-life convergence (Connection 1, less operative): Unlike the other conditions analyzed here, T1D onset peaks in childhood and adolescence rather than midlife, which is consistent with the mechanism being primarily central tolerance failure (which is lifelong) rather than the late-life convergence of DHEA decline, GR resistance, and thymic involution. Late-onset T1D (LADA, latent autoimmune diabetes of adults) may have a different profile in which the late-life convergence cascade plays a larger role in triggering the transition from pre-clinical islet autoimmunity to clinical disease. [Tier C for the LADA distinction]</w:t>
      </w:r>
    </w:p>
    <w:p>
      <w:pPr>
        <w:spacing w:before="200" w:after="80"/>
      </w:pPr>
      <w:r>
        <w:rPr>
          <w:rFonts w:ascii="Arial" w:cs="Arial" w:eastAsia="Arial" w:hAnsi="Arial"/>
          <w:b/>
          <w:bCs/>
          <w:color w:val="2E5090"/>
          <w:sz w:val="24"/>
          <w:szCs w:val="24"/>
        </w:rPr>
        <w:t xml:space="preserve">Treatment ceiling explanation</w:t>
      </w:r>
    </w:p>
    <w:p>
      <w:pPr>
        <w:spacing w:before="80" w:after="80"/>
        <w:jc w:val="both"/>
      </w:pPr>
      <w:r>
        <w:rPr>
          <w:rFonts w:ascii="Arial" w:cs="Arial" w:eastAsia="Arial" w:hAnsi="Arial"/>
          <w:sz w:val="24"/>
          <w:szCs w:val="24"/>
        </w:rPr>
        <w:t xml:space="preserve">No currently approved disease-modifying therapy for T1D has succeeded in achieving durable remission. Teplizumab (anti-CD3, FDA approved 2022 for delay of Stage 3 T1D) delays clinical onset by approximately two years in at-risk individuals with islet autoimmunity but does not eliminate it. The ceiling reflects the central tolerance failure mechanism: once autoreactive CD8+ CTLs are established in the periphery, peripheral immune modulation can slow but not stop β-cell destruction without creating immunological vulnerability. Regulatory T cell therapies (antigen-specific Tregs targeting islet antigens) and tolerance-restoration approaches represent the logical intervention at the right level — restoring peripheral containment of autoreactive cells rather than suppressing all T cell activity. [Tier B for antigen-specific Treg approaches; Tier A for teplizumab delay data]</w:t>
      </w:r>
    </w:p>
    <w:p>
      <w:pPr>
        <w:pStyle w:val="Heading2"/>
        <w:spacing w:before="280" w:after="100"/>
      </w:pPr>
      <w:r>
        <w:rPr>
          <w:rFonts w:ascii="Arial" w:cs="Arial" w:eastAsia="Arial" w:hAnsi="Arial"/>
          <w:b/>
          <w:bCs/>
          <w:color w:val="2E5090"/>
          <w:sz w:val="28"/>
          <w:szCs w:val="28"/>
        </w:rPr>
        <w:t xml:space="preserve">6.5 — Ankylosing Spondylitis: IL-17/Th17 + Entheseal Neurogenic Amplification</w:t>
      </w:r>
    </w:p>
    <w:p>
      <w:pPr>
        <w:spacing w:before="200" w:after="80"/>
      </w:pPr>
      <w:r>
        <w:rPr>
          <w:rFonts w:ascii="Arial" w:cs="Arial" w:eastAsia="Arial" w:hAnsi="Arial"/>
          <w:b/>
          <w:bCs/>
          <w:color w:val="2E5090"/>
          <w:sz w:val="24"/>
          <w:szCs w:val="24"/>
        </w:rPr>
        <w:t xml:space="preserve">Failure mode profile</w:t>
      </w:r>
    </w:p>
    <w:p>
      <w:pPr>
        <w:spacing w:before="80" w:after="80"/>
        <w:jc w:val="both"/>
      </w:pPr>
      <w:r>
        <w:rPr>
          <w:rFonts w:ascii="Arial" w:cs="Arial" w:eastAsia="Arial" w:hAnsi="Arial"/>
          <w:sz w:val="24"/>
          <w:szCs w:val="24"/>
        </w:rPr>
        <w:t xml:space="preserve">Ankylosing spondylitis (AS) is the archetypal Th17/enthesis-plus-neurogenic-amplification phenotype in this framework: the condition where testosterone’s IL-17 suppression produces a 3:1 male-predominant sex ratio, where entheseal SP/NK1 neurogenic amplification is the most structurally prominent of all five conditions analyzed, and where HLA-B27 provides the strongest known MHC association in autoimmune disease. The primary genetic association is HLA-B27, present in approximately 90% of AS patients versus 8% of the general population, though the mechanism by which HLA-B27 drives the disease remains incompletely resolved. The leading hypotheses involve HLA-B27 misfolding in the endoplasmic reticulum (ER stress → UPR → IL-23 production), HLA-B27 homodimer formation on the cell surface (activating NK and CD4+ T cells that recognize non-canonical HLA-B27 dimers), and molecular mimicry between HLA-B27-presented bacterial antigens and self-antigens at entheses. [Tier A for HLA-B27 association; Tier B for mechanism]</w:t>
      </w:r>
    </w:p>
    <w:p>
      <w:pPr>
        <w:spacing w:before="80" w:after="80"/>
        <w:jc w:val="both"/>
      </w:pPr>
      <w:r>
        <w:rPr>
          <w:rFonts w:ascii="Arial" w:cs="Arial" w:eastAsia="Arial" w:hAnsi="Arial"/>
          <w:sz w:val="24"/>
          <w:szCs w:val="24"/>
        </w:rPr>
        <w:t xml:space="preserve">The primary effector mechanism is the IL-23/IL-17 axis. Dendritic cells and macrophages at entheses (the sites where tendons and ligaments attach to bone) produce IL-23, which drives differentiation and maintenance of Th17 cells and innate lymphoid cells (ILC3s) that produce IL-17A. IL-17A at entheses drives inflammation and, paradoxically, pathological new bone formation via activation of the Wnt pathway — the mechanism by which enthesitis leads to syndesmophyte formation and eventual spinal fusion. The Th17/IL-17 axis is also driven by gut dysbiosis: the Klebsiella and Prevotella species enriched in AS patients activate mucosal Th17 responses that spill into systemic circulation. [Tier A; Reveille JD, Nat Rev Rheumatol 7 (2011) 288]</w:t>
      </w:r>
    </w:p>
    <w:p>
      <w:pPr>
        <w:spacing w:before="80" w:after="80"/>
        <w:jc w:val="both"/>
      </w:pPr>
      <w:r>
        <w:rPr>
          <w:rFonts w:ascii="Arial" w:cs="Arial" w:eastAsia="Arial" w:hAnsi="Arial"/>
          <w:sz w:val="24"/>
          <w:szCs w:val="24"/>
        </w:rPr>
        <w:t xml:space="preserve">The enthesis — not the synovium — is the primary target tissue in AS. Entheses have a unique immunological microenvironment: they contain abundant IL-17-producing ILC3s, resident mast cells that can be activated by SP/NK1 signaling, and dense sensory innervation by SP-positive C-fibers responsive to mechanical load. Unlike synovial joints, entheses are biomechanically loaded, and mechanical stress amplifies local inflammatory signaling through both cellular mechanotransduction and SP release from loaded sensory nerve terminals. [Tier A for ILC3/enthesis biology; Tier B for mechanotransduction-inflammation link]</w:t>
      </w:r>
    </w:p>
    <w:p>
      <w:pPr>
        <w:spacing w:before="200" w:after="80"/>
      </w:pPr>
      <w:r>
        <w:rPr>
          <w:rFonts w:ascii="Arial" w:cs="Arial" w:eastAsia="Arial" w:hAnsi="Arial"/>
          <w:b/>
          <w:bCs/>
          <w:color w:val="2E5090"/>
          <w:sz w:val="24"/>
          <w:szCs w:val="24"/>
        </w:rPr>
        <w:t xml:space="preserve">Cross-system connections operative in AS</w:t>
      </w:r>
    </w:p>
    <w:p>
      <w:pPr>
        <w:spacing w:before="80" w:after="80"/>
        <w:jc w:val="both"/>
      </w:pPr>
      <w:r>
        <w:rPr>
          <w:rFonts w:ascii="Arial" w:cs="Arial" w:eastAsia="Arial" w:hAnsi="Arial"/>
          <w:sz w:val="24"/>
          <w:szCs w:val="24"/>
        </w:rPr>
        <w:t xml:space="preserve">Testosterone immunosuppression (Connection 5): AS shows 3:1 male predominance, but male patients — counterintuitively — do not have more severe disease on average than female patients in AS, unlike the pattern in RA and SLE where female predominance tracks with greater disease burden. This pattern is mechanistically consistent with testosterone’s specific suppression of the IL-17 axis: T suppresses Th17 differentiation and IL-17 production, meaning male AS patients have both higher disease risk via HLA-B27 expression pattern but also a hormonal brake on the primary effector pathway. Female AS patients, lacking testosterone’s IL-17 suppression, show more aggressive IL-17-driven disease when they develop it. The sex ratio in AS is a product of two opposing testosterone effects: modest disease-initiation protection and IL-17-pathway suppression that modulates severity. [Tier B]</w:t>
      </w:r>
    </w:p>
    <w:p>
      <w:pPr>
        <w:spacing w:before="80" w:after="80"/>
        <w:jc w:val="both"/>
      </w:pPr>
      <w:r>
        <w:rPr>
          <w:rFonts w:ascii="Arial" w:cs="Arial" w:eastAsia="Arial" w:hAnsi="Arial"/>
          <w:sz w:val="24"/>
          <w:szCs w:val="24"/>
        </w:rPr>
        <w:t xml:space="preserve">Entheseal SP/NK1 neurogenic amplification (Connection 4): Entheses have higher SP-positive sensory fiber density than synovium. Mechanical loading of inflamed entheses activates TRPV1 and TRPA1 on C-fibers, releasing SP that binds NK1R on resident mast cells and macrophages. NK1R-driven mast cell degranulation releases IL-17-amplifying mediators (PGE2, LTB4) and directly activates entheseal fibroblasts to produce RANKL and Wnt ligands. IL-17 blockade with secukinumab or ixekizumab is the most effective current therapy for AS and produces ACR50 responses in approximately 60–70% of patients — higher than in RA. The ceiling in the remaining 30–40% is consistent with the NK1R-driven mast cell amplification continuing to feed the local inflammatory circuit independently of IL-17. [Tier A for IL-17 blockade efficacy; Tier B for NK1R ceiling mechanism]</w:t>
      </w:r>
    </w:p>
    <w:p>
      <w:pPr>
        <w:spacing w:before="80" w:after="80"/>
        <w:jc w:val="both"/>
      </w:pPr>
      <w:r>
        <w:rPr>
          <w:rFonts w:ascii="Arial" w:cs="Arial" w:eastAsia="Arial" w:hAnsi="Arial"/>
          <w:sz w:val="24"/>
          <w:szCs w:val="24"/>
        </w:rPr>
        <w:t xml:space="preserve">Gut microbiome connection (Connection 2 pathway): Gut dysbiosis is more prominent in AS than in any other autoimmune condition after IBD — approximately 60% of AS patients have subclinical gut inflammation, and overt IBD (Crohn’s and ulcerative colitis) is a recognized comorbidity and shared genetic predisposition. Klebsiella pneumoniae enrichment in AS gut microbiome drives mucosal Th17 activation and has been proposed as a molecular mimicry trigger via cross-reaction between Klebsiella nitrogenase sequences and HLA-B27-associated peptides. Treating gut dysbiosis in AS has not been systematically evaluated as a primary intervention but is mechanistically predicted to reduce the systemic Th17 drive. [Tier B for Klebsiella/AS connection; Tier C for gut treatment hypothesis]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§7 — Why Single-System Interventions Have a Ceiling</w:t>
      </w:r>
    </w:p>
    <w:p>
      <w:pPr>
        <w:spacing w:before="80" w:after="80"/>
        <w:jc w:val="both"/>
      </w:pPr>
      <w:r>
        <w:rPr>
          <w:rFonts w:ascii="Arial" w:cs="Arial" w:eastAsia="Arial" w:hAnsi="Arial"/>
          <w:sz w:val="24"/>
          <w:szCs w:val="24"/>
        </w:rPr>
        <w:t xml:space="preserve">The five cross-system connections identified in §5 generate a specific prediction about treatment response: single-system interventions will produce partial remission in most patients and complete remission in few, because they address one layer of a multi-layer failure. This prediction is consistent with the observed clinical profile of every biologic class approved for autoimmune disease.</w:t>
      </w:r>
    </w:p>
    <w:p>
      <w:pPr>
        <w:spacing w:before="80" w:after="80"/>
        <w:jc w:val="both"/>
      </w:pPr>
      <w:r>
        <w:rPr>
          <w:rFonts w:ascii="Arial" w:cs="Arial" w:eastAsia="Arial" w:hAnsi="Arial"/>
          <w:sz w:val="24"/>
          <w:szCs w:val="24"/>
        </w:rPr>
        <w:t xml:space="preserve">TNF-α blockade (adalimumab, etanercept) addresses one pro-inflammatory cytokine in the effector arm. It does not restore Treg function, does not interrupt SP/NK1 neurogenic amplification, does not address gut barrier dysfunction driving ongoing microbial translocation, and does not restore vagal tone. IL-17 blockade (secukinumab) addresses the dominant effector cytokine in Th17-driven conditions. It does not address the upstream Th17-driving gut dysbiosis (Prevotella copri-driven Th17 skewing persists), does not restore central tolerance, and does not affect the sympathetic denervation feedback. B cell depletion (rituximab) removes one effector arm. It does not address T cell-mediated tissue damage, does not clear antigen-experienced plasma cells in bone marrow niches, and does not restore peripheral Treg suppressive capacity.</w:t>
      </w:r>
    </w:p>
    <w:p>
      <w:pPr>
        <w:spacing w:before="80" w:after="80"/>
        <w:jc w:val="both"/>
      </w:pPr>
      <w:r>
        <w:rPr>
          <w:rFonts w:ascii="Arial" w:cs="Arial" w:eastAsia="Arial" w:hAnsi="Arial"/>
          <w:sz w:val="24"/>
          <w:szCs w:val="24"/>
        </w:rPr>
        <w:t xml:space="preserve">One candidate intervention that may approach the multi-system failure from a different level is vagal nerve stimulation via the CAP. VNS acts upstream of cytokine production by modulating the macrophage activation threshold across all cytokine classes simultaneously, without creating the immunosuppressive vulnerability that broad-spectrum immunosuppressants produce. The RESET-RA results suggest that this upstream modulation has clinical reality. The remaining question is whether combining CAP activation with gut microbiome restoration and specific cytokine blockade produces additive or synergistic effects — a combination trial design that follows directly from the multi-system framework but has not yet been conducted. [Tier C; combined multi-system intervention not yet tested in a clinical trial]</w:t>
      </w:r>
    </w:p>
    <w:p>
      <w:pPr>
        <w:spacing w:before="80" w:after="80"/>
        <w:jc w:val="both"/>
      </w:pPr>
      <w:r>
        <w:rPr>
          <w:rFonts w:ascii="Arial" w:cs="Arial" w:eastAsia="Arial" w:hAnsi="Arial"/>
          <w:sz w:val="24"/>
          <w:szCs w:val="24"/>
        </w:rPr>
        <w:t xml:space="preserve">The biologic ceiling pattern is not unique to autoimmune conditions. Eosinophilic esophagitis provides an instructive parallel: every biologic targeting IL-5 (mepolizumab, reslizumab, benralizumab) reliably reduces esophageal eosinophilia but consistently fails to produce symptomatic or endoscopic benefit. The barzolvolimab Phase 2 trial (EvolvE, NCT05774184, topline results August 2025) extended this pattern: anti-KIT antibody treatment produced 72% depletion of esophageal mast cells with no significant improvement in symptom scores (p=0.33), endoscopic scores (p=0.95), or eosinophil counts. Depleting a downstream cellular element without interrupting the upstream self-sustaining IL-13 loop produced no clinical benefit — a pattern consistent with the same structural logic proposed for autoimmune biologic ceilings: targeting effector outputs downstream of the mechanism's maintenance driver. In both cases, the treatment addresses a real effector component of the inflammatory cascade but not the loop structure that maintains it. The ceiling is consistent with a pattern of targeting downstream of the mechanism’s maintenance driver. [Tier A for IL-5 data in EoE; Tier B for the structural parallel to autoimmune biologic ceiling]</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§8 — Testable Therapeutic Hypotheses from the Multi-System Framework</w:t>
      </w:r>
    </w:p>
    <w:p>
      <w:pPr>
        <w:spacing w:before="80" w:after="80"/>
        <w:jc w:val="both"/>
      </w:pPr>
      <w:r>
        <w:rPr>
          <w:rFonts w:ascii="Arial" w:cs="Arial" w:eastAsia="Arial" w:hAnsi="Arial"/>
          <w:sz w:val="24"/>
          <w:szCs w:val="24"/>
        </w:rPr>
        <w:t xml:space="preserve">The multi-system architecture suggests a set of intervention hypotheses that follow mechanistically from the framework but have not been tested as a combined protocol. Each is stated as a hypothesis with the evidence level for its component mechanisms and the trial design that would validate it. These are not clinical recommendations; they are mechanistic predictions about intervention targets that should be testable.</w:t>
      </w:r>
    </w:p>
    <w:p>
      <w:pPr>
        <w:pStyle w:val="ListParagraph"/>
        <w:numPr>
          <w:ilvl w:val="0"/>
          <w:numId w:val="2"/>
        </w:numPr>
        <w:spacing w:before="40" w:after="40"/>
      </w:pPr>
      <w:r>
        <w:rPr>
          <w:rFonts w:ascii="Arial" w:cs="Arial" w:eastAsia="Arial" w:hAnsi="Arial"/>
          <w:sz w:val="24"/>
          <w:szCs w:val="24"/>
        </w:rPr>
        <w:t xml:space="preserve">Hypothesis 1 — Gut barrier restoration: if gut barrier dysfunction drives thymic involution acceleration and systemic immune activation as Connection 2 proposes, then microbiome diversity restoration, dietary fiber for SCFA production, and targeted probiotic intervention should attenuate downstream tolerance failure. Microbiome diversity restoration, dietary fiber for SCFA production, targeted probiotic intervention (Bacteroides fragilis/PSA-producing strains for Treg induction). [Tier B]</w:t>
      </w:r>
    </w:p>
    <w:p>
      <w:pPr>
        <w:pStyle w:val="ListParagraph"/>
        <w:numPr>
          <w:ilvl w:val="0"/>
          <w:numId w:val="2"/>
        </w:numPr>
        <w:spacing w:before="40" w:after="40"/>
      </w:pPr>
      <w:r>
        <w:rPr>
          <w:rFonts w:ascii="Arial" w:cs="Arial" w:eastAsia="Arial" w:hAnsi="Arial"/>
          <w:sz w:val="24"/>
          <w:szCs w:val="24"/>
        </w:rPr>
        <w:t xml:space="preserve">Hypothesis 2 — Vagal tone restoration: if the CAP is a primary real-time brake on macrophage cytokine production, then exercise, mindfulness-based stress reduction, and implantable VNS should each reduce systemic inflammatory markers, with VNS producing the largest effect in refractory cases. Exercise (the most accessible vagotonic intervention), mindfulness-based stress reduction (documented HRV effects), and implantable VNS for refractory cases. [Tier A for VNS in RA; Tier B for lifestyle interventions]</w:t>
      </w:r>
    </w:p>
    <w:p>
      <w:pPr>
        <w:pStyle w:val="ListParagraph"/>
        <w:numPr>
          <w:ilvl w:val="0"/>
          <w:numId w:val="2"/>
        </w:numPr>
        <w:spacing w:before="40" w:after="40"/>
      </w:pPr>
      <w:r>
        <w:rPr>
          <w:rFonts w:ascii="Arial" w:cs="Arial" w:eastAsia="Arial" w:hAnsi="Arial"/>
          <w:sz w:val="24"/>
          <w:szCs w:val="24"/>
        </w:rPr>
        <w:t xml:space="preserve">Hypothesis 3 — SP/NK1 circuit interruption: if neurogenic amplification via NK1R sustains inflammation independently of adaptive effectors, NK1R antagonism should produce additive benefit when combined with biologic therapy in conditions with high neurogenic amplification signatures. Minimal trial design: RA patients on established biologic therapy randomized to biologic alone versus biologic plus NK1R antagonist (e.g., aprepitant), primary endpoint ACR50 at 6 months, pre-stratified by pain burden and SP-positive sensory fiber density as enrichment markers. [Tier C; no large RCTs in autoimmune disease]</w:t>
      </w:r>
    </w:p>
    <w:p>
      <w:pPr>
        <w:pStyle w:val="ListParagraph"/>
        <w:numPr>
          <w:ilvl w:val="0"/>
          <w:numId w:val="2"/>
        </w:numPr>
        <w:spacing w:before="40" w:after="40"/>
      </w:pPr>
      <w:r>
        <w:rPr>
          <w:rFonts w:ascii="Arial" w:cs="Arial" w:eastAsia="Arial" w:hAnsi="Arial"/>
          <w:sz w:val="24"/>
          <w:szCs w:val="24"/>
        </w:rPr>
        <w:t xml:space="preserve">Hypothesis 4 — Hormonal operating parameters: if E2, T, DHEA, and progesterone are primary immune operating parameters as Connection 1 and §3 propose, then DHEA supplementation in late-life autoimmune onset, progesterone analog support for postpartum flare prevention, and E3 supplementation in MS should each show measurable immune modulation in stratified trials. [Tier B for specific applications; Tier C for general hormonal support protocol]</w:t>
      </w:r>
    </w:p>
    <w:p>
      <w:pPr>
        <w:pStyle w:val="ListParagraph"/>
        <w:numPr>
          <w:ilvl w:val="0"/>
          <w:numId w:val="2"/>
        </w:numPr>
        <w:spacing w:before="40" w:after="40"/>
      </w:pPr>
      <w:r>
        <w:rPr>
          <w:rFonts w:ascii="Arial" w:cs="Arial" w:eastAsia="Arial" w:hAnsi="Arial"/>
          <w:sz w:val="24"/>
          <w:szCs w:val="24"/>
        </w:rPr>
        <w:t xml:space="preserve">Hypothesis 5 — Thymic support: if thymic involution accelerates central tolerance failure, then GH/IGF-1 supplementation and IL-22 administration should slow involution and improve naive T cell output in aging populations — a measurable endpoint with existing tools. [Tier B for mechanism; Tier C for clinical application]</w:t>
      </w:r>
    </w:p>
    <w:p>
      <w:pPr>
        <w:spacing w:before="80" w:after="80"/>
      </w:pPr>
      <w:r>
        <w:t xml:space="preserve"/>
      </w:r>
    </w:p>
    <w:p>
      <w:pPr>
        <w:spacing w:before="80" w:after="80"/>
        <w:jc w:val="both"/>
      </w:pPr>
      <w:r>
        <w:rPr>
          <w:rFonts w:ascii="Arial" w:cs="Arial" w:eastAsia="Arial" w:hAnsi="Arial"/>
          <w:sz w:val="24"/>
          <w:szCs w:val="24"/>
        </w:rPr>
        <w:t xml:space="preserve">These are not recommendations. They are mechanistic hypotheses about intervention targets that follow from the cross-system framework and that have not been tested as a combined protocol. Each individual component has evidence at the tier levels noted; the combined protocol is Tier C. A clinical trial designed to test sequential or simultaneous multi-layer intervention would be the direct empirical test of the framework.</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§9 — Discussion and Limitations</w:t>
      </w:r>
    </w:p>
    <w:p>
      <w:pPr>
        <w:spacing w:before="80" w:after="80"/>
        <w:jc w:val="both"/>
      </w:pPr>
      <w:r>
        <w:rPr>
          <w:rFonts w:ascii="Arial" w:cs="Arial" w:eastAsia="Arial" w:hAnsi="Arial"/>
          <w:sz w:val="24"/>
          <w:szCs w:val="24"/>
        </w:rPr>
        <w:t xml:space="preserve">This paper is a synthesis, not a systematic review. Sources were drawn from primary literature in five fields, prioritizing mechanistic studies with human tissue or clinical data, landmark trials, and recent literature in areas of active development. Tier assignments reflect the confidence with which mechanisms are used in this synthesis, not a formal evidence-grading system such as GRADE. Reviewers may reasonably disagree on individual tier assignments, particularly at the Tier B/C boundary.</w:t>
      </w:r>
    </w:p>
    <w:p>
      <w:pPr>
        <w:spacing w:before="80" w:after="80"/>
        <w:jc w:val="both"/>
      </w:pPr>
      <w:r>
        <w:rPr>
          <w:rFonts w:ascii="Arial" w:cs="Arial" w:eastAsia="Arial" w:hAnsi="Arial"/>
          <w:sz w:val="24"/>
          <w:szCs w:val="24"/>
        </w:rPr>
        <w:t xml:space="preserve">The five cross-system connections proposed here are each grounded in established mechanisms. The claim that they operate simultaneously and produce convergent tolerance failure is Tier C: each causal link is supported, but the combined cascade as a unified clinical pattern driving autoimmune onset and treatment ceiling has not been directly demonstrated. A prospective study tracking all five systems simultaneously in patients approaching autoimmune disease onset or experiencing treatment ceiling would be required to test the integrated framework.</w:t>
      </w:r>
    </w:p>
    <w:p>
      <w:pPr>
        <w:spacing w:before="80" w:after="80"/>
        <w:jc w:val="both"/>
      </w:pPr>
      <w:r>
        <w:rPr>
          <w:rFonts w:ascii="Arial" w:cs="Arial" w:eastAsia="Arial" w:hAnsi="Arial"/>
          <w:sz w:val="24"/>
          <w:szCs w:val="24"/>
        </w:rPr>
        <w:t xml:space="preserve">The condition analysis in §6 is incomplete in this version. The five conditions were selected to represent the range of mechanisms, not to be comprehensive. Many autoimmune conditions — including psoriasis, IBD, primary biliary cholangitis, myositis, and vasculitis — are not analyzed here. Their inclusion in subsequent versions will require condition-specific literature review beyond the scope of this paper.</w:t>
      </w:r>
    </w:p>
    <w:p>
      <w:pPr>
        <w:spacing w:before="80" w:after="80"/>
        <w:jc w:val="both"/>
      </w:pPr>
      <w:r>
        <w:rPr>
          <w:rFonts w:ascii="Arial" w:cs="Arial" w:eastAsia="Arial" w:hAnsi="Arial"/>
          <w:sz w:val="24"/>
          <w:szCs w:val="24"/>
        </w:rPr>
        <w:t xml:space="preserve">The intervention logic in §8 is provisional. It follows mechanistically from the framework but has not been tested as a protocol. Readers should treat it as a hypothesis-generating synthesis, not as clinical guidance.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§10 — Conclusions</w:t>
      </w:r>
    </w:p>
    <w:p>
      <w:pPr>
        <w:spacing w:before="80" w:after="80"/>
        <w:jc w:val="both"/>
      </w:pPr>
      <w:r>
        <w:rPr>
          <w:rFonts w:ascii="Arial" w:cs="Arial" w:eastAsia="Arial" w:hAnsi="Arial"/>
          <w:sz w:val="24"/>
          <w:szCs w:val="24"/>
        </w:rPr>
        <w:t xml:space="preserve">Autoimmune disease is not a failure of a single system. It is a failure of tolerance architecture that is maintained across at least five coupled systems — immunological, gastrointestinal, neurological, endocrine, and thymic — whose mutual dependencies are poorly reflected in the siloed literature that studies each in isolation. The result is a treatment paradigm that targets the adaptive effector arm of a multi-system failure, achieves partial remission, and rarely addresses the mechanisms that would be required to produce complete and sustained remission.</w:t>
      </w:r>
    </w:p>
    <w:p>
      <w:pPr>
        <w:spacing w:before="80" w:after="80"/>
        <w:jc w:val="both"/>
      </w:pPr>
      <w:r>
        <w:rPr>
          <w:rFonts w:ascii="Arial" w:cs="Arial" w:eastAsia="Arial" w:hAnsi="Arial"/>
          <w:sz w:val="24"/>
          <w:szCs w:val="24"/>
        </w:rPr>
        <w:t xml:space="preserve">The five cross-system connections identified here — the late-life aging convergence cascade, the gut-to-thymus pathway, the sympathetic denervation feedback, the SP/NK1 independence from biologic control, and the E2 polarity flip — each rest on established mechanisms and together suggest a different way of asking the clinical question. Not which cytokine to block, but which layer of tolerance failure to restore first, and in what order.</w:t>
      </w:r>
    </w:p>
    <w:p>
      <w:pPr>
        <w:spacing w:before="80" w:after="80"/>
        <w:jc w:val="both"/>
      </w:pPr>
      <w:r>
        <w:rPr>
          <w:rFonts w:ascii="Arial" w:cs="Arial" w:eastAsia="Arial" w:hAnsi="Arial"/>
          <w:sz w:val="24"/>
          <w:szCs w:val="24"/>
        </w:rPr>
        <w:t xml:space="preserve">The RESET-RA trial, confirming clinical efficacy of vagal nerve stimulation in drug-refractory RA, represents the first large-scale clinical validation of the neuroimmune interface as a therapeutic target. It is a proof of concept for the broader claim that upstream neural modulation of immune tone — acting before cytokine production rather than after it — may produce qualitatively different outcomes than downstream effector blockade.</w:t>
      </w:r>
    </w:p>
    <w:p>
      <w:pPr>
        <w:spacing w:before="80" w:after="80"/>
        <w:jc w:val="both"/>
      </w:pPr>
      <w:r>
        <w:rPr>
          <w:rFonts w:ascii="Arial" w:cs="Arial" w:eastAsia="Arial" w:hAnsi="Arial"/>
          <w:sz w:val="24"/>
          <w:szCs w:val="24"/>
        </w:rPr>
        <w:t xml:space="preserve">The framework is falsifiable at every level. If gut barrier restoration does not attenuate autoimmune activity in longitudinal studies, the gut-to-thymus pathway is not driving clinical outcomes. If combined VNS + microbiome intervention does not outperform either alone, the additive cross-system hypothesis fails. If the late-life convergence cascade does not predict onset timing better than any single-system marker, the integrated model is wrong. These are tractable questions. They require multi-system studies that current clinical trial design does not routinely conduct.</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References</w:t>
      </w:r>
    </w:p>
    <w:p>
      <w:pPr>
        <w:spacing w:before="80" w:after="80"/>
        <w:jc w:val="both"/>
      </w:pPr>
      <w:r>
        <w:rPr>
          <w:rFonts w:ascii="Arial" w:cs="Arial" w:eastAsia="Arial" w:hAnsi="Arial"/>
          <w:sz w:val="24"/>
          <w:szCs w:val="24"/>
        </w:rPr>
        <w:t xml:space="preserve">[1] Anderson MS et al. Projection of an immunological self shadow within the thymus by the aire protein. Science 298 (2002) 1395–1401.</w:t>
      </w:r>
    </w:p>
    <w:p>
      <w:pPr>
        <w:spacing w:before="80" w:after="80"/>
        <w:jc w:val="both"/>
      </w:pPr>
      <w:r>
        <w:rPr>
          <w:rFonts w:ascii="Arial" w:cs="Arial" w:eastAsia="Arial" w:hAnsi="Arial"/>
          <w:sz w:val="24"/>
          <w:szCs w:val="24"/>
        </w:rPr>
        <w:t xml:space="preserve">[2] Sakaguchi S et al. Regulatory T cells and immune tolerance. Cell 133 (2008) 775–787.</w:t>
      </w:r>
    </w:p>
    <w:p>
      <w:pPr>
        <w:spacing w:before="80" w:after="80"/>
        <w:jc w:val="both"/>
      </w:pPr>
      <w:r>
        <w:rPr>
          <w:rFonts w:ascii="Arial" w:cs="Arial" w:eastAsia="Arial" w:hAnsi="Arial"/>
          <w:sz w:val="24"/>
          <w:szCs w:val="24"/>
        </w:rPr>
        <w:t xml:space="preserve">[3] Bluestone JA et al. Mechanisms of tolerance. Immunol Rev 191 (2003) 253–272.</w:t>
      </w:r>
    </w:p>
    <w:p>
      <w:pPr>
        <w:spacing w:before="80" w:after="80"/>
        <w:jc w:val="both"/>
      </w:pPr>
      <w:r>
        <w:rPr>
          <w:rFonts w:ascii="Arial" w:cs="Arial" w:eastAsia="Arial" w:hAnsi="Arial"/>
          <w:sz w:val="24"/>
          <w:szCs w:val="24"/>
        </w:rPr>
        <w:t xml:space="preserve">[4] Tracey KJ. The inflammatory reflex. Nature 420 (2002) 853–859.</w:t>
      </w:r>
    </w:p>
    <w:p>
      <w:pPr>
        <w:spacing w:before="80" w:after="80"/>
        <w:jc w:val="both"/>
      </w:pPr>
      <w:r>
        <w:rPr>
          <w:rFonts w:ascii="Arial" w:cs="Arial" w:eastAsia="Arial" w:hAnsi="Arial"/>
          <w:sz w:val="24"/>
          <w:szCs w:val="24"/>
        </w:rPr>
        <w:t xml:space="preserve">[5] Pavlov VA &amp; Tracey KJ. The vagus nerve and the inflammatory reflex — linking immunity and metabolism. Nat Rev Endocrinol 8 (2012) 743–754.</w:t>
      </w:r>
    </w:p>
    <w:p>
      <w:pPr>
        <w:spacing w:before="80" w:after="80"/>
        <w:jc w:val="both"/>
      </w:pPr>
      <w:r>
        <w:rPr>
          <w:rFonts w:ascii="Arial" w:cs="Arial" w:eastAsia="Arial" w:hAnsi="Arial"/>
          <w:sz w:val="24"/>
          <w:szCs w:val="24"/>
        </w:rPr>
        <w:t xml:space="preserve">[6] Fairweather D &amp; Rose NR. Women and autoimmune diseases. Emerg Infect Dis 10 (2004) 2005–2011.</w:t>
      </w:r>
    </w:p>
    <w:p>
      <w:pPr>
        <w:spacing w:before="80" w:after="80"/>
        <w:jc w:val="both"/>
      </w:pPr>
      <w:r>
        <w:rPr>
          <w:rFonts w:ascii="Arial" w:cs="Arial" w:eastAsia="Arial" w:hAnsi="Arial"/>
          <w:sz w:val="24"/>
          <w:szCs w:val="24"/>
        </w:rPr>
        <w:t xml:space="preserve">[7] Cunningham M &amp; Gilkeson G. Estrogen receptors in immunity and autoimmunity. Clin Rev Allergy Immunol 40 (2011) 66–73.</w:t>
      </w:r>
    </w:p>
    <w:p>
      <w:pPr>
        <w:spacing w:before="80" w:after="80"/>
        <w:jc w:val="both"/>
      </w:pPr>
      <w:r>
        <w:rPr>
          <w:rFonts w:ascii="Arial" w:cs="Arial" w:eastAsia="Arial" w:hAnsi="Arial"/>
          <w:sz w:val="24"/>
          <w:szCs w:val="24"/>
        </w:rPr>
        <w:t xml:space="preserve">[8] Nelson JL &amp; Ostensen M. Pregnancy and rheumatoid arthritis. Rheum Dis Clin North Am 23 (1997) 195–212.</w:t>
      </w:r>
    </w:p>
    <w:p>
      <w:pPr>
        <w:spacing w:before="80" w:after="80"/>
        <w:jc w:val="both"/>
      </w:pPr>
      <w:r>
        <w:rPr>
          <w:rFonts w:ascii="Arial" w:cs="Arial" w:eastAsia="Arial" w:hAnsi="Arial"/>
          <w:sz w:val="24"/>
          <w:szCs w:val="24"/>
        </w:rPr>
        <w:t xml:space="preserve">[9] Confavreux C et al. Rate of pregnancy-related relapse in multiple sclerosis. NEJM 339 (1998) 285–291.</w:t>
      </w:r>
    </w:p>
    <w:p>
      <w:pPr>
        <w:spacing w:before="80" w:after="80"/>
        <w:jc w:val="both"/>
      </w:pPr>
      <w:r>
        <w:rPr>
          <w:rFonts w:ascii="Arial" w:cs="Arial" w:eastAsia="Arial" w:hAnsi="Arial"/>
          <w:sz w:val="24"/>
          <w:szCs w:val="24"/>
        </w:rPr>
        <w:t xml:space="preserve">[10] Vukusic S et al. Pregnancy and multiple sclerosis (the PRIMS study): clinical predictors of post-partum relapse. Brain 127 (2004) 1353–1360.</w:t>
      </w:r>
    </w:p>
    <w:p>
      <w:pPr>
        <w:spacing w:before="80" w:after="80"/>
        <w:jc w:val="both"/>
      </w:pPr>
      <w:r>
        <w:rPr>
          <w:rFonts w:ascii="Arial" w:cs="Arial" w:eastAsia="Arial" w:hAnsi="Arial"/>
          <w:sz w:val="24"/>
          <w:szCs w:val="24"/>
        </w:rPr>
        <w:t xml:space="preserve">[11] Cutolo M et al. Sex hormones influence on the immune system. Ann Rheum Dis 59 suppl 1 (2000) i19–i23.</w:t>
      </w:r>
    </w:p>
    <w:p>
      <w:pPr>
        <w:spacing w:before="80" w:after="80"/>
        <w:jc w:val="both"/>
      </w:pPr>
      <w:r>
        <w:rPr>
          <w:rFonts w:ascii="Arial" w:cs="Arial" w:eastAsia="Arial" w:hAnsi="Arial"/>
          <w:sz w:val="24"/>
          <w:szCs w:val="24"/>
        </w:rPr>
        <w:t xml:space="preserve">[12] Petri MA et al. Effects of prasterone on corticosteroid requirements of women with systemic lupus erythematosus. Arthritis Rheum 46 (2002) 1820–1829.</w:t>
      </w:r>
    </w:p>
    <w:p>
      <w:pPr>
        <w:spacing w:before="80" w:after="80"/>
        <w:jc w:val="both"/>
      </w:pPr>
      <w:r>
        <w:rPr>
          <w:rFonts w:ascii="Arial" w:cs="Arial" w:eastAsia="Arial" w:hAnsi="Arial"/>
          <w:sz w:val="24"/>
          <w:szCs w:val="24"/>
        </w:rPr>
        <w:t xml:space="preserve">[13] Elenkov IJ et al. The sympathetic nerve — an integrative interface between two supersystems: the brain and the immune system. Pharmacol Rev 52 (2000) 595–638.</w:t>
      </w:r>
    </w:p>
    <w:p>
      <w:pPr>
        <w:spacing w:before="80" w:after="80"/>
        <w:jc w:val="both"/>
      </w:pPr>
      <w:r>
        <w:rPr>
          <w:rFonts w:ascii="Arial" w:cs="Arial" w:eastAsia="Arial" w:hAnsi="Arial"/>
          <w:sz w:val="24"/>
          <w:szCs w:val="24"/>
        </w:rPr>
        <w:t xml:space="preserve">[14] Lynch HE et al. Thymic involution and immune reconstitution. Trends Immunol 30 (2009) 366–373.</w:t>
      </w:r>
    </w:p>
    <w:p>
      <w:pPr>
        <w:spacing w:before="80" w:after="80"/>
        <w:jc w:val="both"/>
      </w:pPr>
      <w:r>
        <w:rPr>
          <w:rFonts w:ascii="Arial" w:cs="Arial" w:eastAsia="Arial" w:hAnsi="Arial"/>
          <w:sz w:val="24"/>
          <w:szCs w:val="24"/>
        </w:rPr>
        <w:t xml:space="preserve">[15] Coder BD et al. Thymic involution perturbs negative selection leading to autoreactive T cells that induce chronic inflammation. J Immunol 195 (2015) 4356–4367.</w:t>
      </w:r>
    </w:p>
    <w:p>
      <w:pPr>
        <w:spacing w:before="80" w:after="80"/>
        <w:jc w:val="both"/>
      </w:pPr>
      <w:r>
        <w:rPr>
          <w:rFonts w:ascii="Arial" w:cs="Arial" w:eastAsia="Arial" w:hAnsi="Arial"/>
          <w:sz w:val="24"/>
          <w:szCs w:val="24"/>
        </w:rPr>
        <w:t xml:space="preserve">[16] Straub RH et al. Anti-inflammatory role of sympathetic nerves in chronic intestinal inflammation. Gut 57 (2008) 911–921.</w:t>
      </w:r>
    </w:p>
    <w:p>
      <w:pPr>
        <w:spacing w:before="80" w:after="80"/>
        <w:jc w:val="both"/>
      </w:pPr>
      <w:r>
        <w:rPr>
          <w:rFonts w:ascii="Arial" w:cs="Arial" w:eastAsia="Arial" w:hAnsi="Arial"/>
          <w:sz w:val="24"/>
          <w:szCs w:val="24"/>
        </w:rPr>
        <w:t xml:space="preserve">[17] Conway J et al. Age-related loss of intestinal barrier integrity plays an integral role in thymic involution and T cell ageing. Aging Cell 24 (2025) e14401.</w:t>
      </w:r>
    </w:p>
    <w:p>
      <w:pPr>
        <w:spacing w:before="80" w:after="80"/>
        <w:jc w:val="both"/>
      </w:pPr>
      <w:r>
        <w:rPr>
          <w:rFonts w:ascii="Arial" w:cs="Arial" w:eastAsia="Arial" w:hAnsi="Arial"/>
          <w:sz w:val="24"/>
          <w:szCs w:val="24"/>
        </w:rPr>
        <w:t xml:space="preserve">[18] Lemarquis AL et al. Recirculating regulatory T cells mediate thymic regeneration through amphiregulin following damage. Immunity 58 (2025) 363–378.</w:t>
      </w:r>
    </w:p>
    <w:p>
      <w:pPr>
        <w:spacing w:before="80" w:after="80"/>
        <w:jc w:val="both"/>
      </w:pPr>
      <w:r>
        <w:rPr>
          <w:rFonts w:ascii="Arial" w:cs="Arial" w:eastAsia="Arial" w:hAnsi="Arial"/>
          <w:sz w:val="24"/>
          <w:szCs w:val="24"/>
        </w:rPr>
        <w:t xml:space="preserve">[19] Jin H et al. A body-brain circuit that regulates body inflammatory responses. Nature 630 (2024) 695–703.</w:t>
      </w:r>
    </w:p>
    <w:p>
      <w:pPr>
        <w:spacing w:before="80" w:after="80"/>
        <w:jc w:val="both"/>
      </w:pPr>
      <w:r>
        <w:rPr>
          <w:rFonts w:ascii="Arial" w:cs="Arial" w:eastAsia="Arial" w:hAnsi="Arial"/>
          <w:sz w:val="24"/>
          <w:szCs w:val="24"/>
        </w:rPr>
        <w:t xml:space="preserve">[20] Peterson D et al. RESET-RA: pivotal randomized controlled trial of vagus nerve stimulation in rheumatoid arthritis. Nat Med 31 (2025) [online Dec 2025].</w:t>
      </w:r>
    </w:p>
    <w:p>
      <w:pPr>
        <w:spacing w:before="80" w:after="80"/>
        <w:jc w:val="both"/>
      </w:pPr>
      <w:r>
        <w:rPr>
          <w:rFonts w:ascii="Arial" w:cs="Arial" w:eastAsia="Arial" w:hAnsi="Arial"/>
          <w:sz w:val="24"/>
          <w:szCs w:val="24"/>
        </w:rPr>
        <w:t xml:space="preserve">[21] Lombo LE et al. Vagus nerve stimulation in autoimmune conditions: a systematic review. ACR Open Rheumatol 7 (2025) e70137.</w:t>
      </w:r>
    </w:p>
    <w:p>
      <w:pPr>
        <w:spacing w:before="80" w:after="80"/>
        <w:jc w:val="both"/>
      </w:pPr>
      <w:r>
        <w:rPr>
          <w:rFonts w:ascii="Arial" w:cs="Arial" w:eastAsia="Arial" w:hAnsi="Arial"/>
          <w:sz w:val="24"/>
          <w:szCs w:val="24"/>
        </w:rPr>
        <w:t xml:space="preserve">[22] Björnevik K et al. Longitudinal analysis reveals high prevalence of Epstein-Barr virus associated with multiple sclerosis. Science 375 (2022) 296–301.</w:t>
      </w:r>
    </w:p>
    <w:p>
      <w:pPr>
        <w:spacing w:before="80" w:after="80"/>
        <w:jc w:val="both"/>
      </w:pPr>
      <w:r>
        <w:rPr>
          <w:rFonts w:ascii="Arial" w:cs="Arial" w:eastAsia="Arial" w:hAnsi="Arial"/>
          <w:sz w:val="24"/>
          <w:szCs w:val="24"/>
        </w:rPr>
        <w:t xml:space="preserve">[23] Zaitsu M et al. Estradiol activates mast cells via membrane estrogen receptor-α: preventing estrogen effects on airway hyperresponsiveness. Eur Respir J 31 (2008) 1013–1021.</w:t>
      </w:r>
    </w:p>
    <w:p>
      <w:pPr>
        <w:spacing w:before="80" w:after="80"/>
        <w:jc w:val="both"/>
      </w:pPr>
      <w:r>
        <w:rPr>
          <w:rFonts w:ascii="Arial" w:cs="Arial" w:eastAsia="Arial" w:hAnsi="Arial"/>
          <w:sz w:val="24"/>
          <w:szCs w:val="24"/>
        </w:rPr>
        <w:t xml:space="preserve">[24] Vasiadi M et al. Progesterone inhibits mast cell secretion. Int J Immunopathol Pharmacol 19 (2006) 787–793.</w:t>
      </w:r>
    </w:p>
    <w:p>
      <w:pPr>
        <w:spacing w:before="80" w:after="80"/>
        <w:jc w:val="both"/>
      </w:pPr>
      <w:r>
        <w:rPr>
          <w:rFonts w:ascii="Arial" w:cs="Arial" w:eastAsia="Arial" w:hAnsi="Arial"/>
          <w:sz w:val="24"/>
          <w:szCs w:val="24"/>
        </w:rPr>
        <w:t xml:space="preserve">[25] Obata-Ninomiya K &amp; Ziegler SF. Group 2 innate lymphoid cells in allergic disease. Nat Immunol 25 (2024) 1495–1506.</w:t>
      </w:r>
    </w:p>
    <w:p>
      <w:pPr>
        <w:spacing w:before="80" w:after="80"/>
        <w:jc w:val="both"/>
      </w:pPr>
      <w:r>
        <w:rPr>
          <w:rFonts w:ascii="Arial" w:cs="Arial" w:eastAsia="Arial" w:hAnsi="Arial"/>
          <w:sz w:val="24"/>
          <w:szCs w:val="24"/>
        </w:rPr>
        <w:t xml:space="preserve">[26] Janeway CA et al. Immunobiology. 9th ed. Garland Science (2017). [foundational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2026-03-19T01:05:14.372Z</dcterms:created>
  <dcterms:modified xsi:type="dcterms:W3CDTF">2026-03-19T01:05:14.373Z</dcterms:modified>
</cp:coreProperties>
</file>

<file path=docProps/custom.xml><?xml version="1.0" encoding="utf-8"?>
<Properties xmlns="http://schemas.openxmlformats.org/officeDocument/2006/custom-properties" xmlns:vt="http://schemas.openxmlformats.org/officeDocument/2006/docPropsVTypes"/>
</file>