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20"/>
        <w:jc w:val="center"/>
      </w:pPr>
      <w:r>
        <w:rPr>
          <w:rFonts w:ascii="Arial" w:cs="Arial" w:eastAsia="Arial" w:hAnsi="Arial"/>
          <w:b/>
          <w:bCs/>
          <w:color w:val="1F4E79"/>
          <w:sz w:val="40"/>
          <w:szCs w:val="40"/>
        </w:rPr>
        <w:t xml:space="preserve">The Wrong Test at the Wrong Time</w:t>
      </w:r>
    </w:p>
    <w:p>
      <w:pPr>
        <w:spacing w:after="80"/>
        <w:jc w:val="center"/>
      </w:pPr>
      <w:r>
        <w:rPr>
          <w:rFonts w:ascii="Arial" w:cs="Arial" w:eastAsia="Arial" w:hAnsi="Arial"/>
          <w:b/>
          <w:bCs/>
          <w:color w:val="2E75B6"/>
          <w:sz w:val="28"/>
          <w:szCs w:val="28"/>
        </w:rPr>
        <w:t xml:space="preserve">A Mechanistic Framework for Non-IgE and Delayed Hypersensitivity Diagnosis</w:t>
      </w:r>
    </w:p>
    <w:p>
      <w:pPr>
        <w:spacing w:after="80"/>
        <w:jc w:val="center"/>
      </w:pPr>
      <w:r>
        <w:rPr>
          <w:rFonts w:ascii="Arial" w:cs="Arial" w:eastAsia="Arial" w:hAnsi="Arial"/>
          <w:i/>
          <w:iCs/>
          <w:color w:val="444444"/>
          <w:sz w:val="22"/>
          <w:szCs w:val="22"/>
        </w:rPr>
        <w:t xml:space="preserve">Allergy Testing, ILC2-Mediated Barrier Failure, Delay Kinetics, and a Rational Diagnostic Architecture for EoE, FPIES, and Type III/IV Reactions</w:t>
      </w:r>
    </w:p>
    <w:p>
      <w:pPr>
        <w:spacing w:after="120"/>
      </w:pPr>
      <w:r>
        <w:rPr>
          <w:rFonts w:ascii="Arial" w:cs="Arial" w:eastAsia="Arial" w:hAnsi="Arial"/>
          <w:sz w:val="24"/>
          <w:szCs w:val="24"/>
        </w:rPr>
        <w:t xml:space="preserve"/>
      </w:r>
    </w:p>
    <w:p>
      <w:pPr>
        <w:spacing w:after="60"/>
        <w:jc w:val="center"/>
      </w:pPr>
      <w:r>
        <w:rPr>
          <w:rFonts w:ascii="Arial" w:cs="Arial" w:eastAsia="Arial" w:hAnsi="Arial"/>
          <w:b/>
          <w:bCs/>
          <w:sz w:val="24"/>
          <w:szCs w:val="24"/>
        </w:rPr>
        <w:t xml:space="preserve">M. Finnegan</w:t>
      </w:r>
    </w:p>
    <w:p>
      <w:pPr>
        <w:spacing w:after="60"/>
        <w:jc w:val="center"/>
      </w:pPr>
      <w:r>
        <w:rPr>
          <w:rFonts w:ascii="Arial" w:cs="Arial" w:eastAsia="Arial" w:hAnsi="Arial"/>
          <w:sz w:val="22"/>
          <w:szCs w:val="22"/>
        </w:rPr>
        <w:t xml:space="preserve">Independent Researcher, Lewes, DE, USA</w:t>
      </w:r>
    </w:p>
    <w:p>
      <w:pPr>
        <w:spacing w:after="60"/>
        <w:jc w:val="center"/>
      </w:pPr>
      <w:r>
        <w:rPr>
          <w:rFonts w:ascii="Arial" w:cs="Arial" w:eastAsia="Arial" w:hAnsi="Arial"/>
          <w:sz w:val="22"/>
          <w:szCs w:val="22"/>
        </w:rPr>
        <w:t xml:space="preserve">ORCID: 0009-0009-4921-7722 · sykopompos@gmail.com</w:t>
      </w:r>
    </w:p>
    <w:p>
      <w:pPr>
        <w:spacing w:after="240"/>
        <w:jc w:val="center"/>
      </w:pPr>
      <w:r>
        <w:rPr>
          <w:rFonts w:ascii="Arial" w:cs="Arial" w:eastAsia="Arial" w:hAnsi="Arial"/>
          <w:i/>
          <w:iCs/>
          <w:sz w:val="22"/>
          <w:szCs w:val="22"/>
        </w:rPr>
        <w:t xml:space="preserve">Preprint — March 2026 · Not yet peer reviewed</w:t>
      </w:r>
    </w:p>
    <w:p>
      <w:pPr>
        <w:pStyle w:val="Heading1"/>
        <w:spacing w:before="360" w:after="180"/>
      </w:pPr>
      <w:r>
        <w:rPr>
          <w:rFonts w:ascii="Arial" w:cs="Arial" w:eastAsia="Arial" w:hAnsi="Arial"/>
          <w:b/>
          <w:bCs/>
          <w:sz w:val="32"/>
          <w:szCs w:val="32"/>
        </w:rPr>
        <w:t xml:space="preserve">Abstract</w:t>
      </w:r>
    </w:p>
    <w:p>
      <w:pPr>
        <w:spacing w:after="160"/>
      </w:pPr>
      <w:r>
        <w:rPr>
          <w:rFonts w:ascii="Arial" w:cs="Arial" w:eastAsia="Arial" w:hAnsi="Arial"/>
          <w:sz w:val="24"/>
          <w:szCs w:val="24"/>
        </w:rPr>
        <w:t xml:space="preserve">Allergy diagnosis is built almost entirely around IgE-mediated immediate hypersensitivity. The diagnostic tools for this mechanism — skin prick testing, serum specific IgE, and basophil activation testing — are accurate and increasingly well-validated for what they measure. The problem is what they do not measure. A large and clinically important class of immune reactions operates through entirely different mechanisms: non-IgE barrier-driven Th2 cascades, T cell-mediated delayed hypersensitivity, and immune complex deposition. For most of these reactions, IgE testing is not merely imprecise — it is structurally the wrong instrument for the biology involved. The diagnostic failure is systematic and predictable, not accidental.</w:t>
      </w:r>
    </w:p>
    <w:p>
      <w:pPr>
        <w:spacing w:after="160"/>
      </w:pPr>
      <w:r>
        <w:rPr>
          <w:rFonts w:ascii="Arial" w:cs="Arial" w:eastAsia="Arial" w:hAnsi="Arial"/>
          <w:sz w:val="24"/>
          <w:szCs w:val="24"/>
        </w:rPr>
        <w:t xml:space="preserve">This paper proposes a mechanistic framework for understanding and diagnosing delayed and non-IgE hypersensitivity. The unifying structure is the same across conditions: epithelial barrier disruption triggers innate alarm cytokines (TSLP, IL-33, IL-25), which activate group 2 innate lymphoid cells (ILC2s) and polarise dendritic cells toward Th2. The resulting cytokine cascade — IL-5, IL-13, eotaxin-3 for eosinophilic reactions; IFN-γ for Th1/Type IV T cell reactions — then accumulates in target tissue over hours to days before crossing the symptom threshold. The delay is not mysterious: it is the kinetics of cellular recruitment, not a threshold-crossing event.</w:t>
      </w:r>
    </w:p>
    <w:p>
      <w:pPr>
        <w:spacing w:after="160"/>
      </w:pPr>
      <w:r>
        <w:rPr>
          <w:rFonts w:ascii="Arial" w:cs="Arial" w:eastAsia="Arial" w:hAnsi="Arial"/>
          <w:sz w:val="24"/>
          <w:szCs w:val="24"/>
        </w:rPr>
        <w:t xml:space="preserve">The framework is applied to eosinophilic esophagitis (EoE), food protein-induced enterocolitis syndrome (FPIES), delayed drug reactions (DRESS, SJS), and hypersensitivity pneumonitis (HP). For each, we identify the precise mechanism, the correct diagnostic tool, and why standard IgE testing fails. We also address neurochemical and hormonal amplification layers — substance P, VIP depletion, and estradiol mast cell priming — as mechanistic proposals supported by translational evidence but not yet directly quantified in non-IgE food reactions. Seven testable predictions are derived. This paper is a mechanistic synthesis and hypothesis-generating narrative review. No new experimental data are reported.</w:t>
      </w:r>
    </w:p>
    <w:p>
      <w:pPr>
        <w:spacing w:after="160"/>
      </w:pPr>
      <w:r>
        <w:rPr>
          <w:rFonts w:ascii="Arial" w:cs="Arial" w:eastAsia="Arial" w:hAnsi="Arial"/>
          <w:sz w:val="24"/>
          <w:szCs w:val="24"/>
        </w:rPr>
        <w:t xml:space="preserve">Keywords: delayed hypersensitivity; non-IgE food allergy; eosinophilic esophagitis; FPIES; basophil activation test; component-resolved diagnostics; ILC2; TSLP; IL-33; eotaxin-3; substance P; VIP; estradiol; mast cell; Th2</w:t>
      </w:r>
    </w:p>
    <w:p>
      <w:pPr>
        <w:pStyle w:val="Heading1"/>
        <w:spacing w:before="360" w:after="180"/>
      </w:pPr>
      <w:r>
        <w:rPr>
          <w:rFonts w:ascii="Arial" w:cs="Arial" w:eastAsia="Arial" w:hAnsi="Arial"/>
          <w:b/>
          <w:bCs/>
          <w:sz w:val="32"/>
          <w:szCs w:val="32"/>
        </w:rPr>
        <w:t xml:space="preserve">Methods and Scope</w:t>
      </w:r>
    </w:p>
    <w:p>
      <w:pPr>
        <w:spacing w:after="160"/>
      </w:pPr>
      <w:r>
        <w:rPr>
          <w:rFonts w:ascii="Arial" w:cs="Arial" w:eastAsia="Arial" w:hAnsi="Arial"/>
          <w:sz w:val="24"/>
          <w:szCs w:val="24"/>
        </w:rPr>
        <w:t xml:space="preserve">This paper presents a mechanistic framework for non-IgE and delayed hypersensitivity, drawing on established immunology, epithelial biology, neuroimmunology, and recent clinical and diagnostic evidence. Literature was identified through targeted searches of PubMed and Google Scholar. Search terms included: non-IgE food allergy mechanism, delayed hypersensitivity Type III Type IV, eosinophilic esophagitis diagnosis IgE testing, FPIES pathophysiology diagnosis 2024, basophil activation test food allergy clinical validation, component-resolved diagnostics 2023, ILC2 TSLP IL-33 atopic disease, eotaxin-3 biomarker food allergy, substance P mast cell neurogenic inflammation, VIP asthma bronchoprotective, estradiol mast cell priming allergy. Searches were conducted between January and March 2026. Studies were weighted according to design: clinical RCTs and prospective cohort studies form the evidentiary backbone for diagnostic tool performance claims; mechanistic evidence is drawn from replicated human translational studies; case series, workshop reports, and animal model data are used only for hypothesis framing and are labelled as such. Evidence quality is noted where relevant: established mechanisms with replicated human evidence are stated as such; mechanistically supported but not fully clinically validated claims are explicitly framed as proposed or consistent with mechanism; and integrative inferences are framed as hypotheses. Approximately 75 primary and review sources were considered; 27 are cited. No new experimental data are reported.</w:t>
      </w:r>
    </w:p>
    <w:p>
      <w:pPr>
        <w:pStyle w:val="Heading1"/>
        <w:spacing w:before="360" w:after="180"/>
      </w:pPr>
      <w:r>
        <w:rPr>
          <w:rFonts w:ascii="Arial" w:cs="Arial" w:eastAsia="Arial" w:hAnsi="Arial"/>
          <w:b/>
          <w:bCs/>
          <w:sz w:val="32"/>
          <w:szCs w:val="32"/>
        </w:rPr>
        <w:t xml:space="preserve">§1 — The Diagnostic Mismatch: Why the Wrong Test Is Standard of Care</w:t>
      </w:r>
    </w:p>
    <w:p>
      <w:pPr>
        <w:spacing w:after="160"/>
      </w:pPr>
      <w:r>
        <w:rPr>
          <w:rFonts w:ascii="Arial" w:cs="Arial" w:eastAsia="Arial" w:hAnsi="Arial"/>
          <w:sz w:val="24"/>
          <w:szCs w:val="24"/>
        </w:rPr>
        <w:t xml:space="preserve">When a patient reports that food makes them ill, the standard clinical response is to order a skin prick test and a serum IgE panel. This is appropriate medicine for one specific immune mechanism. It is the wrong test for a large and growing class of immune reactions, and applying it universally has produced a diagnostic system that predictably underserves patients with eosinophilic esophagitis, FPIES, and most delayed food reactions — for whom IgE testing is not just insensitive but structurally irrelevant [Furuta07, Nowak-Wegrzyn17].</w:t>
      </w:r>
    </w:p>
    <w:p>
      <w:pPr>
        <w:spacing w:after="160"/>
      </w:pPr>
      <w:r>
        <w:rPr>
          <w:rFonts w:ascii="Arial" w:cs="Arial" w:eastAsia="Arial" w:hAnsi="Arial"/>
          <w:sz w:val="24"/>
          <w:szCs w:val="24"/>
        </w:rPr>
        <w:t xml:space="preserve">The mismatch is not a failure of individual clinicians. It is a structural consequence of diagnostic tool availability. The problem is that clinical practice has generalised ‘allergy testing’ to mean ‘IgE testing’, then concluded ‘no allergy’ when IgE tests are negative in patients with clearly immune-mediated disease. For EoE, the average diagnostic delay is 5–7 years [Furuta07]. For FPIES, it is frequently misdiagnosed as viral gastroenteritis or dismissed as non-organic [Nowak-Wegrzyn17]. For Type IV drug reactions like DRESS and SJS, the 2–6 week onset window means the causative drug has often been discontinued (or restarted) before the mechanism is understood.</w:t>
      </w:r>
    </w:p>
    <w:p>
      <w:pPr>
        <w:spacing w:after="160"/>
      </w:pPr>
      <w:r>
        <w:rPr>
          <w:rFonts w:ascii="Arial" w:cs="Arial" w:eastAsia="Arial" w:hAnsi="Arial"/>
          <w:sz w:val="24"/>
          <w:szCs w:val="24"/>
        </w:rPr>
        <w:t xml:space="preserve">The structural reason for these failures is precise: IgE testing measures the presence of allergen-specific immunoglobulin E, which is produced when mast cells and basophils sensitise to an antigen via the FcεRI receptor pathway. This pathway requires mast cell IgE crosslinking and produces symptoms within minutes. For reactions that do not use this pathway — that instead use T cell-mediated inflammation, eosinophilic accumulation driven by IL-13/eotaxin-3, immune complex deposition, or neutrophil-mediated gut injury — IgE is typically absent from the primary mechanism. For these conditions, negative IgE testing is not a sensitivity problem — IgE is not the relevant molecule.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CCCCCC" w:sz="1"/>
              <w:left w:val="single" w:color="CCCCCC" w:sz="1"/>
              <w:bottom w:val="single" w:color="CCCCCC" w:sz="1"/>
              <w:right w:val="single" w:color="CCCCCC" w:sz="1"/>
            </w:tcBorders>
            <w:shd w:fill="E8F4E8" w:val="clear"/>
            <w:tcMar>
              <w:top w:type="dxa" w:w="120"/>
              <w:left w:type="dxa" w:w="180"/>
              <w:bottom w:type="dxa" w:w="120"/>
              <w:right w:type="dxa" w:w="180"/>
            </w:tcMar>
          </w:tcPr>
          <w:p>
            <w:pPr>
              <w:spacing w:after="100"/>
            </w:pPr>
            <w:r>
              <w:rPr>
                <w:rFonts w:ascii="Arial" w:cs="Arial" w:eastAsia="Arial" w:hAnsi="Arial"/>
                <w:sz w:val="22"/>
                <w:szCs w:val="22"/>
              </w:rPr>
              <w:t xml:space="preserve">THE DIAGNOSTIC PARADOX:</w:t>
            </w:r>
          </w:p>
          <w:p>
            <w:pPr>
              <w:spacing w:after="100"/>
            </w:pPr>
            <w:r>
              <w:rPr>
                <w:rFonts w:ascii="Arial" w:cs="Arial" w:eastAsia="Arial" w:hAnsi="Arial"/>
                <w:sz w:val="22"/>
                <w:szCs w:val="22"/>
              </w:rPr>
              <w:t xml:space="preserve">The standard test for 'allergy' measures IgE-mediated mast cell sensitisation.</w:t>
            </w:r>
          </w:p>
          <w:p>
            <w:pPr>
              <w:spacing w:after="100"/>
            </w:pPr>
            <w:r>
              <w:rPr>
                <w:rFonts w:ascii="Arial" w:cs="Arial" w:eastAsia="Arial" w:hAnsi="Arial"/>
                <w:sz w:val="22"/>
                <w:szCs w:val="22"/>
              </w:rPr>
              <w:t xml:space="preserve">EoE, FPIES, Type III/IV hypersensitivity, and most delayed food reactions do not use mast cell IgE crosslinking.</w:t>
            </w:r>
          </w:p>
          <w:p>
            <w:pPr>
              <w:spacing w:after="100"/>
            </w:pPr>
            <w:r>
              <w:rPr>
                <w:rFonts w:ascii="Arial" w:cs="Arial" w:eastAsia="Arial" w:hAnsi="Arial"/>
                <w:sz w:val="22"/>
                <w:szCs w:val="22"/>
              </w:rPr>
              <w:t xml:space="preserve">A negative IgE test in these patients does not mean no immune reaction.</w:t>
            </w:r>
          </w:p>
          <w:p>
            <w:pPr>
              <w:spacing w:after="100"/>
            </w:pPr>
            <w:r>
              <w:rPr>
                <w:rFonts w:ascii="Arial" w:cs="Arial" w:eastAsia="Arial" w:hAnsi="Arial"/>
                <w:sz w:val="22"/>
                <w:szCs w:val="22"/>
              </w:rPr>
              <w:t xml:space="preserve">It means the reaction is not IgE-mediated — which is exactly what the mechanism predicts.</w:t>
            </w:r>
          </w:p>
          <w:p>
            <w:pPr>
              <w:spacing w:after="100"/>
            </w:pPr>
            <w:r>
              <w:rPr>
                <w:rFonts w:ascii="Arial" w:cs="Arial" w:eastAsia="Arial" w:hAnsi="Arial"/>
                <w:sz w:val="22"/>
                <w:szCs w:val="22"/>
              </w:rPr>
              <w:t xml:space="preserve">The test is not wrong. It is being applied to the wrong disease.</w:t>
            </w:r>
          </w:p>
        </w:tc>
      </w:tr>
    </w:tbl>
    <w:p>
      <w:pPr>
        <w:spacing w:after="120"/>
      </w:pPr>
      <w:r>
        <w:rPr>
          <w:rFonts w:ascii="Arial" w:cs="Arial" w:eastAsia="Arial" w:hAnsi="Arial"/>
          <w:sz w:val="24"/>
          <w:szCs w:val="24"/>
        </w:rPr>
        <w:t xml:space="preserve"/>
      </w:r>
    </w:p>
    <w:p>
      <w:pPr>
        <w:spacing w:after="160"/>
      </w:pPr>
      <w:r>
        <w:rPr>
          <w:rFonts w:ascii="Arial" w:cs="Arial" w:eastAsia="Arial" w:hAnsi="Arial"/>
          <w:sz w:val="24"/>
          <w:szCs w:val="24"/>
        </w:rPr>
        <w:t xml:space="preserve">The paper is structured as follows. §2 maps the Coombs and Gell hypersensitivity taxonomy to diagnostic tool performance. §3 introduces the innate alarm architecture (ILC2s, TSLP/IL-33/IL-25) that is common to all type 2 barrier-failure conditions. §4 explains why delayed reactions are delayed. §5 proposes a mechanism-matched diagnostic framework with a comprehensive tool comparison table. §§7–10 apply the framework to the four major conditions: EoE (§7), FPIES (§8), delayed drug reactions including DRESS and SJS (§9), and hypersensitivity pneumonitis (§10). §6 addresses neurochemical and hormonal amplification layers — substance P, VIP, and estradiol — which are supported as individual mechanisms but whose integrated role in non-IgE food reactions remains a translational hypothesis rather than established clinical fact. §11 draws cross-system connections, also at the level of mechanistic inference. §12 derives testable predictions. §§13–14 describe open gaps and limitations.</w:t>
      </w:r>
    </w:p>
    <w:p>
      <w:pPr>
        <w:spacing w:after="120"/>
      </w:pPr>
      <w:r>
        <w:rPr>
          <w:rFonts w:ascii="Arial" w:cs="Arial" w:eastAsia="Arial" w:hAnsi="Arial"/>
          <w:sz w:val="24"/>
          <w:szCs w:val="24"/>
        </w:rPr>
        <w:t xml:space="preserve"/>
      </w:r>
    </w:p>
    <w:p>
      <w:pPr>
        <w:pStyle w:val="Heading1"/>
        <w:spacing w:before="360" w:after="180"/>
      </w:pPr>
      <w:r>
        <w:rPr>
          <w:rFonts w:ascii="Arial" w:cs="Arial" w:eastAsia="Arial" w:hAnsi="Arial"/>
          <w:b/>
          <w:bCs/>
          <w:sz w:val="32"/>
          <w:szCs w:val="32"/>
        </w:rPr>
        <w:t xml:space="preserve">§2 — Hypersensitivity Types: Mechanisms, Timescales, and Diagnostic Accuracy</w:t>
      </w:r>
    </w:p>
    <w:p>
      <w:pPr>
        <w:spacing w:after="160"/>
      </w:pPr>
      <w:r>
        <w:rPr>
          <w:rFonts w:ascii="Arial" w:cs="Arial" w:eastAsia="Arial" w:hAnsi="Arial"/>
          <w:sz w:val="24"/>
          <w:szCs w:val="24"/>
        </w:rPr>
        <w:t xml:space="preserve">The Coombs and Gell classification of hypersensitivity reactions, developed in 1963 and updated since, provides a mechanistic framework that directly predicts diagnostic tool performance. The central clinical problem is that Type I IgE-mediated reactions — the only category for which standard allergy tests are designed — account for a minority of clinically significant immune reactions to food, drugs, and environmental antigens.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400"/>
        <w:gridCol w:w="2000"/>
        <w:gridCol w:w="1200"/>
        <w:gridCol w:w="1800"/>
        <w:gridCol w:w="1200"/>
        <w:gridCol w:w="1760"/>
      </w:tblGrid>
      <w:tr>
        <w:tc>
          <w:tcPr>
            <w:tcW w:type="dxa" w:w="14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Type</w:t>
            </w:r>
          </w:p>
        </w:tc>
        <w:tc>
          <w:tcPr>
            <w:tcW w:type="dxa" w:w="20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Mechanism</w:t>
            </w:r>
          </w:p>
        </w:tc>
        <w:tc>
          <w:tcPr>
            <w:tcW w:type="dxa" w:w="12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Onset</w:t>
            </w:r>
          </w:p>
        </w:tc>
        <w:tc>
          <w:tcPr>
            <w:tcW w:type="dxa" w:w="18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Examples</w:t>
            </w:r>
          </w:p>
        </w:tc>
        <w:tc>
          <w:tcPr>
            <w:tcW w:type="dxa" w:w="12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IgE testing</w:t>
            </w:r>
          </w:p>
        </w:tc>
        <w:tc>
          <w:tcPr>
            <w:tcW w:type="dxa" w:w="176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Better test</w:t>
            </w:r>
          </w:p>
        </w:tc>
      </w:tr>
      <w:tr>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60"/>
            </w:pPr>
            <w:r>
              <w:rPr>
                <w:rFonts w:ascii="Arial" w:cs="Arial" w:eastAsia="Arial" w:hAnsi="Arial"/>
                <w:sz w:val="20"/>
                <w:szCs w:val="20"/>
              </w:rPr>
              <w:t xml:space="preserve">Type I — IgE-mediated</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60"/>
            </w:pPr>
            <w:r>
              <w:rPr>
                <w:rFonts w:ascii="Arial" w:cs="Arial" w:eastAsia="Arial" w:hAnsi="Arial"/>
                <w:sz w:val="20"/>
                <w:szCs w:val="20"/>
              </w:rPr>
              <w:t xml:space="preserve">Allergen → IgE crosslinking on mast cells/basophils → histamine, tryptase, prostaglandins</w:t>
            </w:r>
          </w:p>
        </w:tc>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60"/>
            </w:pPr>
            <w:r>
              <w:rPr>
                <w:rFonts w:ascii="Arial" w:cs="Arial" w:eastAsia="Arial" w:hAnsi="Arial"/>
                <w:sz w:val="20"/>
                <w:szCs w:val="20"/>
              </w:rPr>
              <w:t xml:space="preserve">Minutes (2–30 min)</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60"/>
            </w:pPr>
            <w:r>
              <w:rPr>
                <w:rFonts w:ascii="Arial" w:cs="Arial" w:eastAsia="Arial" w:hAnsi="Arial"/>
                <w:sz w:val="20"/>
                <w:szCs w:val="20"/>
              </w:rPr>
              <w:t xml:space="preserve">Anaphylaxis, urticaria, immediate food allergy, allergic rhinitis</w:t>
            </w:r>
          </w:p>
        </w:tc>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60"/>
            </w:pPr>
            <w:r>
              <w:rPr>
                <w:rFonts w:ascii="Arial" w:cs="Arial" w:eastAsia="Arial" w:hAnsi="Arial"/>
                <w:sz w:val="20"/>
                <w:szCs w:val="20"/>
              </w:rPr>
              <w:t xml:space="preserve">Excellent — designed for this</w:t>
            </w:r>
          </w:p>
        </w:tc>
        <w:tc>
          <w:tcPr>
            <w:tcW w:type="dxa" w:w="1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60"/>
            </w:pPr>
            <w:r>
              <w:rPr>
                <w:rFonts w:ascii="Arial" w:cs="Arial" w:eastAsia="Arial" w:hAnsi="Arial"/>
                <w:sz w:val="20"/>
                <w:szCs w:val="20"/>
              </w:rPr>
              <w:t xml:space="preserve">SPT, sIgE, BAT (second-line)</w:t>
            </w:r>
          </w:p>
        </w:tc>
      </w:tr>
      <w:tr>
        <w:tc>
          <w:tcPr>
            <w:tcW w:type="dxa" w:w="1400"/>
            <w:tcBorders>
              <w:top w:val="single" w:color="CCCCCC" w:sz="1"/>
              <w:left w:val="single" w:color="CCCCCC" w:sz="1"/>
              <w:bottom w:val="single" w:color="CCCCCC" w:sz="1"/>
              <w:right w:val="single" w:color="CCCCCC" w:sz="1"/>
            </w:tcBorders>
            <w:shd w:fill="EBF3FA" w:val="clear"/>
            <w:tcMar>
              <w:top w:type="dxa" w:w="80"/>
              <w:left w:type="dxa" w:w="120"/>
              <w:bottom w:type="dxa" w:w="80"/>
              <w:right w:type="dxa" w:w="120"/>
            </w:tcMar>
          </w:tcPr>
          <w:p>
            <w:pPr>
              <w:spacing w:after="60"/>
            </w:pPr>
            <w:r>
              <w:rPr>
                <w:rFonts w:ascii="Arial" w:cs="Arial" w:eastAsia="Arial" w:hAnsi="Arial"/>
                <w:sz w:val="20"/>
                <w:szCs w:val="20"/>
              </w:rPr>
              <w:t xml:space="preserve">Type II — Cytotoxic (IgG/IgM)</w:t>
            </w:r>
          </w:p>
        </w:tc>
        <w:tc>
          <w:tcPr>
            <w:tcW w:type="dxa" w:w="2000"/>
            <w:tcBorders>
              <w:top w:val="single" w:color="CCCCCC" w:sz="1"/>
              <w:left w:val="single" w:color="CCCCCC" w:sz="1"/>
              <w:bottom w:val="single" w:color="CCCCCC" w:sz="1"/>
              <w:right w:val="single" w:color="CCCCCC" w:sz="1"/>
            </w:tcBorders>
            <w:shd w:fill="EBF3FA" w:val="clear"/>
            <w:tcMar>
              <w:top w:type="dxa" w:w="80"/>
              <w:left w:type="dxa" w:w="120"/>
              <w:bottom w:type="dxa" w:w="80"/>
              <w:right w:type="dxa" w:w="120"/>
            </w:tcMar>
          </w:tcPr>
          <w:p>
            <w:pPr>
              <w:spacing w:after="60"/>
            </w:pPr>
            <w:r>
              <w:rPr>
                <w:rFonts w:ascii="Arial" w:cs="Arial" w:eastAsia="Arial" w:hAnsi="Arial"/>
                <w:sz w:val="20"/>
                <w:szCs w:val="20"/>
              </w:rPr>
              <w:t xml:space="preserve">Ab binds cell surface → complement + NK killing</w:t>
            </w:r>
          </w:p>
        </w:tc>
        <w:tc>
          <w:tcPr>
            <w:tcW w:type="dxa" w:w="1200"/>
            <w:tcBorders>
              <w:top w:val="single" w:color="CCCCCC" w:sz="1"/>
              <w:left w:val="single" w:color="CCCCCC" w:sz="1"/>
              <w:bottom w:val="single" w:color="CCCCCC" w:sz="1"/>
              <w:right w:val="single" w:color="CCCCCC" w:sz="1"/>
            </w:tcBorders>
            <w:shd w:fill="EBF3FA" w:val="clear"/>
            <w:tcMar>
              <w:top w:type="dxa" w:w="80"/>
              <w:left w:type="dxa" w:w="120"/>
              <w:bottom w:type="dxa" w:w="80"/>
              <w:right w:type="dxa" w:w="120"/>
            </w:tcMar>
          </w:tcPr>
          <w:p>
            <w:pPr>
              <w:spacing w:after="60"/>
            </w:pPr>
            <w:r>
              <w:rPr>
                <w:rFonts w:ascii="Arial" w:cs="Arial" w:eastAsia="Arial" w:hAnsi="Arial"/>
                <w:sz w:val="20"/>
                <w:szCs w:val="20"/>
              </w:rPr>
              <w:t xml:space="preserve">Hours</w:t>
            </w:r>
          </w:p>
        </w:tc>
        <w:tc>
          <w:tcPr>
            <w:tcW w:type="dxa" w:w="1800"/>
            <w:tcBorders>
              <w:top w:val="single" w:color="CCCCCC" w:sz="1"/>
              <w:left w:val="single" w:color="CCCCCC" w:sz="1"/>
              <w:bottom w:val="single" w:color="CCCCCC" w:sz="1"/>
              <w:right w:val="single" w:color="CCCCCC" w:sz="1"/>
            </w:tcBorders>
            <w:shd w:fill="EBF3FA" w:val="clear"/>
            <w:tcMar>
              <w:top w:type="dxa" w:w="80"/>
              <w:left w:type="dxa" w:w="120"/>
              <w:bottom w:type="dxa" w:w="80"/>
              <w:right w:type="dxa" w:w="120"/>
            </w:tcMar>
          </w:tcPr>
          <w:p>
            <w:pPr>
              <w:spacing w:after="60"/>
            </w:pPr>
            <w:r>
              <w:rPr>
                <w:rFonts w:ascii="Arial" w:cs="Arial" w:eastAsia="Arial" w:hAnsi="Arial"/>
                <w:sz w:val="20"/>
                <w:szCs w:val="20"/>
              </w:rPr>
              <w:t xml:space="preserve">Haemolytic transfusion reactions, drug-induced haemolytic anaemia</w:t>
            </w:r>
          </w:p>
        </w:tc>
        <w:tc>
          <w:tcPr>
            <w:tcW w:type="dxa" w:w="1200"/>
            <w:tcBorders>
              <w:top w:val="single" w:color="CCCCCC" w:sz="1"/>
              <w:left w:val="single" w:color="CCCCCC" w:sz="1"/>
              <w:bottom w:val="single" w:color="CCCCCC" w:sz="1"/>
              <w:right w:val="single" w:color="CCCCCC" w:sz="1"/>
            </w:tcBorders>
            <w:shd w:fill="EBF3FA" w:val="clear"/>
            <w:tcMar>
              <w:top w:type="dxa" w:w="80"/>
              <w:left w:type="dxa" w:w="120"/>
              <w:bottom w:type="dxa" w:w="80"/>
              <w:right w:type="dxa" w:w="120"/>
            </w:tcMar>
          </w:tcPr>
          <w:p>
            <w:pPr>
              <w:spacing w:after="60"/>
            </w:pPr>
            <w:r>
              <w:rPr>
                <w:rFonts w:ascii="Arial" w:cs="Arial" w:eastAsia="Arial" w:hAnsi="Arial"/>
                <w:sz w:val="20"/>
                <w:szCs w:val="20"/>
              </w:rPr>
              <w:t xml:space="preserve">N/A</w:t>
            </w:r>
          </w:p>
        </w:tc>
        <w:tc>
          <w:tcPr>
            <w:tcW w:type="dxa" w:w="1760"/>
            <w:tcBorders>
              <w:top w:val="single" w:color="CCCCCC" w:sz="1"/>
              <w:left w:val="single" w:color="CCCCCC" w:sz="1"/>
              <w:bottom w:val="single" w:color="CCCCCC" w:sz="1"/>
              <w:right w:val="single" w:color="CCCCCC" w:sz="1"/>
            </w:tcBorders>
            <w:shd w:fill="EBF3FA" w:val="clear"/>
            <w:tcMar>
              <w:top w:type="dxa" w:w="80"/>
              <w:left w:type="dxa" w:w="120"/>
              <w:bottom w:type="dxa" w:w="80"/>
              <w:right w:type="dxa" w:w="120"/>
            </w:tcMar>
          </w:tcPr>
          <w:p>
            <w:pPr>
              <w:spacing w:after="60"/>
            </w:pPr>
            <w:r>
              <w:rPr>
                <w:rFonts w:ascii="Arial" w:cs="Arial" w:eastAsia="Arial" w:hAnsi="Arial"/>
                <w:sz w:val="20"/>
                <w:szCs w:val="20"/>
              </w:rPr>
              <w:t xml:space="preserve">Direct Coombs test, drug-specific antibody panels</w:t>
            </w:r>
          </w:p>
        </w:tc>
      </w:tr>
      <w:tr>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60"/>
            </w:pPr>
            <w:r>
              <w:rPr>
                <w:rFonts w:ascii="Arial" w:cs="Arial" w:eastAsia="Arial" w:hAnsi="Arial"/>
                <w:sz w:val="20"/>
                <w:szCs w:val="20"/>
              </w:rPr>
              <w:t xml:space="preserve">Type III — Immune complex</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60"/>
            </w:pPr>
            <w:r>
              <w:rPr>
                <w:rFonts w:ascii="Arial" w:cs="Arial" w:eastAsia="Arial" w:hAnsi="Arial"/>
                <w:sz w:val="20"/>
                <w:szCs w:val="20"/>
              </w:rPr>
              <w:t xml:space="preserve">Antigen-antibody complexes deposit in tissues → complement → neutrophil recruitment → inflammation</w:t>
            </w:r>
          </w:p>
        </w:tc>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60"/>
            </w:pPr>
            <w:r>
              <w:rPr>
                <w:rFonts w:ascii="Arial" w:cs="Arial" w:eastAsia="Arial" w:hAnsi="Arial"/>
                <w:sz w:val="20"/>
                <w:szCs w:val="20"/>
              </w:rPr>
              <w:t xml:space="preserve">Hours to days (6–21 days for serum sickness)</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60"/>
            </w:pPr>
            <w:r>
              <w:rPr>
                <w:rFonts w:ascii="Arial" w:cs="Arial" w:eastAsia="Arial" w:hAnsi="Arial"/>
                <w:sz w:val="20"/>
                <w:szCs w:val="20"/>
              </w:rPr>
              <w:t xml:space="preserve">Serum sickness, hypersensitivity pneumonitis, some vasculitis</w:t>
            </w:r>
          </w:p>
        </w:tc>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60"/>
            </w:pPr>
            <w:r>
              <w:rPr>
                <w:rFonts w:ascii="Arial" w:cs="Arial" w:eastAsia="Arial" w:hAnsi="Arial"/>
                <w:sz w:val="20"/>
                <w:szCs w:val="20"/>
              </w:rPr>
              <w:t xml:space="preserve">Negative or misleading</w:t>
            </w:r>
          </w:p>
        </w:tc>
        <w:tc>
          <w:tcPr>
            <w:tcW w:type="dxa" w:w="1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60"/>
            </w:pPr>
            <w:r>
              <w:rPr>
                <w:rFonts w:ascii="Arial" w:cs="Arial" w:eastAsia="Arial" w:hAnsi="Arial"/>
                <w:sz w:val="20"/>
                <w:szCs w:val="20"/>
              </w:rPr>
              <w:t xml:space="preserve">Serum precipitins (IgG), complement levels, immune complex assays</w:t>
            </w:r>
          </w:p>
        </w:tc>
      </w:tr>
      <w:tr>
        <w:tc>
          <w:tcPr>
            <w:tcW w:type="dxa" w:w="1400"/>
            <w:tcBorders>
              <w:top w:val="single" w:color="CCCCCC" w:sz="1"/>
              <w:left w:val="single" w:color="CCCCCC" w:sz="1"/>
              <w:bottom w:val="single" w:color="CCCCCC" w:sz="1"/>
              <w:right w:val="single" w:color="CCCCCC" w:sz="1"/>
            </w:tcBorders>
            <w:shd w:fill="EBF3FA" w:val="clear"/>
            <w:tcMar>
              <w:top w:type="dxa" w:w="80"/>
              <w:left w:type="dxa" w:w="120"/>
              <w:bottom w:type="dxa" w:w="80"/>
              <w:right w:type="dxa" w:w="120"/>
            </w:tcMar>
          </w:tcPr>
          <w:p>
            <w:pPr>
              <w:spacing w:after="60"/>
            </w:pPr>
            <w:r>
              <w:rPr>
                <w:rFonts w:ascii="Arial" w:cs="Arial" w:eastAsia="Arial" w:hAnsi="Arial"/>
                <w:sz w:val="20"/>
                <w:szCs w:val="20"/>
              </w:rPr>
              <w:t xml:space="preserve">Type IV — Cell-mediated (delayed)</w:t>
            </w:r>
          </w:p>
        </w:tc>
        <w:tc>
          <w:tcPr>
            <w:tcW w:type="dxa" w:w="2000"/>
            <w:tcBorders>
              <w:top w:val="single" w:color="CCCCCC" w:sz="1"/>
              <w:left w:val="single" w:color="CCCCCC" w:sz="1"/>
              <w:bottom w:val="single" w:color="CCCCCC" w:sz="1"/>
              <w:right w:val="single" w:color="CCCCCC" w:sz="1"/>
            </w:tcBorders>
            <w:shd w:fill="EBF3FA" w:val="clear"/>
            <w:tcMar>
              <w:top w:type="dxa" w:w="80"/>
              <w:left w:type="dxa" w:w="120"/>
              <w:bottom w:type="dxa" w:w="80"/>
              <w:right w:type="dxa" w:w="120"/>
            </w:tcMar>
          </w:tcPr>
          <w:p>
            <w:pPr>
              <w:spacing w:after="60"/>
            </w:pPr>
            <w:r>
              <w:rPr>
                <w:rFonts w:ascii="Arial" w:cs="Arial" w:eastAsia="Arial" w:hAnsi="Arial"/>
                <w:sz w:val="20"/>
                <w:szCs w:val="20"/>
              </w:rPr>
              <w:t xml:space="preserve">T cell sensitisation → re-exposure → Th1 (IFN-γ) or Th2 (IL-13/IL-5) effector response → tissue inflammation. SP from sensory nerves amplifies via NK1 receptors (neurogenic inflammation).</w:t>
            </w:r>
          </w:p>
        </w:tc>
        <w:tc>
          <w:tcPr>
            <w:tcW w:type="dxa" w:w="1200"/>
            <w:tcBorders>
              <w:top w:val="single" w:color="CCCCCC" w:sz="1"/>
              <w:left w:val="single" w:color="CCCCCC" w:sz="1"/>
              <w:bottom w:val="single" w:color="CCCCCC" w:sz="1"/>
              <w:right w:val="single" w:color="CCCCCC" w:sz="1"/>
            </w:tcBorders>
            <w:shd w:fill="EBF3FA" w:val="clear"/>
            <w:tcMar>
              <w:top w:type="dxa" w:w="80"/>
              <w:left w:type="dxa" w:w="120"/>
              <w:bottom w:type="dxa" w:w="80"/>
              <w:right w:type="dxa" w:w="120"/>
            </w:tcMar>
          </w:tcPr>
          <w:p>
            <w:pPr>
              <w:spacing w:after="60"/>
            </w:pPr>
            <w:r>
              <w:rPr>
                <w:rFonts w:ascii="Arial" w:cs="Arial" w:eastAsia="Arial" w:hAnsi="Arial"/>
                <w:sz w:val="20"/>
                <w:szCs w:val="20"/>
              </w:rPr>
              <w:t xml:space="preserve">48–72 h (Th1); days to &gt;1 week (Th2/eosinophilic)</w:t>
            </w:r>
          </w:p>
        </w:tc>
        <w:tc>
          <w:tcPr>
            <w:tcW w:type="dxa" w:w="1800"/>
            <w:tcBorders>
              <w:top w:val="single" w:color="CCCCCC" w:sz="1"/>
              <w:left w:val="single" w:color="CCCCCC" w:sz="1"/>
              <w:bottom w:val="single" w:color="CCCCCC" w:sz="1"/>
              <w:right w:val="single" w:color="CCCCCC" w:sz="1"/>
            </w:tcBorders>
            <w:shd w:fill="EBF3FA" w:val="clear"/>
            <w:tcMar>
              <w:top w:type="dxa" w:w="80"/>
              <w:left w:type="dxa" w:w="120"/>
              <w:bottom w:type="dxa" w:w="80"/>
              <w:right w:type="dxa" w:w="120"/>
            </w:tcMar>
          </w:tcPr>
          <w:p>
            <w:pPr>
              <w:spacing w:after="60"/>
            </w:pPr>
            <w:r>
              <w:rPr>
                <w:rFonts w:ascii="Arial" w:cs="Arial" w:eastAsia="Arial" w:hAnsi="Arial"/>
                <w:sz w:val="20"/>
                <w:szCs w:val="20"/>
              </w:rPr>
              <w:t xml:space="preserve">Contact dermatitis, DRESS, SJS, tuberculin reaction, EoE, allergic contact stomatitis</w:t>
            </w:r>
          </w:p>
        </w:tc>
        <w:tc>
          <w:tcPr>
            <w:tcW w:type="dxa" w:w="1200"/>
            <w:tcBorders>
              <w:top w:val="single" w:color="CCCCCC" w:sz="1"/>
              <w:left w:val="single" w:color="CCCCCC" w:sz="1"/>
              <w:bottom w:val="single" w:color="CCCCCC" w:sz="1"/>
              <w:right w:val="single" w:color="CCCCCC" w:sz="1"/>
            </w:tcBorders>
            <w:shd w:fill="EBF3FA" w:val="clear"/>
            <w:tcMar>
              <w:top w:type="dxa" w:w="80"/>
              <w:left w:type="dxa" w:w="120"/>
              <w:bottom w:type="dxa" w:w="80"/>
              <w:right w:type="dxa" w:w="120"/>
            </w:tcMar>
          </w:tcPr>
          <w:p>
            <w:pPr>
              <w:spacing w:after="60"/>
            </w:pPr>
            <w:r>
              <w:rPr>
                <w:rFonts w:ascii="Arial" w:cs="Arial" w:eastAsia="Arial" w:hAnsi="Arial"/>
                <w:sz w:val="20"/>
                <w:szCs w:val="20"/>
              </w:rPr>
              <w:t xml:space="preserve">Negative</w:t>
            </w:r>
          </w:p>
        </w:tc>
        <w:tc>
          <w:tcPr>
            <w:tcW w:type="dxa" w:w="1760"/>
            <w:tcBorders>
              <w:top w:val="single" w:color="CCCCCC" w:sz="1"/>
              <w:left w:val="single" w:color="CCCCCC" w:sz="1"/>
              <w:bottom w:val="single" w:color="CCCCCC" w:sz="1"/>
              <w:right w:val="single" w:color="CCCCCC" w:sz="1"/>
            </w:tcBorders>
            <w:shd w:fill="EBF3FA" w:val="clear"/>
            <w:tcMar>
              <w:top w:type="dxa" w:w="80"/>
              <w:left w:type="dxa" w:w="120"/>
              <w:bottom w:type="dxa" w:w="80"/>
              <w:right w:type="dxa" w:w="120"/>
            </w:tcMar>
          </w:tcPr>
          <w:p>
            <w:pPr>
              <w:spacing w:after="60"/>
            </w:pPr>
            <w:r>
              <w:rPr>
                <w:rFonts w:ascii="Arial" w:cs="Arial" w:eastAsia="Arial" w:hAnsi="Arial"/>
                <w:sz w:val="20"/>
                <w:szCs w:val="20"/>
              </w:rPr>
              <w:t xml:space="preserve">Patch testing (contact allergens); HLA pharmacogenomics (drug reactions); elimination + endoscopy (EoE)</w:t>
            </w:r>
          </w:p>
        </w:tc>
      </w:tr>
      <w:tr>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60"/>
            </w:pPr>
            <w:r>
              <w:rPr>
                <w:rFonts w:ascii="Arial" w:cs="Arial" w:eastAsia="Arial" w:hAnsi="Arial"/>
                <w:sz w:val="20"/>
                <w:szCs w:val="20"/>
              </w:rPr>
              <w:t xml:space="preserve">Non-IgE food hypersensitivity (mixed/unclear)</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60"/>
            </w:pPr>
            <w:r>
              <w:rPr>
                <w:rFonts w:ascii="Arial" w:cs="Arial" w:eastAsia="Arial" w:hAnsi="Arial"/>
                <w:sz w:val="20"/>
                <w:szCs w:val="20"/>
              </w:rPr>
              <w:t xml:space="preserve">Th2 polarisation without detectable antigen-specific IgE; epithelial barrier failure → ILC2 activation → IL-13/eotaxin-3 → eosinophil/mast cell accumulation</w:t>
            </w:r>
          </w:p>
        </w:tc>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60"/>
            </w:pPr>
            <w:r>
              <w:rPr>
                <w:rFonts w:ascii="Arial" w:cs="Arial" w:eastAsia="Arial" w:hAnsi="Arial"/>
                <w:sz w:val="20"/>
                <w:szCs w:val="20"/>
              </w:rPr>
              <w:t xml:space="preserve">Hours to days; symptoms lag trigger by 24–96 h+</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60"/>
            </w:pPr>
            <w:r>
              <w:rPr>
                <w:rFonts w:ascii="Arial" w:cs="Arial" w:eastAsia="Arial" w:hAnsi="Arial"/>
                <w:sz w:val="20"/>
                <w:szCs w:val="20"/>
              </w:rPr>
              <w:t xml:space="preserve">EoE, FPIES, allergic proctocolitis</w:t>
            </w:r>
          </w:p>
        </w:tc>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60"/>
            </w:pPr>
            <w:r>
              <w:rPr>
                <w:rFonts w:ascii="Arial" w:cs="Arial" w:eastAsia="Arial" w:hAnsi="Arial"/>
                <w:sz w:val="20"/>
                <w:szCs w:val="20"/>
              </w:rPr>
              <w:t xml:space="preserve">Almost always negative</w:t>
            </w:r>
          </w:p>
        </w:tc>
        <w:tc>
          <w:tcPr>
            <w:tcW w:type="dxa" w:w="1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60"/>
            </w:pPr>
            <w:r>
              <w:rPr>
                <w:rFonts w:ascii="Arial" w:cs="Arial" w:eastAsia="Arial" w:hAnsi="Arial"/>
                <w:sz w:val="20"/>
                <w:szCs w:val="20"/>
              </w:rPr>
              <w:t xml:space="preserve">Eotaxin-3, mucosal impedance (EoE); clinical pattern recognition (FPIES); elimination diet + endoscopy</w:t>
            </w:r>
          </w:p>
        </w:tc>
      </w:tr>
    </w:tbl>
    <w:p>
      <w:pPr>
        <w:spacing w:after="160"/>
      </w:pPr>
      <w:r>
        <w:rPr>
          <w:rFonts w:ascii="Arial" w:cs="Arial" w:eastAsia="Arial" w:hAnsi="Arial"/>
          <w:sz w:val="24"/>
          <w:szCs w:val="24"/>
        </w:rPr>
        <w:t xml:space="preserve">Table 1. Hypersensitivity types, mechanisms, timescales, and diagnostic tool performance. Types III, IV, and non-IgE food reactions — which include EoE, FPIES, and most delayed reactions — all have poor IgE test accuracy, not because the diseases are poorly characterised, but because the available tests measure a molecule that is absent from the primary pathological mechanism.</w:t>
      </w:r>
    </w:p>
    <w:p>
      <w:pPr>
        <w:pStyle w:val="Heading1"/>
        <w:spacing w:before="360" w:after="180"/>
      </w:pPr>
      <w:r>
        <w:rPr>
          <w:rFonts w:ascii="Arial" w:cs="Arial" w:eastAsia="Arial" w:hAnsi="Arial"/>
          <w:b/>
          <w:bCs/>
          <w:sz w:val="32"/>
          <w:szCs w:val="32"/>
        </w:rPr>
        <w:t xml:space="preserve">§3 — The Common Innate Alarm Architecture: ILC2s, Barriers, and Type 2 Convergence</w:t>
      </w:r>
    </w:p>
    <w:p>
      <w:pPr>
        <w:pStyle w:val="Heading2"/>
        <w:spacing w:before="280" w:after="140"/>
      </w:pPr>
      <w:r>
        <w:rPr>
          <w:rFonts w:ascii="Arial" w:cs="Arial" w:eastAsia="Arial" w:hAnsi="Arial"/>
          <w:b/>
          <w:bCs/>
          <w:sz w:val="28"/>
          <w:szCs w:val="28"/>
        </w:rPr>
        <w:t xml:space="preserve">§3.1 The Epithelial Barrier as the Initiating Structure</w:t>
      </w:r>
    </w:p>
    <w:p>
      <w:pPr>
        <w:spacing w:after="160"/>
      </w:pPr>
      <w:r>
        <w:rPr>
          <w:rFonts w:ascii="Arial" w:cs="Arial" w:eastAsia="Arial" w:hAnsi="Arial"/>
          <w:sz w:val="24"/>
          <w:szCs w:val="24"/>
        </w:rPr>
        <w:t xml:space="preserve">Across EoE, atopic dermatitis, asthma, and non-IgE food hypersensitivity, the initiating event is not antigen presentation to T cells. It is disruption of the epithelial barrier — the physical and chemical seal between the external environment and the subepithelial immune compartment. In healthy epithelium, tight junction proteins (claudins, occludin, ZO-1) and structural proteins (filaggrin, desmoglein-1) maintain a barrier that limits antigen penetration, keeping subepithelial dendritic cells in a tolerogenic activation state. When the barrier is disrupted — by genetic variants (multiple EoE susceptibility loci including FLG loss-of-function and the 16p13 risk locus [Kottyan17]; CAPN14 at chromosome 2p21 identified separately), environmental insult (detergents, proteases, acid/pepsin exposure), or infectious damage — the immune default shifts from tolerance to reactivity [Blanchard06].</w:t>
      </w:r>
    </w:p>
    <w:p>
      <w:pPr>
        <w:spacing w:after="160"/>
      </w:pPr>
      <w:r>
        <w:rPr>
          <w:rFonts w:ascii="Arial" w:cs="Arial" w:eastAsia="Arial" w:hAnsi="Arial"/>
          <w:sz w:val="24"/>
          <w:szCs w:val="24"/>
        </w:rPr>
        <w:t xml:space="preserve">The initiating signal from disrupted epithelial cells is not antigen itself. It is a set of damage-associated alarm cytokines: TSLP (thymic stromal lymphopoietin), IL-33, and IL-25. These three epithelial-derived cytokines are the upstream instructors of the type 2 immune response. They do not require prior T cell sensitisation. They directly activate the innate immune system — particularly group 2 innate lymphoid cells (ILC2s), mast cells, and dendritic cells — before any adaptive immune response has developed [Obata-Ninomiya24].</w:t>
      </w:r>
    </w:p>
    <w:p>
      <w:pPr>
        <w:pStyle w:val="Heading2"/>
        <w:spacing w:before="280" w:after="140"/>
      </w:pPr>
      <w:r>
        <w:rPr>
          <w:rFonts w:ascii="Arial" w:cs="Arial" w:eastAsia="Arial" w:hAnsi="Arial"/>
          <w:b/>
          <w:bCs/>
          <w:sz w:val="28"/>
          <w:szCs w:val="28"/>
        </w:rPr>
        <w:t xml:space="preserve">§3.2 ILC2s: The Innate Bridge to Th2 Inflammation</w:t>
      </w:r>
    </w:p>
    <w:p>
      <w:pPr>
        <w:spacing w:after="160"/>
      </w:pPr>
      <w:r>
        <w:rPr>
          <w:rFonts w:ascii="Arial" w:cs="Arial" w:eastAsia="Arial" w:hAnsi="Arial"/>
          <w:sz w:val="24"/>
          <w:szCs w:val="24"/>
        </w:rPr>
        <w:t xml:space="preserve">Group 2 innate lymphoid cells (ILC2s) are tissue-resident lymphoid cells found in skin, airways, gut, and esophagus. Unlike Th2 cells, they do not require antigen-specific activation. TSLP, IL-33, and IL-25 — released by damaged epithelium — directly activate ILC2s, which then produce IL-5 and IL-13 in large quantities, with more modest IL-4 output. This ILC2-derived cytokine output initiates the same downstream cascade as a classical Th2 T cell response: IL-5 drives eosinophil maturation and survival; IL-13 drives eotaxin-3 (CCL26) production and subepithelial remodelling; IL-4 promotes IgE class switching in B cells and drives Th2 T cell differentiation [Obata-Ninomiya24].</w:t>
      </w:r>
    </w:p>
    <w:p>
      <w:pPr>
        <w:spacing w:after="160"/>
      </w:pPr>
      <w:r>
        <w:rPr>
          <w:rFonts w:ascii="Arial" w:cs="Arial" w:eastAsia="Arial" w:hAnsi="Arial"/>
          <w:sz w:val="24"/>
          <w:szCs w:val="24"/>
        </w:rPr>
        <w:t xml:space="preserve">The clinical significance of ILC2s is that they explain how atopic disease can begin before classical IgE sensitisation is established, and why IgE testing can be negative in active disease. In EoE specifically, ILC2s activated by esophageal TSLP/IL-33 produce IL-13 directly — driving eotaxin-3 secretion and a self-sustaining barrier suppression loop (IL-13 directly suppresses filaggrin and claudin, preventing the barrier from repairing itself) — without requiring IgE-mediated mast cell activation as an intermediate step. ILC2s are the innate arm of the same cascade that Th2 T cells sustain adaptively. ILC2s may participate in disease initiation in barrier-compromised individuals before classical IgE sensitisation is established, though in most established EoE the Th2 adaptive arm is the dominant sustaining mechanism [Nat-CellMolImmunol25].</w:t>
      </w:r>
    </w:p>
    <w:p>
      <w:pPr>
        <w:pStyle w:val="Heading2"/>
        <w:spacing w:before="280" w:after="140"/>
      </w:pPr>
      <w:r>
        <w:rPr>
          <w:rFonts w:ascii="Arial" w:cs="Arial" w:eastAsia="Arial" w:hAnsi="Arial"/>
          <w:b/>
          <w:bCs/>
          <w:sz w:val="28"/>
          <w:szCs w:val="28"/>
        </w:rPr>
        <w:t xml:space="preserve">§3.3 The Unifying Cascade Across Atopic Conditions</w:t>
      </w:r>
    </w:p>
    <w:p>
      <w:pPr>
        <w:spacing w:after="160"/>
      </w:pPr>
      <w:r>
        <w:rPr>
          <w:rFonts w:ascii="Arial" w:cs="Arial" w:eastAsia="Arial" w:hAnsi="Arial"/>
          <w:sz w:val="24"/>
          <w:szCs w:val="24"/>
        </w:rPr>
        <w:t xml:space="preserve">The same innate alarm cascade — barrier disruption → TSLP/IL-33/IL-25 → ILC2 activation → IL-5/IL-13 production → eosinophil recruitment + barrier further suppressed — operates across EoE (esophagus), atopic dermatitis (skin), asthma (airways), and allergic rhinitis (nasal mucosa). The target organ and trigger antigen differ; the initiation architecture is shared. This explains the atopic march — the well-documented tendency for atopic conditions to co-occur and develop sequentially — and provides the mechanistic basis for dupilumab’s efficacy as an umbrella therapy across multiple co-existing atopic conditions (blocking the shared IL-4/IL-13 signal) [Manti24].</w:t>
      </w:r>
    </w:p>
    <w:p>
      <w:pPr>
        <w:spacing w:after="160"/>
      </w:pPr>
      <w:r>
        <w:rPr>
          <w:rFonts w:ascii="Arial" w:cs="Arial" w:eastAsia="Arial" w:hAnsi="Arial"/>
          <w:sz w:val="24"/>
          <w:szCs w:val="24"/>
        </w:rPr>
        <w:t xml:space="preserve">For diagnostic purposes, the key implication is: a patient with barrier-driven, ILC2-initiated type 2 disease will be IgE-negative to the causative antigen because IgE is downstream of adaptive immune T cell priming, not upstream of innate ILC2 activation. The reaction is genuine, immune-mediated, and driven by IL-13 — but does not require IgE as an intermediate. Testing for it is testing the wrong link in the chain.</w:t>
      </w:r>
    </w:p>
    <w:p>
      <w:pPr>
        <w:pStyle w:val="Heading1"/>
        <w:spacing w:before="360" w:after="180"/>
      </w:pPr>
      <w:r>
        <w:rPr>
          <w:rFonts w:ascii="Arial" w:cs="Arial" w:eastAsia="Arial" w:hAnsi="Arial"/>
          <w:b/>
          <w:bCs/>
          <w:sz w:val="32"/>
          <w:szCs w:val="32"/>
        </w:rPr>
        <w:t xml:space="preserve">§4 — Why Delayed Reactions Are Delayed: Accumulation Kinetics</w:t>
      </w:r>
    </w:p>
    <w:p>
      <w:pPr>
        <w:pStyle w:val="Heading2"/>
        <w:spacing w:before="280" w:after="140"/>
      </w:pPr>
      <w:r>
        <w:rPr>
          <w:rFonts w:ascii="Arial" w:cs="Arial" w:eastAsia="Arial" w:hAnsi="Arial"/>
          <w:b/>
          <w:bCs/>
          <w:sz w:val="28"/>
          <w:szCs w:val="28"/>
        </w:rPr>
        <w:t xml:space="preserve">§4.1 The Accumulation Model</w:t>
      </w:r>
    </w:p>
    <w:p>
      <w:pPr>
        <w:spacing w:after="160"/>
      </w:pPr>
      <w:r>
        <w:rPr>
          <w:rFonts w:ascii="Arial" w:cs="Arial" w:eastAsia="Arial" w:hAnsi="Arial"/>
          <w:sz w:val="24"/>
          <w:szCs w:val="24"/>
        </w:rPr>
        <w:t xml:space="preserve">The delay between antigen exposure and symptom onset in non-IgE reactions is not poorly understood biology. It is the direct consequence of the cellular recruitment structure of the cascade. In IgE-mediated Type I reactions, the initiating event is mast cell crosslinking, which produces symptoms within minutes because degranulation is a preformed granule release event — no new protein synthesis or cellular recruitment is required. In non-IgE reactions, symptoms require accumulation of inflammatory cells (eosinophils, T cells, neutrophils) or immune complexes to concentrations above a tissue-specific threshold. This accumulation takes time.</w:t>
      </w:r>
    </w:p>
    <w:p>
      <w:pPr>
        <w:spacing w:after="160"/>
      </w:pPr>
      <w:r>
        <w:rPr>
          <w:rFonts w:ascii="Arial" w:cs="Arial" w:eastAsia="Arial" w:hAnsi="Arial"/>
          <w:sz w:val="24"/>
          <w:szCs w:val="24"/>
        </w:rPr>
        <w:t xml:space="preserve">The delay phases for eosinophilic reactions (EoE model) illustrate the structure: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1400"/>
        <w:gridCol w:w="3560"/>
        <w:gridCol w:w="2600"/>
      </w:tblGrid>
      <w:tr>
        <w:tc>
          <w:tcPr>
            <w:tcW w:type="dxa" w:w="18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Delay phase</w:t>
            </w:r>
          </w:p>
        </w:tc>
        <w:tc>
          <w:tcPr>
            <w:tcW w:type="dxa" w:w="14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Duration</w:t>
            </w:r>
          </w:p>
        </w:tc>
        <w:tc>
          <w:tcPr>
            <w:tcW w:type="dxa" w:w="356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Process</w:t>
            </w:r>
          </w:p>
        </w:tc>
        <w:tc>
          <w:tcPr>
            <w:tcW w:type="dxa" w:w="26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Clinical implication</w:t>
            </w:r>
          </w:p>
        </w:tc>
      </w:tr>
      <w:tr>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60"/>
            </w:pPr>
            <w:r>
              <w:rPr>
                <w:rFonts w:ascii="Arial" w:cs="Arial" w:eastAsia="Arial" w:hAnsi="Arial"/>
                <w:sz w:val="20"/>
                <w:szCs w:val="20"/>
              </w:rPr>
              <w:t xml:space="preserve">Antigen penetration</w:t>
            </w:r>
          </w:p>
        </w:tc>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60"/>
            </w:pPr>
            <w:r>
              <w:rPr>
                <w:rFonts w:ascii="Arial" w:cs="Arial" w:eastAsia="Arial" w:hAnsi="Arial"/>
                <w:sz w:val="20"/>
                <w:szCs w:val="20"/>
              </w:rPr>
              <w:t xml:space="preserve">Minutes–hours</w:t>
            </w:r>
          </w:p>
        </w:tc>
        <w:tc>
          <w:tcPr>
            <w:tcW w:type="dxa" w:w="3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60"/>
            </w:pPr>
            <w:r>
              <w:rPr>
                <w:rFonts w:ascii="Arial" w:cs="Arial" w:eastAsia="Arial" w:hAnsi="Arial"/>
                <w:sz w:val="20"/>
                <w:szCs w:val="20"/>
              </w:rPr>
              <w:t xml:space="preserve">Food antigen crosses compromised barrier; sub-epithelial DC sampling; ILC2/TSLP activation begins</w:t>
            </w:r>
          </w:p>
        </w:tc>
        <w:tc>
          <w:tcPr>
            <w:tcW w:type="dxa" w:w="2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60"/>
            </w:pPr>
            <w:r>
              <w:rPr>
                <w:rFonts w:ascii="Arial" w:cs="Arial" w:eastAsia="Arial" w:hAnsi="Arial"/>
                <w:sz w:val="20"/>
                <w:szCs w:val="20"/>
              </w:rPr>
              <w:t xml:space="preserve">Immediate oral symptoms (&lt;30 min) imply IgE component. Non-IgE reactions cannot produce symptoms at this timescale.</w:t>
            </w:r>
          </w:p>
        </w:tc>
      </w:tr>
      <w:tr>
        <w:tc>
          <w:tcPr>
            <w:tcW w:type="dxa" w:w="1800"/>
            <w:tcBorders>
              <w:top w:val="single" w:color="CCCCCC" w:sz="1"/>
              <w:left w:val="single" w:color="CCCCCC" w:sz="1"/>
              <w:bottom w:val="single" w:color="CCCCCC" w:sz="1"/>
              <w:right w:val="single" w:color="CCCCCC" w:sz="1"/>
            </w:tcBorders>
            <w:shd w:fill="EBF3FA" w:val="clear"/>
            <w:tcMar>
              <w:top w:type="dxa" w:w="80"/>
              <w:left w:type="dxa" w:w="120"/>
              <w:bottom w:type="dxa" w:w="80"/>
              <w:right w:type="dxa" w:w="120"/>
            </w:tcMar>
          </w:tcPr>
          <w:p>
            <w:pPr>
              <w:spacing w:after="60"/>
            </w:pPr>
            <w:r>
              <w:rPr>
                <w:rFonts w:ascii="Arial" w:cs="Arial" w:eastAsia="Arial" w:hAnsi="Arial"/>
                <w:sz w:val="20"/>
                <w:szCs w:val="20"/>
              </w:rPr>
              <w:t xml:space="preserve">Alarmin cascade</w:t>
            </w:r>
          </w:p>
        </w:tc>
        <w:tc>
          <w:tcPr>
            <w:tcW w:type="dxa" w:w="1400"/>
            <w:tcBorders>
              <w:top w:val="single" w:color="CCCCCC" w:sz="1"/>
              <w:left w:val="single" w:color="CCCCCC" w:sz="1"/>
              <w:bottom w:val="single" w:color="CCCCCC" w:sz="1"/>
              <w:right w:val="single" w:color="CCCCCC" w:sz="1"/>
            </w:tcBorders>
            <w:shd w:fill="EBF3FA" w:val="clear"/>
            <w:tcMar>
              <w:top w:type="dxa" w:w="80"/>
              <w:left w:type="dxa" w:w="120"/>
              <w:bottom w:type="dxa" w:w="80"/>
              <w:right w:type="dxa" w:w="120"/>
            </w:tcMar>
          </w:tcPr>
          <w:p>
            <w:pPr>
              <w:spacing w:after="60"/>
            </w:pPr>
            <w:r>
              <w:rPr>
                <w:rFonts w:ascii="Arial" w:cs="Arial" w:eastAsia="Arial" w:hAnsi="Arial"/>
                <w:sz w:val="20"/>
                <w:szCs w:val="20"/>
              </w:rPr>
              <w:t xml:space="preserve">Hours</w:t>
            </w:r>
          </w:p>
        </w:tc>
        <w:tc>
          <w:tcPr>
            <w:tcW w:type="dxa" w:w="3560"/>
            <w:tcBorders>
              <w:top w:val="single" w:color="CCCCCC" w:sz="1"/>
              <w:left w:val="single" w:color="CCCCCC" w:sz="1"/>
              <w:bottom w:val="single" w:color="CCCCCC" w:sz="1"/>
              <w:right w:val="single" w:color="CCCCCC" w:sz="1"/>
            </w:tcBorders>
            <w:shd w:fill="EBF3FA" w:val="clear"/>
            <w:tcMar>
              <w:top w:type="dxa" w:w="80"/>
              <w:left w:type="dxa" w:w="120"/>
              <w:bottom w:type="dxa" w:w="80"/>
              <w:right w:type="dxa" w:w="120"/>
            </w:tcMar>
          </w:tcPr>
          <w:p>
            <w:pPr>
              <w:spacing w:after="60"/>
            </w:pPr>
            <w:r>
              <w:rPr>
                <w:rFonts w:ascii="Arial" w:cs="Arial" w:eastAsia="Arial" w:hAnsi="Arial"/>
                <w:sz w:val="20"/>
                <w:szCs w:val="20"/>
              </w:rPr>
              <w:t xml:space="preserve">TSLP/IL-33 → ILC2/mast cell activation → eotaxin-3 secretion begins; IL-5 drives bone marrow eosinophil mobilisation</w:t>
            </w:r>
          </w:p>
        </w:tc>
        <w:tc>
          <w:tcPr>
            <w:tcW w:type="dxa" w:w="2600"/>
            <w:tcBorders>
              <w:top w:val="single" w:color="CCCCCC" w:sz="1"/>
              <w:left w:val="single" w:color="CCCCCC" w:sz="1"/>
              <w:bottom w:val="single" w:color="CCCCCC" w:sz="1"/>
              <w:right w:val="single" w:color="CCCCCC" w:sz="1"/>
            </w:tcBorders>
            <w:shd w:fill="EBF3FA" w:val="clear"/>
            <w:tcMar>
              <w:top w:type="dxa" w:w="80"/>
              <w:left w:type="dxa" w:w="120"/>
              <w:bottom w:type="dxa" w:w="80"/>
              <w:right w:type="dxa" w:w="120"/>
            </w:tcMar>
          </w:tcPr>
          <w:p>
            <w:pPr>
              <w:spacing w:after="60"/>
            </w:pPr>
            <w:r>
              <w:rPr>
                <w:rFonts w:ascii="Arial" w:cs="Arial" w:eastAsia="Arial" w:hAnsi="Arial"/>
                <w:sz w:val="20"/>
                <w:szCs w:val="20"/>
              </w:rPr>
              <w:t xml:space="preserve">Serum eotaxin-3 (IL-13-driven, correlates with tissue eosinophilia [Blanchard06]) may rise before the 15 eos/hpf threshold is crossed — proposed biomarker window, not yet validated in human kinetics studies.</w:t>
            </w:r>
          </w:p>
        </w:tc>
      </w:tr>
      <w:tr>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60"/>
            </w:pPr>
            <w:r>
              <w:rPr>
                <w:rFonts w:ascii="Arial" w:cs="Arial" w:eastAsia="Arial" w:hAnsi="Arial"/>
                <w:sz w:val="20"/>
                <w:szCs w:val="20"/>
              </w:rPr>
              <w:t xml:space="preserve">Eosinophil recruitment</w:t>
            </w:r>
          </w:p>
        </w:tc>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60"/>
            </w:pPr>
            <w:r>
              <w:rPr>
                <w:rFonts w:ascii="Arial" w:cs="Arial" w:eastAsia="Arial" w:hAnsi="Arial"/>
                <w:sz w:val="20"/>
                <w:szCs w:val="20"/>
              </w:rPr>
              <w:t xml:space="preserve">Hours–48 h</w:t>
            </w:r>
          </w:p>
        </w:tc>
        <w:tc>
          <w:tcPr>
            <w:tcW w:type="dxa" w:w="3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60"/>
            </w:pPr>
            <w:r>
              <w:rPr>
                <w:rFonts w:ascii="Arial" w:cs="Arial" w:eastAsia="Arial" w:hAnsi="Arial"/>
                <w:sz w:val="20"/>
                <w:szCs w:val="20"/>
              </w:rPr>
              <w:t xml:space="preserve">Eotaxin-3 gradient → circulating eosinophils migrate into tissue; IL-5 sustains survival; local mast cell SP-amplified degranulation lowers symptom threshold</w:t>
            </w:r>
          </w:p>
        </w:tc>
        <w:tc>
          <w:tcPr>
            <w:tcW w:type="dxa" w:w="2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60"/>
            </w:pPr>
            <w:r>
              <w:rPr>
                <w:rFonts w:ascii="Arial" w:cs="Arial" w:eastAsia="Arial" w:hAnsi="Arial"/>
                <w:sz w:val="20"/>
                <w:szCs w:val="20"/>
              </w:rPr>
              <w:t xml:space="preserve">Tissue eosinophil count rising but may not yet cross 15 eos/hpf diagnostic threshold. Patient symptomatic before diagnosis possible by biopsy.</w:t>
            </w:r>
          </w:p>
        </w:tc>
      </w:tr>
      <w:tr>
        <w:tc>
          <w:tcPr>
            <w:tcW w:type="dxa" w:w="1800"/>
            <w:tcBorders>
              <w:top w:val="single" w:color="CCCCCC" w:sz="1"/>
              <w:left w:val="single" w:color="CCCCCC" w:sz="1"/>
              <w:bottom w:val="single" w:color="CCCCCC" w:sz="1"/>
              <w:right w:val="single" w:color="CCCCCC" w:sz="1"/>
            </w:tcBorders>
            <w:shd w:fill="EBF3FA" w:val="clear"/>
            <w:tcMar>
              <w:top w:type="dxa" w:w="80"/>
              <w:left w:type="dxa" w:w="120"/>
              <w:bottom w:type="dxa" w:w="80"/>
              <w:right w:type="dxa" w:w="120"/>
            </w:tcMar>
          </w:tcPr>
          <w:p>
            <w:pPr>
              <w:spacing w:after="60"/>
            </w:pPr>
            <w:r>
              <w:rPr>
                <w:rFonts w:ascii="Arial" w:cs="Arial" w:eastAsia="Arial" w:hAnsi="Arial"/>
                <w:sz w:val="20"/>
                <w:szCs w:val="20"/>
              </w:rPr>
              <w:t xml:space="preserve">Symptom threshold crossing</w:t>
            </w:r>
          </w:p>
        </w:tc>
        <w:tc>
          <w:tcPr>
            <w:tcW w:type="dxa" w:w="1400"/>
            <w:tcBorders>
              <w:top w:val="single" w:color="CCCCCC" w:sz="1"/>
              <w:left w:val="single" w:color="CCCCCC" w:sz="1"/>
              <w:bottom w:val="single" w:color="CCCCCC" w:sz="1"/>
              <w:right w:val="single" w:color="CCCCCC" w:sz="1"/>
            </w:tcBorders>
            <w:shd w:fill="EBF3FA" w:val="clear"/>
            <w:tcMar>
              <w:top w:type="dxa" w:w="80"/>
              <w:left w:type="dxa" w:w="120"/>
              <w:bottom w:type="dxa" w:w="80"/>
              <w:right w:type="dxa" w:w="120"/>
            </w:tcMar>
          </w:tcPr>
          <w:p>
            <w:pPr>
              <w:spacing w:after="60"/>
            </w:pPr>
            <w:r>
              <w:rPr>
                <w:rFonts w:ascii="Arial" w:cs="Arial" w:eastAsia="Arial" w:hAnsi="Arial"/>
                <w:sz w:val="20"/>
                <w:szCs w:val="20"/>
              </w:rPr>
              <w:t xml:space="preserve">24–96 h post-trigger</w:t>
            </w:r>
          </w:p>
        </w:tc>
        <w:tc>
          <w:tcPr>
            <w:tcW w:type="dxa" w:w="3560"/>
            <w:tcBorders>
              <w:top w:val="single" w:color="CCCCCC" w:sz="1"/>
              <w:left w:val="single" w:color="CCCCCC" w:sz="1"/>
              <w:bottom w:val="single" w:color="CCCCCC" w:sz="1"/>
              <w:right w:val="single" w:color="CCCCCC" w:sz="1"/>
            </w:tcBorders>
            <w:shd w:fill="EBF3FA" w:val="clear"/>
            <w:tcMar>
              <w:top w:type="dxa" w:w="80"/>
              <w:left w:type="dxa" w:w="120"/>
              <w:bottom w:type="dxa" w:w="80"/>
              <w:right w:type="dxa" w:w="120"/>
            </w:tcMar>
          </w:tcPr>
          <w:p>
            <w:pPr>
              <w:spacing w:after="60"/>
            </w:pPr>
            <w:r>
              <w:rPr>
                <w:rFonts w:ascii="Arial" w:cs="Arial" w:eastAsia="Arial" w:hAnsi="Arial"/>
                <w:sz w:val="20"/>
                <w:szCs w:val="20"/>
              </w:rPr>
              <w:t xml:space="preserve">Eosinophil density crosses tissue-specific threshold; eosinophil peroxidase and major basic protein damage epithelium → dysphagia, chest pain, food impaction</w:t>
            </w:r>
          </w:p>
        </w:tc>
        <w:tc>
          <w:tcPr>
            <w:tcW w:type="dxa" w:w="2600"/>
            <w:tcBorders>
              <w:top w:val="single" w:color="CCCCCC" w:sz="1"/>
              <w:left w:val="single" w:color="CCCCCC" w:sz="1"/>
              <w:bottom w:val="single" w:color="CCCCCC" w:sz="1"/>
              <w:right w:val="single" w:color="CCCCCC" w:sz="1"/>
            </w:tcBorders>
            <w:shd w:fill="EBF3FA" w:val="clear"/>
            <w:tcMar>
              <w:top w:type="dxa" w:w="80"/>
              <w:left w:type="dxa" w:w="120"/>
              <w:bottom w:type="dxa" w:w="80"/>
              <w:right w:type="dxa" w:w="120"/>
            </w:tcMar>
          </w:tcPr>
          <w:p>
            <w:pPr>
              <w:spacing w:after="60"/>
            </w:pPr>
            <w:r>
              <w:rPr>
                <w:rFonts w:ascii="Arial" w:cs="Arial" w:eastAsia="Arial" w:hAnsi="Arial"/>
                <w:sz w:val="20"/>
                <w:szCs w:val="20"/>
              </w:rPr>
              <w:t xml:space="preserve">Patient associates symptoms with recent meal, not meal 1–4 days prior. Food diary misses trigger systematically.</w:t>
            </w:r>
          </w:p>
        </w:tc>
      </w:tr>
      <w:tr>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60"/>
            </w:pPr>
            <w:r>
              <w:rPr>
                <w:rFonts w:ascii="Arial" w:cs="Arial" w:eastAsia="Arial" w:hAnsi="Arial"/>
                <w:sz w:val="20"/>
                <w:szCs w:val="20"/>
              </w:rPr>
              <w:t xml:space="preserve">Symptom persistence</w:t>
            </w:r>
          </w:p>
        </w:tc>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60"/>
            </w:pPr>
            <w:r>
              <w:rPr>
                <w:rFonts w:ascii="Arial" w:cs="Arial" w:eastAsia="Arial" w:hAnsi="Arial"/>
                <w:sz w:val="20"/>
                <w:szCs w:val="20"/>
              </w:rPr>
              <w:t xml:space="preserve">Days–weeks post-trigger removal</w:t>
            </w:r>
          </w:p>
        </w:tc>
        <w:tc>
          <w:tcPr>
            <w:tcW w:type="dxa" w:w="3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60"/>
            </w:pPr>
            <w:r>
              <w:rPr>
                <w:rFonts w:ascii="Arial" w:cs="Arial" w:eastAsia="Arial" w:hAnsi="Arial"/>
                <w:sz w:val="20"/>
                <w:szCs w:val="20"/>
              </w:rPr>
              <w:t xml:space="preserve">Eosinophil tissue half-life ≈8–12 days; IL-5 signalling decays slowly; barrier repair begins if antigen removed</w:t>
            </w:r>
          </w:p>
        </w:tc>
        <w:tc>
          <w:tcPr>
            <w:tcW w:type="dxa" w:w="2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60"/>
            </w:pPr>
            <w:r>
              <w:rPr>
                <w:rFonts w:ascii="Arial" w:cs="Arial" w:eastAsia="Arial" w:hAnsi="Arial"/>
                <w:sz w:val="20"/>
                <w:szCs w:val="20"/>
              </w:rPr>
              <w:t xml:space="preserve">Symptoms persist after trigger removal. Patient may conclude elimination ‘didn’t work’ and reintroduce.</w:t>
            </w:r>
          </w:p>
        </w:tc>
      </w:tr>
    </w:tbl>
    <w:p>
      <w:pPr>
        <w:spacing w:after="160"/>
      </w:pPr>
      <w:r>
        <w:rPr>
          <w:rFonts w:ascii="Arial" w:cs="Arial" w:eastAsia="Arial" w:hAnsi="Arial"/>
          <w:sz w:val="24"/>
          <w:szCs w:val="24"/>
        </w:rPr>
        <w:t xml:space="preserve">Table 2. Delay kinetics for eosinophilic (non-IgE) reactions. The total delay from trigger exposure to symptom onset spans these phases in sequence. For EoE, the cascade from antigen penetration to threshold crossing typically takes 24–96 hours depending on antigen load, barrier state, and neurogenic amplification state.</w:t>
      </w:r>
    </w:p>
    <w:p>
      <w:pPr>
        <w:pStyle w:val="Heading2"/>
        <w:spacing w:before="280" w:after="140"/>
      </w:pPr>
      <w:r>
        <w:rPr>
          <w:rFonts w:ascii="Arial" w:cs="Arial" w:eastAsia="Arial" w:hAnsi="Arial"/>
          <w:b/>
          <w:bCs/>
          <w:sz w:val="28"/>
          <w:szCs w:val="28"/>
        </w:rPr>
        <w:t xml:space="preserve">§4.2 Threshold Variability and the ‘Inconsistent Reaction’ Problem</w:t>
      </w:r>
    </w:p>
    <w:p>
      <w:pPr>
        <w:spacing w:after="160"/>
      </w:pPr>
      <w:r>
        <w:rPr>
          <w:rFonts w:ascii="Arial" w:cs="Arial" w:eastAsia="Arial" w:hAnsi="Arial"/>
          <w:sz w:val="24"/>
          <w:szCs w:val="24"/>
        </w:rPr>
        <w:t xml:space="preserve">A persistent clinical puzzle in non-IgE reactions is that patients react to a food sometimes but not always, at doses that produce inconsistent symptoms. This is not patient inaccuracy. It is the consequence of a threshold that is not fixed but is instead a function of multiple simultaneous inputs. The effective symptom threshold is modulated by: current barrier integrity (worse barrier → lower threshold for antigen penetration); baseline eosinophil burden (prior exposure may leave residual tissue eosinophilia); concurrent inflammatory load (any active inflammation lowers the threshold by contributing to cytokine background); estradiol-mediated mast cell priming state (see §6.2); and SP-driven neurogenic amplification (see §6.1).</w:t>
      </w:r>
    </w:p>
    <w:p>
      <w:pPr>
        <w:spacing w:after="160"/>
      </w:pPr>
      <w:r>
        <w:rPr>
          <w:rFonts w:ascii="Arial" w:cs="Arial" w:eastAsia="Arial" w:hAnsi="Arial"/>
          <w:sz w:val="24"/>
          <w:szCs w:val="24"/>
        </w:rPr>
        <w:t xml:space="preserve">The same antigen load in a patient with an intact barrier, no concurrent illness, and low neurogenic tone may produce no symptoms. The same load in that patient after a GI infection, during high-estradiol phase, or under psychological stress may cross the threshold easily. The reaction is genuinely inconsistent — not because the patient is wrong about the trigger, but because the threshold moves. This threshold variability is consistent with clinical observations that food challenge threshold doses are lower in patients with active concurrent inflammatory conditions, and with the well-documented cyclical pattern of allergic disease severity in women of reproductive age.</w:t>
      </w:r>
    </w:p>
    <w:p>
      <w:pPr>
        <w:pStyle w:val="Heading2"/>
        <w:spacing w:before="280" w:after="140"/>
      </w:pPr>
      <w:r>
        <w:rPr>
          <w:rFonts w:ascii="Arial" w:cs="Arial" w:eastAsia="Arial" w:hAnsi="Arial"/>
          <w:b/>
          <w:bCs/>
          <w:sz w:val="28"/>
          <w:szCs w:val="28"/>
        </w:rPr>
        <w:t xml:space="preserve">§4.3 The Food Diary Problem</w:t>
      </w:r>
    </w:p>
    <w:p>
      <w:pPr>
        <w:spacing w:after="160"/>
      </w:pPr>
      <w:r>
        <w:rPr>
          <w:rFonts w:ascii="Arial" w:cs="Arial" w:eastAsia="Arial" w:hAnsi="Arial"/>
          <w:sz w:val="24"/>
          <w:szCs w:val="24"/>
        </w:rPr>
        <w:t xml:space="preserve">Food diaries fail systematically for non-IgE reactions — not because patients are inaccurate, but because the diary captures the wrong time window. A diary protocol informed by accumulation kinetics would look different: when symptoms occur today, review food intake from 48–96 hours prior, not the last meal. The consistent item across that shifted window is the candidate trigger. Dairy and wheat are statistically the most common EoE triggers (responsible for approximately 60% of cases) and are the highest-probability candidates in the shifted window [Kliewer23, Furuta07].</w:t>
      </w:r>
    </w:p>
    <w:p>
      <w:pPr>
        <w:pStyle w:val="Heading1"/>
        <w:spacing w:before="360" w:after="180"/>
      </w:pPr>
      <w:r>
        <w:rPr>
          <w:rFonts w:ascii="Arial" w:cs="Arial" w:eastAsia="Arial" w:hAnsi="Arial"/>
          <w:b/>
          <w:bCs/>
          <w:sz w:val="32"/>
          <w:szCs w:val="32"/>
        </w:rPr>
        <w:t xml:space="preserve">§5 — A Rational Diagnostic Framework: Testing the Right Biology</w:t>
      </w:r>
    </w:p>
    <w:p>
      <w:pPr>
        <w:pStyle w:val="Heading2"/>
        <w:spacing w:before="280" w:after="140"/>
      </w:pPr>
      <w:r>
        <w:rPr>
          <w:rFonts w:ascii="Arial" w:cs="Arial" w:eastAsia="Arial" w:hAnsi="Arial"/>
          <w:b/>
          <w:bCs/>
          <w:sz w:val="28"/>
          <w:szCs w:val="28"/>
        </w:rPr>
        <w:t xml:space="preserve">§5.1 Diagnostic Tools: What Each Test Actually Measures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600"/>
        <w:gridCol w:w="1800"/>
        <w:gridCol w:w="1960"/>
        <w:gridCol w:w="1960"/>
        <w:gridCol w:w="2040"/>
      </w:tblGrid>
      <w:tr>
        <w:tc>
          <w:tcPr>
            <w:tcW w:type="dxa" w:w="16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Test</w:t>
            </w:r>
          </w:p>
        </w:tc>
        <w:tc>
          <w:tcPr>
            <w:tcW w:type="dxa" w:w="18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What it measures</w:t>
            </w:r>
          </w:p>
        </w:tc>
        <w:tc>
          <w:tcPr>
            <w:tcW w:type="dxa" w:w="196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Best for</w:t>
            </w:r>
          </w:p>
        </w:tc>
        <w:tc>
          <w:tcPr>
            <w:tcW w:type="dxa" w:w="196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Fails for</w:t>
            </w:r>
          </w:p>
        </w:tc>
        <w:tc>
          <w:tcPr>
            <w:tcW w:type="dxa" w:w="204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Status</w:t>
            </w:r>
          </w:p>
        </w:tc>
      </w:tr>
      <w:tr>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60"/>
            </w:pPr>
            <w:r>
              <w:rPr>
                <w:rFonts w:ascii="Arial" w:cs="Arial" w:eastAsia="Arial" w:hAnsi="Arial"/>
                <w:sz w:val="20"/>
                <w:szCs w:val="20"/>
              </w:rPr>
              <w:t xml:space="preserve">Skin prick test (SPT)</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60"/>
            </w:pPr>
            <w:r>
              <w:rPr>
                <w:rFonts w:ascii="Arial" w:cs="Arial" w:eastAsia="Arial" w:hAnsi="Arial"/>
                <w:sz w:val="20"/>
                <w:szCs w:val="20"/>
              </w:rPr>
              <w:t xml:space="preserve">IgE-mediated immediate wheal response to allergen</w:t>
            </w:r>
          </w:p>
        </w:tc>
        <w:tc>
          <w:tcPr>
            <w:tcW w:type="dxa" w:w="1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60"/>
            </w:pPr>
            <w:r>
              <w:rPr>
                <w:rFonts w:ascii="Arial" w:cs="Arial" w:eastAsia="Arial" w:hAnsi="Arial"/>
                <w:sz w:val="20"/>
                <w:szCs w:val="20"/>
              </w:rPr>
              <w:t xml:space="preserve">Type I IgE-mediated allergy: peanut, shellfish, pollen, pet dander</w:t>
            </w:r>
          </w:p>
        </w:tc>
        <w:tc>
          <w:tcPr>
            <w:tcW w:type="dxa" w:w="1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60"/>
            </w:pPr>
            <w:r>
              <w:rPr>
                <w:rFonts w:ascii="Arial" w:cs="Arial" w:eastAsia="Arial" w:hAnsi="Arial"/>
                <w:sz w:val="20"/>
                <w:szCs w:val="20"/>
              </w:rPr>
              <w:t xml:space="preserve">EoE triggers, FPIES, Type III/IV reactions. False positives common for foods in pollen-sensitised patients.</w:t>
            </w:r>
          </w:p>
        </w:tc>
        <w:tc>
          <w:tcPr>
            <w:tcW w:type="dxa" w:w="20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60"/>
            </w:pPr>
            <w:r>
              <w:rPr>
                <w:rFonts w:ascii="Arial" w:cs="Arial" w:eastAsia="Arial" w:hAnsi="Arial"/>
                <w:sz w:val="20"/>
                <w:szCs w:val="20"/>
              </w:rPr>
              <w:t xml:space="preserve">Clinical standard. Do not use to diagnose EoE or FPIES triggers.</w:t>
            </w:r>
          </w:p>
        </w:tc>
      </w:tr>
      <w:tr>
        <w:tc>
          <w:tcPr>
            <w:tcW w:type="dxa" w:w="1600"/>
            <w:tcBorders>
              <w:top w:val="single" w:color="CCCCCC" w:sz="1"/>
              <w:left w:val="single" w:color="CCCCCC" w:sz="1"/>
              <w:bottom w:val="single" w:color="CCCCCC" w:sz="1"/>
              <w:right w:val="single" w:color="CCCCCC" w:sz="1"/>
            </w:tcBorders>
            <w:shd w:fill="EBF3FA" w:val="clear"/>
            <w:tcMar>
              <w:top w:type="dxa" w:w="80"/>
              <w:left w:type="dxa" w:w="120"/>
              <w:bottom w:type="dxa" w:w="80"/>
              <w:right w:type="dxa" w:w="120"/>
            </w:tcMar>
          </w:tcPr>
          <w:p>
            <w:pPr>
              <w:spacing w:after="60"/>
            </w:pPr>
            <w:r>
              <w:rPr>
                <w:rFonts w:ascii="Arial" w:cs="Arial" w:eastAsia="Arial" w:hAnsi="Arial"/>
                <w:sz w:val="20"/>
                <w:szCs w:val="20"/>
              </w:rPr>
              <w:t xml:space="preserve">Serum specific IgE (ImmunoCAP)</w:t>
            </w:r>
          </w:p>
        </w:tc>
        <w:tc>
          <w:tcPr>
            <w:tcW w:type="dxa" w:w="1800"/>
            <w:tcBorders>
              <w:top w:val="single" w:color="CCCCCC" w:sz="1"/>
              <w:left w:val="single" w:color="CCCCCC" w:sz="1"/>
              <w:bottom w:val="single" w:color="CCCCCC" w:sz="1"/>
              <w:right w:val="single" w:color="CCCCCC" w:sz="1"/>
            </w:tcBorders>
            <w:shd w:fill="EBF3FA" w:val="clear"/>
            <w:tcMar>
              <w:top w:type="dxa" w:w="80"/>
              <w:left w:type="dxa" w:w="120"/>
              <w:bottom w:type="dxa" w:w="80"/>
              <w:right w:type="dxa" w:w="120"/>
            </w:tcMar>
          </w:tcPr>
          <w:p>
            <w:pPr>
              <w:spacing w:after="60"/>
            </w:pPr>
            <w:r>
              <w:rPr>
                <w:rFonts w:ascii="Arial" w:cs="Arial" w:eastAsia="Arial" w:hAnsi="Arial"/>
                <w:sz w:val="20"/>
                <w:szCs w:val="20"/>
              </w:rPr>
              <w:t xml:space="preserve">Circulating allergen-specific IgE level</w:t>
            </w:r>
          </w:p>
        </w:tc>
        <w:tc>
          <w:tcPr>
            <w:tcW w:type="dxa" w:w="1960"/>
            <w:tcBorders>
              <w:top w:val="single" w:color="CCCCCC" w:sz="1"/>
              <w:left w:val="single" w:color="CCCCCC" w:sz="1"/>
              <w:bottom w:val="single" w:color="CCCCCC" w:sz="1"/>
              <w:right w:val="single" w:color="CCCCCC" w:sz="1"/>
            </w:tcBorders>
            <w:shd w:fill="EBF3FA" w:val="clear"/>
            <w:tcMar>
              <w:top w:type="dxa" w:w="80"/>
              <w:left w:type="dxa" w:w="120"/>
              <w:bottom w:type="dxa" w:w="80"/>
              <w:right w:type="dxa" w:w="120"/>
            </w:tcMar>
          </w:tcPr>
          <w:p>
            <w:pPr>
              <w:spacing w:after="60"/>
            </w:pPr>
            <w:r>
              <w:rPr>
                <w:rFonts w:ascii="Arial" w:cs="Arial" w:eastAsia="Arial" w:hAnsi="Arial"/>
                <w:sz w:val="20"/>
                <w:szCs w:val="20"/>
              </w:rPr>
              <w:t xml:space="preserve">Type I IgE quantification; monitoring immunotherapy response</w:t>
            </w:r>
          </w:p>
        </w:tc>
        <w:tc>
          <w:tcPr>
            <w:tcW w:type="dxa" w:w="1960"/>
            <w:tcBorders>
              <w:top w:val="single" w:color="CCCCCC" w:sz="1"/>
              <w:left w:val="single" w:color="CCCCCC" w:sz="1"/>
              <w:bottom w:val="single" w:color="CCCCCC" w:sz="1"/>
              <w:right w:val="single" w:color="CCCCCC" w:sz="1"/>
            </w:tcBorders>
            <w:shd w:fill="EBF3FA" w:val="clear"/>
            <w:tcMar>
              <w:top w:type="dxa" w:w="80"/>
              <w:left w:type="dxa" w:w="120"/>
              <w:bottom w:type="dxa" w:w="80"/>
              <w:right w:type="dxa" w:w="120"/>
            </w:tcMar>
          </w:tcPr>
          <w:p>
            <w:pPr>
              <w:spacing w:after="60"/>
            </w:pPr>
            <w:r>
              <w:rPr>
                <w:rFonts w:ascii="Arial" w:cs="Arial" w:eastAsia="Arial" w:hAnsi="Arial"/>
                <w:sz w:val="20"/>
                <w:szCs w:val="20"/>
              </w:rPr>
              <w:t xml:space="preserve">EoE, FPIES, Type IV reactions. Most EoE patients test IgE-negative to their actual triggers. High false positives in polysensitised patients.</w:t>
            </w:r>
          </w:p>
        </w:tc>
        <w:tc>
          <w:tcPr>
            <w:tcW w:type="dxa" w:w="2040"/>
            <w:tcBorders>
              <w:top w:val="single" w:color="CCCCCC" w:sz="1"/>
              <w:left w:val="single" w:color="CCCCCC" w:sz="1"/>
              <w:bottom w:val="single" w:color="CCCCCC" w:sz="1"/>
              <w:right w:val="single" w:color="CCCCCC" w:sz="1"/>
            </w:tcBorders>
            <w:shd w:fill="EBF3FA" w:val="clear"/>
            <w:tcMar>
              <w:top w:type="dxa" w:w="80"/>
              <w:left w:type="dxa" w:w="120"/>
              <w:bottom w:type="dxa" w:w="80"/>
              <w:right w:type="dxa" w:w="120"/>
            </w:tcMar>
          </w:tcPr>
          <w:p>
            <w:pPr>
              <w:spacing w:after="60"/>
            </w:pPr>
            <w:r>
              <w:rPr>
                <w:rFonts w:ascii="Arial" w:cs="Arial" w:eastAsia="Arial" w:hAnsi="Arial"/>
                <w:sz w:val="20"/>
                <w:szCs w:val="20"/>
              </w:rPr>
              <w:t xml:space="preserve">Clinical standard. Excellent for its intended use. Systematically misapplied to EoE and delayed reaction workup.</w:t>
            </w:r>
          </w:p>
        </w:tc>
      </w:tr>
      <w:tr>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60"/>
            </w:pPr>
            <w:r>
              <w:rPr>
                <w:rFonts w:ascii="Arial" w:cs="Arial" w:eastAsia="Arial" w:hAnsi="Arial"/>
                <w:sz w:val="20"/>
                <w:szCs w:val="20"/>
              </w:rPr>
              <w:t xml:space="preserve">Component-resolved diagnostics (CRD)</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60"/>
            </w:pPr>
            <w:r>
              <w:rPr>
                <w:rFonts w:ascii="Arial" w:cs="Arial" w:eastAsia="Arial" w:hAnsi="Arial"/>
                <w:sz w:val="20"/>
                <w:szCs w:val="20"/>
              </w:rPr>
              <w:t xml:space="preserve">sIgE to individual molecular allergen components (e.g. Ara h 2 for peanut, Gal d 1 for egg)</w:t>
            </w:r>
          </w:p>
        </w:tc>
        <w:tc>
          <w:tcPr>
            <w:tcW w:type="dxa" w:w="1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60"/>
            </w:pPr>
            <w:r>
              <w:rPr>
                <w:rFonts w:ascii="Arial" w:cs="Arial" w:eastAsia="Arial" w:hAnsi="Arial"/>
                <w:sz w:val="20"/>
                <w:szCs w:val="20"/>
              </w:rPr>
              <w:t xml:space="preserve">Distinguishing true sensitisation from pollen-related cross-reactivity; severity stratification (storage protein sensitisation = higher risk); immunotherapy selection</w:t>
            </w:r>
          </w:p>
        </w:tc>
        <w:tc>
          <w:tcPr>
            <w:tcW w:type="dxa" w:w="1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60"/>
            </w:pPr>
            <w:r>
              <w:rPr>
                <w:rFonts w:ascii="Arial" w:cs="Arial" w:eastAsia="Arial" w:hAnsi="Arial"/>
                <w:sz w:val="20"/>
                <w:szCs w:val="20"/>
              </w:rPr>
              <w:t xml:space="preserve">Non-IgE reactions. CRD for EoE: promising adjunct; remission rates from CRD-guided diets comparable to or lower than empiric elimination; no RCT validation</w:t>
            </w:r>
          </w:p>
        </w:tc>
        <w:tc>
          <w:tcPr>
            <w:tcW w:type="dxa" w:w="20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60"/>
            </w:pPr>
            <w:r>
              <w:rPr>
                <w:rFonts w:ascii="Arial" w:cs="Arial" w:eastAsia="Arial" w:hAnsi="Arial"/>
                <w:sz w:val="20"/>
                <w:szCs w:val="20"/>
              </w:rPr>
              <w:t xml:space="preserve">Clinical standard (specialist centres). EAACI Molecular Allergology User’s Guide 2.0 (2023) is the key reference.</w:t>
            </w:r>
          </w:p>
        </w:tc>
      </w:tr>
      <w:tr>
        <w:tc>
          <w:tcPr>
            <w:tcW w:type="dxa" w:w="1600"/>
            <w:tcBorders>
              <w:top w:val="single" w:color="CCCCCC" w:sz="1"/>
              <w:left w:val="single" w:color="CCCCCC" w:sz="1"/>
              <w:bottom w:val="single" w:color="CCCCCC" w:sz="1"/>
              <w:right w:val="single" w:color="CCCCCC" w:sz="1"/>
            </w:tcBorders>
            <w:shd w:fill="EBF3FA" w:val="clear"/>
            <w:tcMar>
              <w:top w:type="dxa" w:w="80"/>
              <w:left w:type="dxa" w:w="120"/>
              <w:bottom w:type="dxa" w:w="80"/>
              <w:right w:type="dxa" w:w="120"/>
            </w:tcMar>
          </w:tcPr>
          <w:p>
            <w:pPr>
              <w:spacing w:after="60"/>
            </w:pPr>
            <w:r>
              <w:rPr>
                <w:rFonts w:ascii="Arial" w:cs="Arial" w:eastAsia="Arial" w:hAnsi="Arial"/>
                <w:sz w:val="20"/>
                <w:szCs w:val="20"/>
              </w:rPr>
              <w:t xml:space="preserve">Basophil activation test (BAT)</w:t>
            </w:r>
          </w:p>
        </w:tc>
        <w:tc>
          <w:tcPr>
            <w:tcW w:type="dxa" w:w="1800"/>
            <w:tcBorders>
              <w:top w:val="single" w:color="CCCCCC" w:sz="1"/>
              <w:left w:val="single" w:color="CCCCCC" w:sz="1"/>
              <w:bottom w:val="single" w:color="CCCCCC" w:sz="1"/>
              <w:right w:val="single" w:color="CCCCCC" w:sz="1"/>
            </w:tcBorders>
            <w:shd w:fill="EBF3FA" w:val="clear"/>
            <w:tcMar>
              <w:top w:type="dxa" w:w="80"/>
              <w:left w:type="dxa" w:w="120"/>
              <w:bottom w:type="dxa" w:w="80"/>
              <w:right w:type="dxa" w:w="120"/>
            </w:tcMar>
          </w:tcPr>
          <w:p>
            <w:pPr>
              <w:spacing w:after="60"/>
            </w:pPr>
            <w:r>
              <w:rPr>
                <w:rFonts w:ascii="Arial" w:cs="Arial" w:eastAsia="Arial" w:hAnsi="Arial"/>
                <w:sz w:val="20"/>
                <w:szCs w:val="20"/>
              </w:rPr>
              <w:t xml:space="preserve">Ex vivo functional IgE measurement: degree of basophil degranulation (CD63/CD203c expression) after allergen stimulation by flow cytometry</w:t>
            </w:r>
          </w:p>
        </w:tc>
        <w:tc>
          <w:tcPr>
            <w:tcW w:type="dxa" w:w="1960"/>
            <w:tcBorders>
              <w:top w:val="single" w:color="CCCCCC" w:sz="1"/>
              <w:left w:val="single" w:color="CCCCCC" w:sz="1"/>
              <w:bottom w:val="single" w:color="CCCCCC" w:sz="1"/>
              <w:right w:val="single" w:color="CCCCCC" w:sz="1"/>
            </w:tcBorders>
            <w:shd w:fill="EBF3FA" w:val="clear"/>
            <w:tcMar>
              <w:top w:type="dxa" w:w="80"/>
              <w:left w:type="dxa" w:w="120"/>
              <w:bottom w:type="dxa" w:w="80"/>
              <w:right w:type="dxa" w:w="120"/>
            </w:tcMar>
          </w:tcPr>
          <w:p>
            <w:pPr>
              <w:spacing w:after="60"/>
            </w:pPr>
            <w:r>
              <w:rPr>
                <w:rFonts w:ascii="Arial" w:cs="Arial" w:eastAsia="Arial" w:hAnsi="Arial"/>
                <w:sz w:val="20"/>
                <w:szCs w:val="20"/>
              </w:rPr>
              <w:t xml:space="preserve">Second-line IgE-mediated diagnosis when SPT/sIgE equivocal; severity prediction; monitoring immunotherapy response</w:t>
            </w:r>
          </w:p>
        </w:tc>
        <w:tc>
          <w:tcPr>
            <w:tcW w:type="dxa" w:w="1960"/>
            <w:tcBorders>
              <w:top w:val="single" w:color="CCCCCC" w:sz="1"/>
              <w:left w:val="single" w:color="CCCCCC" w:sz="1"/>
              <w:bottom w:val="single" w:color="CCCCCC" w:sz="1"/>
              <w:right w:val="single" w:color="CCCCCC" w:sz="1"/>
            </w:tcBorders>
            <w:shd w:fill="EBF3FA" w:val="clear"/>
            <w:tcMar>
              <w:top w:type="dxa" w:w="80"/>
              <w:left w:type="dxa" w:w="120"/>
              <w:bottom w:type="dxa" w:w="80"/>
              <w:right w:type="dxa" w:w="120"/>
            </w:tcMar>
          </w:tcPr>
          <w:p>
            <w:pPr>
              <w:spacing w:after="60"/>
            </w:pPr>
            <w:r>
              <w:rPr>
                <w:rFonts w:ascii="Arial" w:cs="Arial" w:eastAsia="Arial" w:hAnsi="Arial"/>
                <w:sz w:val="20"/>
                <w:szCs w:val="20"/>
              </w:rPr>
              <w:t xml:space="preserve">Non-IgE reactions. BAT measures IgE-dependent basophil activation — same limitation as SPT/sIgE for non-IgE conditions.</w:t>
            </w:r>
          </w:p>
        </w:tc>
        <w:tc>
          <w:tcPr>
            <w:tcW w:type="dxa" w:w="2040"/>
            <w:tcBorders>
              <w:top w:val="single" w:color="CCCCCC" w:sz="1"/>
              <w:left w:val="single" w:color="CCCCCC" w:sz="1"/>
              <w:bottom w:val="single" w:color="CCCCCC" w:sz="1"/>
              <w:right w:val="single" w:color="CCCCCC" w:sz="1"/>
            </w:tcBorders>
            <w:shd w:fill="EBF3FA" w:val="clear"/>
            <w:tcMar>
              <w:top w:type="dxa" w:w="80"/>
              <w:left w:type="dxa" w:w="120"/>
              <w:bottom w:type="dxa" w:w="80"/>
              <w:right w:type="dxa" w:w="120"/>
            </w:tcMar>
          </w:tcPr>
          <w:p>
            <w:pPr>
              <w:spacing w:after="60"/>
            </w:pPr>
            <w:r>
              <w:rPr>
                <w:rFonts w:ascii="Arial" w:cs="Arial" w:eastAsia="Arial" w:hAnsi="Arial"/>
                <w:sz w:val="20"/>
                <w:szCs w:val="20"/>
              </w:rPr>
              <w:t xml:space="preserve">Clinical standard (guideline-included 2024; not yet universally standardised). 96–100% accuracy as second-step test for nuts/seeds. Reduces OFC need by 33–75% [Bergmann24].</w:t>
            </w:r>
          </w:p>
        </w:tc>
      </w:tr>
      <w:tr>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60"/>
            </w:pPr>
            <w:r>
              <w:rPr>
                <w:rFonts w:ascii="Arial" w:cs="Arial" w:eastAsia="Arial" w:hAnsi="Arial"/>
                <w:sz w:val="20"/>
                <w:szCs w:val="20"/>
              </w:rPr>
              <w:t xml:space="preserve">Atopy patch test (APT)</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60"/>
            </w:pPr>
            <w:r>
              <w:rPr>
                <w:rFonts w:ascii="Arial" w:cs="Arial" w:eastAsia="Arial" w:hAnsi="Arial"/>
                <w:sz w:val="20"/>
                <w:szCs w:val="20"/>
              </w:rPr>
              <w:t xml:space="preserve">Type IV (delayed cell-mediated) skin reaction to food antigen applied under occlusion for 48 h</w:t>
            </w:r>
          </w:p>
        </w:tc>
        <w:tc>
          <w:tcPr>
            <w:tcW w:type="dxa" w:w="1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60"/>
            </w:pPr>
            <w:r>
              <w:rPr>
                <w:rFonts w:ascii="Arial" w:cs="Arial" w:eastAsia="Arial" w:hAnsi="Arial"/>
                <w:sz w:val="20"/>
                <w:szCs w:val="20"/>
              </w:rPr>
              <w:t xml:space="preserve">Contact allergens (nickel, fragrance, latex). Investigational for delayed food reactions in atopic dermatitis.</w:t>
            </w:r>
          </w:p>
        </w:tc>
        <w:tc>
          <w:tcPr>
            <w:tcW w:type="dxa" w:w="1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60"/>
            </w:pPr>
            <w:r>
              <w:rPr>
                <w:rFonts w:ascii="Arial" w:cs="Arial" w:eastAsia="Arial" w:hAnsi="Arial"/>
                <w:sz w:val="20"/>
                <w:szCs w:val="20"/>
              </w:rPr>
              <w:t xml:space="preserve">Limited specificity and reproducibility for systemic delayed food reactions. Not validated for EoE trigger identification.</w:t>
            </w:r>
          </w:p>
        </w:tc>
        <w:tc>
          <w:tcPr>
            <w:tcW w:type="dxa" w:w="20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60"/>
            </w:pPr>
            <w:r>
              <w:rPr>
                <w:rFonts w:ascii="Arial" w:cs="Arial" w:eastAsia="Arial" w:hAnsi="Arial"/>
                <w:sz w:val="20"/>
                <w:szCs w:val="20"/>
              </w:rPr>
              <w:t xml:space="preserve">Clinical standard (contact allergens). Investigational hypothesis for non-contact food reactions.</w:t>
            </w:r>
          </w:p>
        </w:tc>
      </w:tr>
      <w:tr>
        <w:tc>
          <w:tcPr>
            <w:tcW w:type="dxa" w:w="1600"/>
            <w:tcBorders>
              <w:top w:val="single" w:color="CCCCCC" w:sz="1"/>
              <w:left w:val="single" w:color="CCCCCC" w:sz="1"/>
              <w:bottom w:val="single" w:color="CCCCCC" w:sz="1"/>
              <w:right w:val="single" w:color="CCCCCC" w:sz="1"/>
            </w:tcBorders>
            <w:shd w:fill="EBF3FA" w:val="clear"/>
            <w:tcMar>
              <w:top w:type="dxa" w:w="80"/>
              <w:left w:type="dxa" w:w="120"/>
              <w:bottom w:type="dxa" w:w="80"/>
              <w:right w:type="dxa" w:w="120"/>
            </w:tcMar>
          </w:tcPr>
          <w:p>
            <w:pPr>
              <w:spacing w:after="60"/>
            </w:pPr>
            <w:r>
              <w:rPr>
                <w:rFonts w:ascii="Arial" w:cs="Arial" w:eastAsia="Arial" w:hAnsi="Arial"/>
                <w:sz w:val="20"/>
                <w:szCs w:val="20"/>
              </w:rPr>
              <w:t xml:space="preserve">Oral food challenge (OFC)</w:t>
            </w:r>
          </w:p>
        </w:tc>
        <w:tc>
          <w:tcPr>
            <w:tcW w:type="dxa" w:w="1800"/>
            <w:tcBorders>
              <w:top w:val="single" w:color="CCCCCC" w:sz="1"/>
              <w:left w:val="single" w:color="CCCCCC" w:sz="1"/>
              <w:bottom w:val="single" w:color="CCCCCC" w:sz="1"/>
              <w:right w:val="single" w:color="CCCCCC" w:sz="1"/>
            </w:tcBorders>
            <w:shd w:fill="EBF3FA" w:val="clear"/>
            <w:tcMar>
              <w:top w:type="dxa" w:w="80"/>
              <w:left w:type="dxa" w:w="120"/>
              <w:bottom w:type="dxa" w:w="80"/>
              <w:right w:type="dxa" w:w="120"/>
            </w:tcMar>
          </w:tcPr>
          <w:p>
            <w:pPr>
              <w:spacing w:after="60"/>
            </w:pPr>
            <w:r>
              <w:rPr>
                <w:rFonts w:ascii="Arial" w:cs="Arial" w:eastAsia="Arial" w:hAnsi="Arial"/>
                <w:sz w:val="20"/>
                <w:szCs w:val="20"/>
              </w:rPr>
              <w:t xml:space="preserve">Supervised clinical reaction to graded doses of suspected trigger food</w:t>
            </w:r>
          </w:p>
        </w:tc>
        <w:tc>
          <w:tcPr>
            <w:tcW w:type="dxa" w:w="1960"/>
            <w:tcBorders>
              <w:top w:val="single" w:color="CCCCCC" w:sz="1"/>
              <w:left w:val="single" w:color="CCCCCC" w:sz="1"/>
              <w:bottom w:val="single" w:color="CCCCCC" w:sz="1"/>
              <w:right w:val="single" w:color="CCCCCC" w:sz="1"/>
            </w:tcBorders>
            <w:shd w:fill="EBF3FA" w:val="clear"/>
            <w:tcMar>
              <w:top w:type="dxa" w:w="80"/>
              <w:left w:type="dxa" w:w="120"/>
              <w:bottom w:type="dxa" w:w="80"/>
              <w:right w:type="dxa" w:w="120"/>
            </w:tcMar>
          </w:tcPr>
          <w:p>
            <w:pPr>
              <w:spacing w:after="60"/>
            </w:pPr>
            <w:r>
              <w:rPr>
                <w:rFonts w:ascii="Arial" w:cs="Arial" w:eastAsia="Arial" w:hAnsi="Arial"/>
                <w:sz w:val="20"/>
                <w:szCs w:val="20"/>
              </w:rPr>
              <w:t xml:space="preserve">Gold standard for IgE and non-IgE food allergy diagnosis and confirmation</w:t>
            </w:r>
          </w:p>
        </w:tc>
        <w:tc>
          <w:tcPr>
            <w:tcW w:type="dxa" w:w="1960"/>
            <w:tcBorders>
              <w:top w:val="single" w:color="CCCCCC" w:sz="1"/>
              <w:left w:val="single" w:color="CCCCCC" w:sz="1"/>
              <w:bottom w:val="single" w:color="CCCCCC" w:sz="1"/>
              <w:right w:val="single" w:color="CCCCCC" w:sz="1"/>
            </w:tcBorders>
            <w:shd w:fill="EBF3FA" w:val="clear"/>
            <w:tcMar>
              <w:top w:type="dxa" w:w="80"/>
              <w:left w:type="dxa" w:w="120"/>
              <w:bottom w:type="dxa" w:w="80"/>
              <w:right w:type="dxa" w:w="120"/>
            </w:tcMar>
          </w:tcPr>
          <w:p>
            <w:pPr>
              <w:spacing w:after="60"/>
            </w:pPr>
            <w:r>
              <w:rPr>
                <w:rFonts w:ascii="Arial" w:cs="Arial" w:eastAsia="Arial" w:hAnsi="Arial"/>
                <w:sz w:val="20"/>
                <w:szCs w:val="20"/>
              </w:rPr>
              <w:t xml:space="preserve">Impractical for routine monitoring. Risk of severe reaction. Cannot distinguish EoE triggers without concurrent endoscopy.</w:t>
            </w:r>
          </w:p>
        </w:tc>
        <w:tc>
          <w:tcPr>
            <w:tcW w:type="dxa" w:w="2040"/>
            <w:tcBorders>
              <w:top w:val="single" w:color="CCCCCC" w:sz="1"/>
              <w:left w:val="single" w:color="CCCCCC" w:sz="1"/>
              <w:bottom w:val="single" w:color="CCCCCC" w:sz="1"/>
              <w:right w:val="single" w:color="CCCCCC" w:sz="1"/>
            </w:tcBorders>
            <w:shd w:fill="EBF3FA" w:val="clear"/>
            <w:tcMar>
              <w:top w:type="dxa" w:w="80"/>
              <w:left w:type="dxa" w:w="120"/>
              <w:bottom w:type="dxa" w:w="80"/>
              <w:right w:type="dxa" w:w="120"/>
            </w:tcMar>
          </w:tcPr>
          <w:p>
            <w:pPr>
              <w:spacing w:after="60"/>
            </w:pPr>
            <w:r>
              <w:rPr>
                <w:rFonts w:ascii="Arial" w:cs="Arial" w:eastAsia="Arial" w:hAnsi="Arial"/>
                <w:sz w:val="20"/>
                <w:szCs w:val="20"/>
              </w:rPr>
              <w:t xml:space="preserve">Clinical gold standard. PRACTALL guidelines are the reference protocol.</w:t>
            </w:r>
          </w:p>
        </w:tc>
      </w:tr>
      <w:tr>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60"/>
            </w:pPr>
            <w:r>
              <w:rPr>
                <w:rFonts w:ascii="Arial" w:cs="Arial" w:eastAsia="Arial" w:hAnsi="Arial"/>
                <w:sz w:val="20"/>
                <w:szCs w:val="20"/>
              </w:rPr>
              <w:t xml:space="preserve">Elimination diet + endoscopy/biopsy</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60"/>
            </w:pPr>
            <w:r>
              <w:rPr>
                <w:rFonts w:ascii="Arial" w:cs="Arial" w:eastAsia="Arial" w:hAnsi="Arial"/>
                <w:sz w:val="20"/>
                <w:szCs w:val="20"/>
              </w:rPr>
              <w:t xml:space="preserve">Tissue eosinophil density response to antigen removal</w:t>
            </w:r>
          </w:p>
        </w:tc>
        <w:tc>
          <w:tcPr>
            <w:tcW w:type="dxa" w:w="1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60"/>
            </w:pPr>
            <w:r>
              <w:rPr>
                <w:rFonts w:ascii="Arial" w:cs="Arial" w:eastAsia="Arial" w:hAnsi="Arial"/>
                <w:sz w:val="20"/>
                <w:szCs w:val="20"/>
              </w:rPr>
              <w:t xml:space="preserve">EoE trigger identification and remission confirmation</w:t>
            </w:r>
          </w:p>
        </w:tc>
        <w:tc>
          <w:tcPr>
            <w:tcW w:type="dxa" w:w="1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60"/>
            </w:pPr>
            <w:r>
              <w:rPr>
                <w:rFonts w:ascii="Arial" w:cs="Arial" w:eastAsia="Arial" w:hAnsi="Arial"/>
                <w:sz w:val="20"/>
                <w:szCs w:val="20"/>
              </w:rPr>
              <w:t xml:space="preserve">Cannot identify trigger without food reintroduction steps. Invasive. 6-week minimum per food category.</w:t>
            </w:r>
          </w:p>
        </w:tc>
        <w:tc>
          <w:tcPr>
            <w:tcW w:type="dxa" w:w="20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60"/>
            </w:pPr>
            <w:r>
              <w:rPr>
                <w:rFonts w:ascii="Arial" w:cs="Arial" w:eastAsia="Arial" w:hAnsi="Arial"/>
                <w:sz w:val="20"/>
                <w:szCs w:val="20"/>
              </w:rPr>
              <w:t xml:space="preserve">Clinical standard for EoE. Step-up approach (1FED → 4FED) evidence-based [Kliewer23, Rothenberg24].</w:t>
            </w:r>
          </w:p>
        </w:tc>
      </w:tr>
      <w:tr>
        <w:tc>
          <w:tcPr>
            <w:tcW w:type="dxa" w:w="1600"/>
            <w:tcBorders>
              <w:top w:val="single" w:color="CCCCCC" w:sz="1"/>
              <w:left w:val="single" w:color="CCCCCC" w:sz="1"/>
              <w:bottom w:val="single" w:color="CCCCCC" w:sz="1"/>
              <w:right w:val="single" w:color="CCCCCC" w:sz="1"/>
            </w:tcBorders>
            <w:shd w:fill="EBF3FA" w:val="clear"/>
            <w:tcMar>
              <w:top w:type="dxa" w:w="80"/>
              <w:left w:type="dxa" w:w="120"/>
              <w:bottom w:type="dxa" w:w="80"/>
              <w:right w:type="dxa" w:w="120"/>
            </w:tcMar>
          </w:tcPr>
          <w:p>
            <w:pPr>
              <w:spacing w:after="60"/>
            </w:pPr>
            <w:r>
              <w:rPr>
                <w:rFonts w:ascii="Arial" w:cs="Arial" w:eastAsia="Arial" w:hAnsi="Arial"/>
                <w:sz w:val="20"/>
                <w:szCs w:val="20"/>
              </w:rPr>
              <w:t xml:space="preserve">Serum eotaxin-3 (CCL26)</w:t>
            </w:r>
          </w:p>
        </w:tc>
        <w:tc>
          <w:tcPr>
            <w:tcW w:type="dxa" w:w="1800"/>
            <w:tcBorders>
              <w:top w:val="single" w:color="CCCCCC" w:sz="1"/>
              <w:left w:val="single" w:color="CCCCCC" w:sz="1"/>
              <w:bottom w:val="single" w:color="CCCCCC" w:sz="1"/>
              <w:right w:val="single" w:color="CCCCCC" w:sz="1"/>
            </w:tcBorders>
            <w:shd w:fill="EBF3FA" w:val="clear"/>
            <w:tcMar>
              <w:top w:type="dxa" w:w="80"/>
              <w:left w:type="dxa" w:w="120"/>
              <w:bottom w:type="dxa" w:w="80"/>
              <w:right w:type="dxa" w:w="120"/>
            </w:tcMar>
          </w:tcPr>
          <w:p>
            <w:pPr>
              <w:spacing w:after="60"/>
            </w:pPr>
            <w:r>
              <w:rPr>
                <w:rFonts w:ascii="Arial" w:cs="Arial" w:eastAsia="Arial" w:hAnsi="Arial"/>
                <w:sz w:val="20"/>
                <w:szCs w:val="20"/>
              </w:rPr>
              <w:t xml:space="preserve">IL-13-driven esophageal epithelial cell production; correlates with tissue eosinophil density [Blanchard06]; proposed to rise before eosinophil threshold crossing during food reintroduction — biomarker window not yet validated in prospective human kinetics study</w:t>
            </w:r>
          </w:p>
        </w:tc>
        <w:tc>
          <w:tcPr>
            <w:tcW w:type="dxa" w:w="1960"/>
            <w:tcBorders>
              <w:top w:val="single" w:color="CCCCCC" w:sz="1"/>
              <w:left w:val="single" w:color="CCCCCC" w:sz="1"/>
              <w:bottom w:val="single" w:color="CCCCCC" w:sz="1"/>
              <w:right w:val="single" w:color="CCCCCC" w:sz="1"/>
            </w:tcBorders>
            <w:shd w:fill="EBF3FA" w:val="clear"/>
            <w:tcMar>
              <w:top w:type="dxa" w:w="80"/>
              <w:left w:type="dxa" w:w="120"/>
              <w:bottom w:type="dxa" w:w="80"/>
              <w:right w:type="dxa" w:w="120"/>
            </w:tcMar>
          </w:tcPr>
          <w:p>
            <w:pPr>
              <w:spacing w:after="60"/>
            </w:pPr>
            <w:r>
              <w:rPr>
                <w:rFonts w:ascii="Arial" w:cs="Arial" w:eastAsia="Arial" w:hAnsi="Arial"/>
                <w:sz w:val="20"/>
                <w:szCs w:val="20"/>
              </w:rPr>
              <w:t xml:space="preserve">EoE food reintroduction monitoring; upstream disease activity marker</w:t>
            </w:r>
          </w:p>
        </w:tc>
        <w:tc>
          <w:tcPr>
            <w:tcW w:type="dxa" w:w="1960"/>
            <w:tcBorders>
              <w:top w:val="single" w:color="CCCCCC" w:sz="1"/>
              <w:left w:val="single" w:color="CCCCCC" w:sz="1"/>
              <w:bottom w:val="single" w:color="CCCCCC" w:sz="1"/>
              <w:right w:val="single" w:color="CCCCCC" w:sz="1"/>
            </w:tcBorders>
            <w:shd w:fill="EBF3FA" w:val="clear"/>
            <w:tcMar>
              <w:top w:type="dxa" w:w="80"/>
              <w:left w:type="dxa" w:w="120"/>
              <w:bottom w:type="dxa" w:w="80"/>
              <w:right w:type="dxa" w:w="120"/>
            </w:tcMar>
          </w:tcPr>
          <w:p>
            <w:pPr>
              <w:spacing w:after="60"/>
            </w:pPr>
            <w:r>
              <w:rPr>
                <w:rFonts w:ascii="Arial" w:cs="Arial" w:eastAsia="Arial" w:hAnsi="Arial"/>
                <w:sz w:val="20"/>
                <w:szCs w:val="20"/>
              </w:rPr>
              <w:t xml:space="preserve">No validated clinical cutoff. Not standardised. Not in routine clinical use.</w:t>
            </w:r>
          </w:p>
        </w:tc>
        <w:tc>
          <w:tcPr>
            <w:tcW w:type="dxa" w:w="2040"/>
            <w:tcBorders>
              <w:top w:val="single" w:color="CCCCCC" w:sz="1"/>
              <w:left w:val="single" w:color="CCCCCC" w:sz="1"/>
              <w:bottom w:val="single" w:color="CCCCCC" w:sz="1"/>
              <w:right w:val="single" w:color="CCCCCC" w:sz="1"/>
            </w:tcBorders>
            <w:shd w:fill="EBF3FA" w:val="clear"/>
            <w:tcMar>
              <w:top w:type="dxa" w:w="80"/>
              <w:left w:type="dxa" w:w="120"/>
              <w:bottom w:type="dxa" w:w="80"/>
              <w:right w:type="dxa" w:w="120"/>
            </w:tcMar>
          </w:tcPr>
          <w:p>
            <w:pPr>
              <w:spacing w:after="60"/>
            </w:pPr>
            <w:r>
              <w:rPr>
                <w:rFonts w:ascii="Arial" w:cs="Arial" w:eastAsia="Arial" w:hAnsi="Arial"/>
                <w:sz w:val="20"/>
                <w:szCs w:val="20"/>
              </w:rPr>
              <w:t xml:space="preserve">Translational marker (investigational). Highest near-term priority for non-invasive EoE monitoring.</w:t>
            </w:r>
          </w:p>
        </w:tc>
      </w:tr>
      <w:tr>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60"/>
            </w:pPr>
            <w:r>
              <w:rPr>
                <w:rFonts w:ascii="Arial" w:cs="Arial" w:eastAsia="Arial" w:hAnsi="Arial"/>
                <w:sz w:val="20"/>
                <w:szCs w:val="20"/>
              </w:rPr>
              <w:t xml:space="preserve">Mucosal impedance (MI)</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60"/>
            </w:pPr>
            <w:r>
              <w:rPr>
                <w:rFonts w:ascii="Arial" w:cs="Arial" w:eastAsia="Arial" w:hAnsi="Arial"/>
                <w:sz w:val="20"/>
                <w:szCs w:val="20"/>
              </w:rPr>
              <w:t xml:space="preserve">Electrical resistance of esophageal epithelium; low impedance = dilated intercellular spaces = barrier dysfunction</w:t>
            </w:r>
          </w:p>
        </w:tc>
        <w:tc>
          <w:tcPr>
            <w:tcW w:type="dxa" w:w="1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60"/>
            </w:pPr>
            <w:r>
              <w:rPr>
                <w:rFonts w:ascii="Arial" w:cs="Arial" w:eastAsia="Arial" w:hAnsi="Arial"/>
                <w:sz w:val="20"/>
                <w:szCs w:val="20"/>
              </w:rPr>
              <w:t xml:space="preserve">Detecting EoE barrier dysfunction before eosinophil threshold crossing; monitoring repair</w:t>
            </w:r>
          </w:p>
        </w:tc>
        <w:tc>
          <w:tcPr>
            <w:tcW w:type="dxa" w:w="1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60"/>
            </w:pPr>
            <w:r>
              <w:rPr>
                <w:rFonts w:ascii="Arial" w:cs="Arial" w:eastAsia="Arial" w:hAnsi="Arial"/>
                <w:sz w:val="20"/>
                <w:szCs w:val="20"/>
              </w:rPr>
              <w:t xml:space="preserve">Requires specialised equipment. Not in routine clinical use. No standardised reference ranges.</w:t>
            </w:r>
          </w:p>
        </w:tc>
        <w:tc>
          <w:tcPr>
            <w:tcW w:type="dxa" w:w="20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60"/>
            </w:pPr>
            <w:r>
              <w:rPr>
                <w:rFonts w:ascii="Arial" w:cs="Arial" w:eastAsia="Arial" w:hAnsi="Arial"/>
                <w:sz w:val="20"/>
                <w:szCs w:val="20"/>
              </w:rPr>
              <w:t xml:space="preserve">Translational marker (investigational). Available at academic gastroenterology centres.</w:t>
            </w:r>
          </w:p>
        </w:tc>
      </w:tr>
      <w:tr>
        <w:tc>
          <w:tcPr>
            <w:tcW w:type="dxa" w:w="1600"/>
            <w:tcBorders>
              <w:top w:val="single" w:color="CCCCCC" w:sz="1"/>
              <w:left w:val="single" w:color="CCCCCC" w:sz="1"/>
              <w:bottom w:val="single" w:color="CCCCCC" w:sz="1"/>
              <w:right w:val="single" w:color="CCCCCC" w:sz="1"/>
            </w:tcBorders>
            <w:shd w:fill="EBF3FA" w:val="clear"/>
            <w:tcMar>
              <w:top w:type="dxa" w:w="80"/>
              <w:left w:type="dxa" w:w="120"/>
              <w:bottom w:type="dxa" w:w="80"/>
              <w:right w:type="dxa" w:w="120"/>
            </w:tcMar>
          </w:tcPr>
          <w:p>
            <w:pPr>
              <w:spacing w:after="60"/>
            </w:pPr>
            <w:r>
              <w:rPr>
                <w:rFonts w:ascii="Arial" w:cs="Arial" w:eastAsia="Arial" w:hAnsi="Arial"/>
                <w:sz w:val="20"/>
                <w:szCs w:val="20"/>
              </w:rPr>
              <w:t xml:space="preserve">Serum precipitins (IgG to antigen)</w:t>
            </w:r>
          </w:p>
        </w:tc>
        <w:tc>
          <w:tcPr>
            <w:tcW w:type="dxa" w:w="1800"/>
            <w:tcBorders>
              <w:top w:val="single" w:color="CCCCCC" w:sz="1"/>
              <w:left w:val="single" w:color="CCCCCC" w:sz="1"/>
              <w:bottom w:val="single" w:color="CCCCCC" w:sz="1"/>
              <w:right w:val="single" w:color="CCCCCC" w:sz="1"/>
            </w:tcBorders>
            <w:shd w:fill="EBF3FA" w:val="clear"/>
            <w:tcMar>
              <w:top w:type="dxa" w:w="80"/>
              <w:left w:type="dxa" w:w="120"/>
              <w:bottom w:type="dxa" w:w="80"/>
              <w:right w:type="dxa" w:w="120"/>
            </w:tcMar>
          </w:tcPr>
          <w:p>
            <w:pPr>
              <w:spacing w:after="60"/>
            </w:pPr>
            <w:r>
              <w:rPr>
                <w:rFonts w:ascii="Arial" w:cs="Arial" w:eastAsia="Arial" w:hAnsi="Arial"/>
                <w:sz w:val="20"/>
                <w:szCs w:val="20"/>
              </w:rPr>
              <w:t xml:space="preserve">Accumulated IgG antibody to causative antigen (Type III response)</w:t>
            </w:r>
          </w:p>
        </w:tc>
        <w:tc>
          <w:tcPr>
            <w:tcW w:type="dxa" w:w="1960"/>
            <w:tcBorders>
              <w:top w:val="single" w:color="CCCCCC" w:sz="1"/>
              <w:left w:val="single" w:color="CCCCCC" w:sz="1"/>
              <w:bottom w:val="single" w:color="CCCCCC" w:sz="1"/>
              <w:right w:val="single" w:color="CCCCCC" w:sz="1"/>
            </w:tcBorders>
            <w:shd w:fill="EBF3FA" w:val="clear"/>
            <w:tcMar>
              <w:top w:type="dxa" w:w="80"/>
              <w:left w:type="dxa" w:w="120"/>
              <w:bottom w:type="dxa" w:w="80"/>
              <w:right w:type="dxa" w:w="120"/>
            </w:tcMar>
          </w:tcPr>
          <w:p>
            <w:pPr>
              <w:spacing w:after="60"/>
            </w:pPr>
            <w:r>
              <w:rPr>
                <w:rFonts w:ascii="Arial" w:cs="Arial" w:eastAsia="Arial" w:hAnsi="Arial"/>
                <w:sz w:val="20"/>
                <w:szCs w:val="20"/>
              </w:rPr>
              <w:t xml:space="preserve">Hypersensitivity pneumonitis (farmer’s lung, bird fancier’s lung)</w:t>
            </w:r>
          </w:p>
        </w:tc>
        <w:tc>
          <w:tcPr>
            <w:tcW w:type="dxa" w:w="1960"/>
            <w:tcBorders>
              <w:top w:val="single" w:color="CCCCCC" w:sz="1"/>
              <w:left w:val="single" w:color="CCCCCC" w:sz="1"/>
              <w:bottom w:val="single" w:color="CCCCCC" w:sz="1"/>
              <w:right w:val="single" w:color="CCCCCC" w:sz="1"/>
            </w:tcBorders>
            <w:shd w:fill="EBF3FA" w:val="clear"/>
            <w:tcMar>
              <w:top w:type="dxa" w:w="80"/>
              <w:left w:type="dxa" w:w="120"/>
              <w:bottom w:type="dxa" w:w="80"/>
              <w:right w:type="dxa" w:w="120"/>
            </w:tcMar>
          </w:tcPr>
          <w:p>
            <w:pPr>
              <w:spacing w:after="60"/>
            </w:pPr>
            <w:r>
              <w:rPr>
                <w:rFonts w:ascii="Arial" w:cs="Arial" w:eastAsia="Arial" w:hAnsi="Arial"/>
                <w:sz w:val="20"/>
                <w:szCs w:val="20"/>
              </w:rPr>
              <w:t xml:space="preserve">Not useful for IgE-mediated or non-IgE food reactions.</w:t>
            </w:r>
          </w:p>
        </w:tc>
        <w:tc>
          <w:tcPr>
            <w:tcW w:type="dxa" w:w="2040"/>
            <w:tcBorders>
              <w:top w:val="single" w:color="CCCCCC" w:sz="1"/>
              <w:left w:val="single" w:color="CCCCCC" w:sz="1"/>
              <w:bottom w:val="single" w:color="CCCCCC" w:sz="1"/>
              <w:right w:val="single" w:color="CCCCCC" w:sz="1"/>
            </w:tcBorders>
            <w:shd w:fill="EBF3FA" w:val="clear"/>
            <w:tcMar>
              <w:top w:type="dxa" w:w="80"/>
              <w:left w:type="dxa" w:w="120"/>
              <w:bottom w:type="dxa" w:w="80"/>
              <w:right w:type="dxa" w:w="120"/>
            </w:tcMar>
          </w:tcPr>
          <w:p>
            <w:pPr>
              <w:spacing w:after="60"/>
            </w:pPr>
            <w:r>
              <w:rPr>
                <w:rFonts w:ascii="Arial" w:cs="Arial" w:eastAsia="Arial" w:hAnsi="Arial"/>
                <w:sz w:val="20"/>
                <w:szCs w:val="20"/>
              </w:rPr>
              <w:t xml:space="preserve">Clinical standard for HP workup.</w:t>
            </w:r>
          </w:p>
        </w:tc>
      </w:tr>
      <w:tr>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60"/>
            </w:pPr>
            <w:r>
              <w:rPr>
                <w:rFonts w:ascii="Arial" w:cs="Arial" w:eastAsia="Arial" w:hAnsi="Arial"/>
                <w:sz w:val="20"/>
                <w:szCs w:val="20"/>
              </w:rPr>
              <w:t xml:space="preserve">HLA pharmacogenomics</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60"/>
            </w:pPr>
            <w:r>
              <w:rPr>
                <w:rFonts w:ascii="Arial" w:cs="Arial" w:eastAsia="Arial" w:hAnsi="Arial"/>
                <w:sz w:val="20"/>
                <w:szCs w:val="20"/>
              </w:rPr>
              <w:t xml:space="preserve">Presence of high-risk HLA alleles (B*57:01, B*15:02, B*58:01)</w:t>
            </w:r>
          </w:p>
        </w:tc>
        <w:tc>
          <w:tcPr>
            <w:tcW w:type="dxa" w:w="1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60"/>
            </w:pPr>
            <w:r>
              <w:rPr>
                <w:rFonts w:ascii="Arial" w:cs="Arial" w:eastAsia="Arial" w:hAnsi="Arial"/>
                <w:sz w:val="20"/>
                <w:szCs w:val="20"/>
              </w:rPr>
              <w:t xml:space="preserve">Preventing Type IV drug reactions: abacavir (HLA-B*57:01), carbamazepine (B*15:02), allopurinol (B*58:01, full SCAR spectrum: SJS/TEN + DRESS) before prescribing</w:t>
            </w:r>
          </w:p>
        </w:tc>
        <w:tc>
          <w:tcPr>
            <w:tcW w:type="dxa" w:w="1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60"/>
            </w:pPr>
            <w:r>
              <w:rPr>
                <w:rFonts w:ascii="Arial" w:cs="Arial" w:eastAsia="Arial" w:hAnsi="Arial"/>
                <w:sz w:val="20"/>
                <w:szCs w:val="20"/>
              </w:rPr>
              <w:t xml:space="preserve">Does not diagnose established reactions.</w:t>
            </w:r>
          </w:p>
        </w:tc>
        <w:tc>
          <w:tcPr>
            <w:tcW w:type="dxa" w:w="20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60"/>
            </w:pPr>
            <w:r>
              <w:rPr>
                <w:rFonts w:ascii="Arial" w:cs="Arial" w:eastAsia="Arial" w:hAnsi="Arial"/>
                <w:sz w:val="20"/>
                <w:szCs w:val="20"/>
              </w:rPr>
              <w:t xml:space="preserve">Clinical standard (abacavir, carbamazepine). Recommended for allopurinol.</w:t>
            </w:r>
          </w:p>
        </w:tc>
      </w:tr>
    </w:tbl>
    <w:p>
      <w:pPr>
        <w:spacing w:after="160"/>
      </w:pPr>
      <w:r>
        <w:rPr>
          <w:rFonts w:ascii="Arial" w:cs="Arial" w:eastAsia="Arial" w:hAnsi="Arial"/>
          <w:sz w:val="24"/>
          <w:szCs w:val="24"/>
        </w:rPr>
        <w:t xml:space="preserve">Table 3. Diagnostic tools for hypersensitivity reactions. The critical structural point: tests in the upper half of the table (SPT, sIgE, CRD, BAT) all measure IgE-dependent biology and have excellent performance for Type I reactions but fail for non-IgE conditions. Tests in the lower half address the mechanisms that are actually operating in delayed and non-IgE reactions.</w:t>
      </w:r>
    </w:p>
    <w:p>
      <w:pPr>
        <w:pStyle w:val="Heading2"/>
        <w:spacing w:before="280" w:after="140"/>
      </w:pPr>
      <w:r>
        <w:rPr>
          <w:rFonts w:ascii="Arial" w:cs="Arial" w:eastAsia="Arial" w:hAnsi="Arial"/>
          <w:b/>
          <w:bCs/>
          <w:sz w:val="28"/>
          <w:szCs w:val="28"/>
        </w:rPr>
        <w:t xml:space="preserve">§5.2 Component-Resolved Diagnostics: Precision Within IgE Testing</w:t>
      </w:r>
    </w:p>
    <w:p>
      <w:pPr>
        <w:spacing w:after="160"/>
      </w:pPr>
      <w:r>
        <w:rPr>
          <w:rFonts w:ascii="Arial" w:cs="Arial" w:eastAsia="Arial" w:hAnsi="Arial"/>
          <w:sz w:val="24"/>
          <w:szCs w:val="24"/>
        </w:rPr>
        <w:t xml:space="preserve">For IgE-mediated reactions, component-resolved diagnostics (CRD) represent a major upgrade over extract-based testing. Standard SPT and sIgE tests use crude allergen extracts that contain multiple proteins, some of which cross-react with unrelated allergens (particularly birch pollen-related PR-10 proteins, found in apple, hazelnut, carrot, and soy). A patient with birch pollen allergy will test positive to hazelnut extract even if they tolerate hazelnuts — because their sIgE is against the cross-reactive Bet v 1 homologue, not the primary hazelnut allergens. CRD resolves this: sensitisation to Cor a 9 (hazelnut storage protein) predicts genuine hazelnut allergy with risk of systemic reaction; sensitisation only to Cor a 1 (Bet v 1 homologue) predicts pollen-related oral allergy syndrome, typically mild [EAACI-MAUG23].</w:t>
      </w:r>
    </w:p>
    <w:p>
      <w:pPr>
        <w:spacing w:after="160"/>
      </w:pPr>
      <w:r>
        <w:rPr>
          <w:rFonts w:ascii="Arial" w:cs="Arial" w:eastAsia="Arial" w:hAnsi="Arial"/>
          <w:sz w:val="24"/>
          <w:szCs w:val="24"/>
        </w:rPr>
        <w:t xml:space="preserve">The EAACI Molecular Allergology User’s Guide 2.0 (2023) is the current reference for CRD clinical application across food, aeroallergen, venom, and drug allergies. Key clinical applications include: distinguishing genuine sensitisation from cross-reactivity in polysensitised patients; severity stratification (storage protein and lipid transfer protein sensitisations predict systemic reactions; PR-10 sensitisations predict mild local symptoms); and selecting appropriate allergen immunotherapy components. CRD is increasingly incorporated into routine diagnostics at specialised allergy centres, though interpretive guidance for ordering clinicians remains a limiting factor.</w:t>
      </w:r>
    </w:p>
    <w:p>
      <w:pPr>
        <w:spacing w:after="160"/>
      </w:pPr>
      <w:r>
        <w:rPr>
          <w:rFonts w:ascii="Arial" w:cs="Arial" w:eastAsia="Arial" w:hAnsi="Arial"/>
          <w:sz w:val="24"/>
          <w:szCs w:val="24"/>
        </w:rPr>
        <w:t xml:space="preserve">For EoE specifically, CRD remains an adjunctive rather than definitive tool. A 2024 narrative review found that CRD-guided dietary management in EoE shows improved sensitivity for identifying relevant sensitisations compared to conventional testing, but remission rates from CRD-guided diets remain comparable to or slightly lower than empiric elimination. The conclusion: CRD is a promising adjunct that may reduce unnecessary food exclusions, but is not ready to replace empiric step-up dietary strategies — no prospective RCT of CRD-guided elimination against empiric step-up has been completed. Empiric 1FED (milk elimination) remains the evidence-based first step.</w:t>
      </w:r>
    </w:p>
    <w:p>
      <w:pPr>
        <w:pStyle w:val="Heading2"/>
        <w:spacing w:before="280" w:after="140"/>
      </w:pPr>
      <w:r>
        <w:rPr>
          <w:rFonts w:ascii="Arial" w:cs="Arial" w:eastAsia="Arial" w:hAnsi="Arial"/>
          <w:b/>
          <w:bCs/>
          <w:sz w:val="28"/>
          <w:szCs w:val="28"/>
        </w:rPr>
        <w:t xml:space="preserve">§5.3 Basophil Activation Testing: A Functional Advance for IgE Reactions</w:t>
      </w:r>
    </w:p>
    <w:p>
      <w:pPr>
        <w:spacing w:after="160"/>
      </w:pPr>
      <w:r>
        <w:rPr>
          <w:rFonts w:ascii="Arial" w:cs="Arial" w:eastAsia="Arial" w:hAnsi="Arial"/>
          <w:sz w:val="24"/>
          <w:szCs w:val="24"/>
        </w:rPr>
        <w:t xml:space="preserve">The basophil activation test (BAT) is a flow cytometry assay that measures the expression of activation markers (CD63, CD203c) on blood basophils after ex vivo stimulation with specific allergens. Unlike SPT and sIgE, which measure the presence of IgE, BAT measures whether bound IgE is functionally active — whether it actually triggers basophil degranulation at the allergen concentrations tested. This makes BAT more specific than SPT/sIgE: a patient who has IgE to an allergen but whose basophils do not degranulate in response is likely sensitised but not clinically allergic [Bergmann24].</w:t>
      </w:r>
    </w:p>
    <w:p>
      <w:pPr>
        <w:spacing w:after="160"/>
      </w:pPr>
      <w:r>
        <w:rPr>
          <w:rFonts w:ascii="Arial" w:cs="Arial" w:eastAsia="Arial" w:hAnsi="Arial"/>
          <w:sz w:val="24"/>
          <w:szCs w:val="24"/>
        </w:rPr>
        <w:t xml:space="preserve">As of 2024, BAT has been included in clinical guidelines for food allergy diagnosis. Its primary utility is as a second-line test when SPT and sIgE are equivocal. When used in this position for nut and seed allergies, BAT demonstrates 96–100% diagnostic accuracy and reduces the need for oral food challenge by 33–75%. A positive BAT confirms allergy with high certainty (high specificity); a negative BAT does not exclude allergy and may still require OFC [Santos21]. BAT also predicts reaction severity: higher basophil reactivity correlates with lower threshold and more severe reactions. For monitoring, BAT decreases during successful allergen immunotherapy and omalizumab treatment.</w:t>
      </w:r>
    </w:p>
    <w:p>
      <w:pPr>
        <w:spacing w:after="160"/>
      </w:pPr>
      <w:r>
        <w:rPr>
          <w:rFonts w:ascii="Arial" w:cs="Arial" w:eastAsia="Arial" w:hAnsi="Arial"/>
          <w:sz w:val="24"/>
          <w:szCs w:val="24"/>
        </w:rPr>
        <w:t xml:space="preserve">The limitation for this paper’s primary focus: BAT measures IgE-dependent basophil activation. It is subject to the same fundamental limitation as SPT and sIgE for non-IgE conditions. EoE patients with negative sIgE will also have negative BAT to their trigger foods, because the EoE mechanism does not use IgE-crosslinking of basophils. BAT is an important advance for IgE-mediated allergy diagnostics but does not address the diagnostic gap for non-IgE reactions.</w:t>
      </w:r>
    </w:p>
    <w:p>
      <w:pPr>
        <w:pStyle w:val="Heading1"/>
        <w:spacing w:before="360" w:after="180"/>
      </w:pPr>
      <w:r>
        <w:rPr>
          <w:rFonts w:ascii="Arial" w:cs="Arial" w:eastAsia="Arial" w:hAnsi="Arial"/>
          <w:b/>
          <w:bCs/>
          <w:sz w:val="32"/>
          <w:szCs w:val="32"/>
        </w:rPr>
        <w:t xml:space="preserve">§6 — Neurochemical and Hormonal Amplification Layers</w:t>
      </w:r>
    </w:p>
    <w:p>
      <w:pPr>
        <w:spacing w:after="160"/>
      </w:pPr>
      <w:r>
        <w:rPr>
          <w:rFonts w:ascii="Arial" w:cs="Arial" w:eastAsia="Arial" w:hAnsi="Arial"/>
          <w:sz w:val="24"/>
          <w:szCs w:val="24"/>
        </w:rPr>
        <w:t xml:space="preserve">Note on evidentiary status: the mechanisms described in this section — substance P neurogenic inflammation, VIP depletion, and estradiol mast cell priming — are individually supported by replicated human evidence at the molecular level. Their specific contribution to non-IgE food reactions (EoE, FPIES) has not been directly quantified in prospective clinical studies. The claims in §§6.1–6.3 are mechanistic proposals supported by translational evidence, not established determinants of clinical outcome. They are included because they explain clinically important phenomena — threshold variability, the female atopy bias, and VIP loss in asthma — that cannot be understood from the adaptive immune mechanism alone.</w:t>
      </w:r>
    </w:p>
    <w:p>
      <w:pPr>
        <w:pStyle w:val="Heading2"/>
        <w:spacing w:before="280" w:after="140"/>
      </w:pPr>
      <w:r>
        <w:rPr>
          <w:rFonts w:ascii="Arial" w:cs="Arial" w:eastAsia="Arial" w:hAnsi="Arial"/>
          <w:b/>
          <w:bCs/>
          <w:sz w:val="28"/>
          <w:szCs w:val="28"/>
        </w:rPr>
        <w:t xml:space="preserve">§6.1 Substance P and Neurogenic Inflammation</w:t>
      </w:r>
    </w:p>
    <w:p>
      <w:pPr>
        <w:spacing w:after="160"/>
      </w:pPr>
      <w:r>
        <w:rPr>
          <w:rFonts w:ascii="Arial" w:cs="Arial" w:eastAsia="Arial" w:hAnsi="Arial"/>
          <w:sz w:val="24"/>
          <w:szCs w:val="24"/>
        </w:rPr>
        <w:t xml:space="preserve">Substance P (SP) is an 11-amino-acid neuropeptide released from primary sensory nerve terminals (C fibres and Aδ fibres) at sites of tissue inflammation. SP acts on neurokinin-1 (NK1) receptors expressed on mast cells, macrophages, eosinophils, dendritic cells, T cells, and B cells. When released from sensory nerve terminals in inflamed tissue, SP directly triggers mast cell degranulation independently of IgE. This is neurogenic inflammation: the nervous system amplifying the immune response at the tissue level, independent of the adaptive immune cascade [Payan89].</w:t>
      </w:r>
    </w:p>
    <w:p>
      <w:pPr>
        <w:spacing w:after="160"/>
      </w:pPr>
      <w:r>
        <w:rPr>
          <w:rFonts w:ascii="Arial" w:cs="Arial" w:eastAsia="Arial" w:hAnsi="Arial"/>
          <w:sz w:val="24"/>
          <w:szCs w:val="24"/>
        </w:rPr>
        <w:t xml:space="preserve">The SP neurogenic amplification loop: tissue injury or inflammation → sensory nociceptor activation → antidromic SP release at peripheral terminals → NK1 on mast cells → degranulation → histamine, tryptase, prostaglandins → more inflammation → more nociceptor sensitisation. This loop is self-reinforcing and operates in addition to, not as a consequence of, the adaptive immune response. It explains several clinical observations that are otherwise poorly explained: why emotional stress lowers allergic thresholds (stress activates sensory nerve SP release via sympathetic NE → β2-AR on sensory neurons); why concurrent illness worsens allergic reactions (tissue SP from infection primes mast cells); and why exercise-induced anaphylaxis occurs with food antigens that are individually tolerated (physical stress + food antigen together drive mast cell activation when neither alone would — consistent with the SP neurogenic amplification mechanism, though direct SP measurement in FDEIA has not been performed) [Payan89, Said91].</w:t>
      </w:r>
    </w:p>
    <w:p>
      <w:pPr>
        <w:spacing w:after="160"/>
      </w:pPr>
      <w:r>
        <w:rPr>
          <w:rFonts w:ascii="Arial" w:cs="Arial" w:eastAsia="Arial" w:hAnsi="Arial"/>
          <w:sz w:val="24"/>
          <w:szCs w:val="24"/>
        </w:rPr>
        <w:t xml:space="preserve">In EoE specifically, SP-sensitised esophageal afferents lower the dysphagia threshold — explaining why patients with similar tissue eosinophilia have markedly different symptom severity, and why some patients report symptoms from barrier compromise detectable by mucosal impedance before tissue eosinophilia reaches the diagnostic threshold. Treating the neurogenic component is mechanistically distinct from treating the adaptive Th2 component: NK1 antagonists (aprepitant, FDA-approved as an antiemetic via the emesis reflex SP pathway) have theoretical anti-allergic potential not yet developed clinically.</w:t>
      </w:r>
    </w:p>
    <w:p>
      <w:pPr>
        <w:pStyle w:val="Heading2"/>
        <w:spacing w:before="280" w:after="140"/>
      </w:pPr>
      <w:r>
        <w:rPr>
          <w:rFonts w:ascii="Arial" w:cs="Arial" w:eastAsia="Arial" w:hAnsi="Arial"/>
          <w:b/>
          <w:bCs/>
          <w:sz w:val="28"/>
          <w:szCs w:val="28"/>
        </w:rPr>
        <w:t xml:space="preserve">§6.2 Estradiol and the Female Atopy Bias</w:t>
      </w:r>
    </w:p>
    <w:p>
      <w:pPr>
        <w:spacing w:after="160"/>
      </w:pPr>
      <w:r>
        <w:rPr>
          <w:rFonts w:ascii="Arial" w:cs="Arial" w:eastAsia="Arial" w:hAnsi="Arial"/>
          <w:sz w:val="24"/>
          <w:szCs w:val="24"/>
        </w:rPr>
        <w:t xml:space="preserve">Atopic disease shows a well-documented sex ratio reversal across the lifespan: boys have higher rates before puberty; women have higher rates after puberty (approximately 1.5–2× adult prevalence for asthma; higher for eczema and rhinitis). This reversal is mechanistically explained by estradiol’s direct effect on mast cell biology. Mast cells express oestrogen receptor alpha (ERα). Estradiol (E2) at ERα upregulates FcεRI (the IgE high-affinity receptor) expression, increasing IgE-binding site density on the mast cell surface. More IgE receptors per mast cell means a lower antigen crosslinking threshold is required to trigger degranulation [Forsythe99, Zaitsu08].</w:t>
      </w:r>
    </w:p>
    <w:p>
      <w:pPr>
        <w:spacing w:after="160"/>
      </w:pPr>
      <w:r>
        <w:rPr>
          <w:rFonts w:ascii="Arial" w:cs="Arial" w:eastAsia="Arial" w:hAnsi="Arial"/>
          <w:sz w:val="24"/>
          <w:szCs w:val="24"/>
        </w:rPr>
        <w:t xml:space="preserve">Downstream effects of E2 mast cell priming: (1) increased mediator release per degranulation event (more histamine, prostaglandin D2, cysteinyl leukotrienes per episode); (2) reduced threshold for SP-triggered neurogenic degranulation — E2 upregulates NK1 receptor expression on mast cells, creating multiplicative E2×SP sensitisation; (3) increased mast cell tissue density via E2-promoted mast cell survival and recruitment. The sex ratio reversal at puberty is the epidemiological signature of this mechanism.</w:t>
      </w:r>
    </w:p>
    <w:p>
      <w:pPr>
        <w:spacing w:after="160"/>
      </w:pPr>
      <w:r>
        <w:rPr>
          <w:rFonts w:ascii="Arial" w:cs="Arial" w:eastAsia="Arial" w:hAnsi="Arial"/>
          <w:sz w:val="24"/>
          <w:szCs w:val="24"/>
        </w:rPr>
        <w:t xml:space="preserve">Premenstrual asthma worsening (documented in 30–40% of women with asthma) is consistent with this mechanism: E2 peak in the luteal phase maximally primes mast cells; the E2 drop before menstruation produces mast cell instability during transition. Hormonal contraceptives that stabilise E2 often improve premenstrual asthma. Post-menopause, E2 withdrawal reduces FcεRI density and allergic thresholds tend to rise, consistent with E2 removal. This E2/mast cell mechanism unifies the female predominance in atopic disease (E2 → mast cell priming → Th2 bias) with the female predominance in autoimmune disease (E2 → B cell survival + TLR responsiveness → Th1 bias) — E2 amplifies immune reactivity broadly; the phenotype depends on which immune circuit is exposed to antigen. Note that EoE itself shows a mild male predominance (approximately 3:1 in some series), likely reflecting the dominance of CAPN14 genetic susceptibility and Th2/eosinophilic (rather than mast cell/IgE-dependent) biology in EoE pathogenesis. The E2 mast cell priming mechanism is most relevant to the IgE-dependent atopic conditions (asthma, rhinitis, eczema) rather than to EoE directly.</w:t>
      </w:r>
    </w:p>
    <w:p>
      <w:pPr>
        <w:pStyle w:val="Heading2"/>
        <w:spacing w:before="280" w:after="140"/>
      </w:pPr>
      <w:r>
        <w:rPr>
          <w:rFonts w:ascii="Arial" w:cs="Arial" w:eastAsia="Arial" w:hAnsi="Arial"/>
          <w:b/>
          <w:bCs/>
          <w:sz w:val="28"/>
          <w:szCs w:val="28"/>
        </w:rPr>
        <w:t xml:space="preserve">§6.3 VIP and the Loss of Bronchoprotective Parasympathetic Signalling</w:t>
      </w:r>
    </w:p>
    <w:p>
      <w:pPr>
        <w:spacing w:after="160"/>
      </w:pPr>
      <w:r>
        <w:rPr>
          <w:rFonts w:ascii="Arial" w:cs="Arial" w:eastAsia="Arial" w:hAnsi="Arial"/>
          <w:sz w:val="24"/>
          <w:szCs w:val="24"/>
        </w:rPr>
        <w:t xml:space="preserve">Vasoactive intestinal peptide (VIP) from parasympathetic nerve terminals in the airway is the primary endogenous bronchoprotective neuropeptide. VIP at VPAC1 and VPAC2 receptors on airway smooth muscle, mast cells, and immune cells provides: (1) bronchodilation via adenylyl cyclase → cAMP → smooth muscle relaxation; (2) mast cell suppression — VPAC1/2 on airway mast cells raises the degranulation threshold, maintaining mast cells in a primed-but-restrained state [Said91]; (3) anti-inflammatory signalling — VIP promotes Treg differentiation and suppresses Th1/Th17 polarisation at mucosal surfaces [Gonzalez-Rey06].</w:t>
      </w:r>
    </w:p>
    <w:p>
      <w:pPr>
        <w:spacing w:after="160"/>
      </w:pPr>
      <w:r>
        <w:rPr>
          <w:rFonts w:ascii="Arial" w:cs="Arial" w:eastAsia="Arial" w:hAnsi="Arial"/>
          <w:sz w:val="24"/>
          <w:szCs w:val="24"/>
        </w:rPr>
        <w:t xml:space="preserve">In asthma and severe atopic disease, VIPergic nerve density in the airway is reduced — a loss of all three protective functions simultaneously. This VIP depletion is measurable in bronchial biopsies from asthmatic patients and correlates with asthma severity [Ollerenshaw89]. Beta-2 agonists (albuterol) partially compensate for VIP loss by acting through the same cAMP pathway on smooth muscle but do not restore mast cell suppression or the anti-inflammatory VIP effects. Longer-acting VIP analogues and VPAC agonists remain an underexplored therapeutic direction for atopic airway disease.</w:t>
      </w:r>
    </w:p>
    <w:p>
      <w:pPr>
        <w:pStyle w:val="Heading1"/>
        <w:spacing w:before="360" w:after="180"/>
      </w:pPr>
      <w:r>
        <w:rPr>
          <w:rFonts w:ascii="Arial" w:cs="Arial" w:eastAsia="Arial" w:hAnsi="Arial"/>
          <w:b/>
          <w:bCs/>
          <w:sz w:val="32"/>
          <w:szCs w:val="32"/>
        </w:rPr>
        <w:t xml:space="preserve">§7 — Eosinophilic Esophagitis: IgE Testing Predictably Fails</w:t>
      </w:r>
    </w:p>
    <w:p>
      <w:pPr>
        <w:spacing w:after="160"/>
      </w:pPr>
      <w:r>
        <w:rPr>
          <w:rFonts w:ascii="Arial" w:cs="Arial" w:eastAsia="Arial" w:hAnsi="Arial"/>
          <w:sz w:val="24"/>
          <w:szCs w:val="24"/>
        </w:rPr>
        <w:t xml:space="preserve">A note on taxonomy: EoE appears in Table 1 within the Type IV (cell-mediated, delayed) row because it shares key features — T cell involvement, delayed kinetics, eosinophilic tissue infiltration, negative IgE testing. However, EoE is not reducible to classical Type IV hypersensitivity. Its primary initiating architecture is epithelial barrier failure triggering innate ILC2 alarm (TSLP/IL-33/IL-25) before antigen-specific T cell priming occurs. This places EoE at the intersection of the Coombs and Gell taxonomy and the newer epithelial barrier disease paradigm. Both frameworks are correct in part; neither fully captures EoE alone.</w:t>
      </w:r>
    </w:p>
    <w:p>
      <w:pPr>
        <w:spacing w:after="160"/>
      </w:pPr>
      <w:r>
        <w:rPr>
          <w:rFonts w:ascii="Arial" w:cs="Arial" w:eastAsia="Arial" w:hAnsi="Arial"/>
          <w:sz w:val="24"/>
          <w:szCs w:val="24"/>
        </w:rPr>
        <w:t xml:space="preserve">EoE is the paradigmatic non-IgE food hypersensitivity. IgE testing is not merely insensitive for EoE trigger identification — it is predictably, mechanistically negative, because EoE is driven by a barrier-failure → ILC2/Th2 cascade that does not require mast cell IgE crosslinking as an intermediate step. The mechanism is: barrier failure → TSLP/IL-33 alarmin release → ILC2 + Th2 activation → IL-13 → eotaxin-3 (CCL26) → eosinophil recruitment. IgE is not required in this primary pathway [Blanchard06, Furuta07].</w:t>
      </w:r>
    </w:p>
    <w:p>
      <w:pPr>
        <w:spacing w:after="160"/>
      </w:pPr>
      <w:r>
        <w:rPr>
          <w:rFonts w:ascii="Arial" w:cs="Arial" w:eastAsia="Arial" w:hAnsi="Arial"/>
          <w:sz w:val="24"/>
          <w:szCs w:val="24"/>
        </w:rPr>
        <w:t xml:space="preserve">The atopy confound: 70–80% of EoE patients are atopic and will test IgE-positive to some foods. In most cases these IgE responses reflect co-existing IgE-mediated atopic sensitisation rather than the EoE pathomechanism itself, though in a subset of patients with atypical EoE the relationship between food-specific IgE and EoE trigger remains under investigation. An EoE patient who tests IgE-positive to milk may or may not have milk as their EoE trigger. IgE positivity to a food does not confirm it as an EoE trigger; only elimination with biomarker/endoscopic response does.</w:t>
      </w:r>
    </w:p>
    <w:p>
      <w:pPr>
        <w:spacing w:after="160"/>
      </w:pPr>
      <w:r>
        <w:rPr>
          <w:rFonts w:ascii="Arial" w:cs="Arial" w:eastAsia="Arial" w:hAnsi="Arial"/>
          <w:sz w:val="24"/>
          <w:szCs w:val="24"/>
        </w:rPr>
        <w:t xml:space="preserve">The correct diagnostic sequence for EoE: (1) endoscopy + biopsy to confirm diagnosis (≥15 eos/hpf at two or more esophageal levels); (2) step-up dietary elimination beginning with milk (1FED) for 6 weeks; (3) confirm response by endoscopy/biopsy; (4) if no response, advance to 4FED or pharmacotherapy. The 2023 Kliewer et al. Lancet trial (n=129 adults) confirmed that 1FED was non-inferior to 6FED (34% vs 40% histologic remission; the pre-specified non-inferiority margin was met), validating the step-up approach as evidence-based [Kliewer23, Rothenberg24, Update23]. Dupilumab (FDA 2022) and cendakimab (Phase 3 published 2025) are the approved and emerging biologic options for patients not achieving remission with dietary or topical steroid therapy [Dellon22_NEJM, Dellon25_NEJMEvid].</w:t>
      </w:r>
    </w:p>
    <w:p>
      <w:pPr>
        <w:spacing w:after="160"/>
      </w:pPr>
      <w:r>
        <w:rPr>
          <w:rFonts w:ascii="Arial" w:cs="Arial" w:eastAsia="Arial" w:hAnsi="Arial"/>
          <w:sz w:val="24"/>
          <w:szCs w:val="24"/>
        </w:rPr>
        <w:t xml:space="preserve">Upstream diagnostic opportunity: eotaxin-3 (CCL26) is produced by esophageal epithelial cells in direct response to IL-13 and correlates with tissue eosinophil density [Blanchard06]. Based on this biology, a blood draw at day 7 and day 14 of food reintroduction may detect a rising eotaxin-3 signal before symptoms recur and before eosinophil counts cross the 15 eos/hpf diagnostic threshold — a proposed biomarker window that has not yet been validated in a prospective human kinetics study. If confirmed, this would identify triggers much faster than the 6-week wait-and-biopsy protocol currently required. No validated clinical cutoff currently exists; this is the highest near-term translational priority for non-invasive EoE monitoring.</w:t>
      </w:r>
    </w:p>
    <w:p>
      <w:pPr>
        <w:pStyle w:val="Heading1"/>
        <w:spacing w:before="360" w:after="180"/>
      </w:pPr>
      <w:r>
        <w:rPr>
          <w:rFonts w:ascii="Arial" w:cs="Arial" w:eastAsia="Arial" w:hAnsi="Arial"/>
          <w:b/>
          <w:bCs/>
          <w:sz w:val="32"/>
          <w:szCs w:val="32"/>
        </w:rPr>
        <w:t xml:space="preserve">§8 — FPIES: The Non-IgE Enterocolitis</w:t>
      </w:r>
    </w:p>
    <w:p>
      <w:pPr>
        <w:spacing w:after="160"/>
      </w:pPr>
      <w:r>
        <w:rPr>
          <w:rFonts w:ascii="Arial" w:cs="Arial" w:eastAsia="Arial" w:hAnsi="Arial"/>
          <w:sz w:val="24"/>
          <w:szCs w:val="24"/>
        </w:rPr>
        <w:t xml:space="preserve">Food protein-induced enterocolitis syndrome (FPIES) is a non-IgE cell-mediated food allergy presenting as profuse, repetitive vomiting 1–4 hours after ingesting a trigger food, predominantly in infants and young children (though adult-onset FPIES is now recognised as a distinct phenotype) [Nowak-Wegrzyn17, Anvari24]. The mechanism involves innate immune activation in the gut, primarily neutrophil-mediated (CD11b upregulation on circulating neutrophils is the leading research biomarker candidate), with possible mast cell contribution in atypical presentations, by food antigen without prior IgE sensitisation. SPT and serum sIgE are negative in the vast majority of FPIES patients [Nowak-Wegrzyn17].</w:t>
      </w:r>
    </w:p>
    <w:p>
      <w:pPr>
        <w:spacing w:after="160"/>
      </w:pPr>
      <w:r>
        <w:rPr>
          <w:rFonts w:ascii="Arial" w:cs="Arial" w:eastAsia="Arial" w:hAnsi="Arial"/>
          <w:sz w:val="24"/>
          <w:szCs w:val="24"/>
        </w:rPr>
        <w:t xml:space="preserve">FPIES is frequently misdiagnosed as: viral gastroenteritis (the most common misdiagnosis); cyclic vomiting syndrome; pyloric stenosis in infants; or dismissed as psychosomatic. The diagnostic pathway is clinical pattern recognition — there are no validated biomarkers. The 2017 International FPIES Consensus Guidelines (AAAAI) remain the reference document; a 2024 review by Anvari, Ruffner, and Nowak-Wegrzyn highlights evidence accumulated since the 2017 publication, including adult-onset phenotypes, new food triggers, and updated OFC protocols [Anvari24]. Updated guidelines are expected to follow.</w:t>
      </w:r>
    </w:p>
    <w:p>
      <w:pPr>
        <w:spacing w:after="160"/>
      </w:pPr>
      <w:r>
        <w:rPr>
          <w:rFonts w:ascii="Arial" w:cs="Arial" w:eastAsia="Arial" w:hAnsi="Arial"/>
          <w:sz w:val="24"/>
          <w:szCs w:val="24"/>
        </w:rPr>
        <w:t xml:space="preserve">Key diagnostic features: (1) repetitive, projectile vomiting 1–4 hours after trigger ingestion, without urticaria, wheezing, or cutaneous symptoms (distinguishing from IgE-mediated allergy); (2) profound lethargy and pallor during acute episodes; (3) negative IgE testing; (4) resolution with trigger elimination; (5) confirmation by supervised oral food challenge (OFC) per FPIES-specific OFC protocols as described in consensus guidelines [Nowak-Wegrzyn17]. In acute FPIES, ondansetron (antiemetic) is now recommended as first-line management for acute emesis in uncomplicated episodes, reducing the need for IV fluid resuscitation; epinephrine remains indicated for presentations with haemodynamic compromise.</w:t>
      </w:r>
    </w:p>
    <w:p>
      <w:pPr>
        <w:spacing w:after="160"/>
      </w:pPr>
      <w:r>
        <w:rPr>
          <w:rFonts w:ascii="Arial" w:cs="Arial" w:eastAsia="Arial" w:hAnsi="Arial"/>
          <w:sz w:val="24"/>
          <w:szCs w:val="24"/>
        </w:rPr>
        <w:t xml:space="preserve">The most common triggers are cow’s milk and soy (infants), followed by rice, oat, fish, and egg (depending on geographic region). Adult-onset FPIES typically involves crustacean shellfish. Atypical FPIES (where some IgE sensitisation is detectable) has a more prolonged course. Most milk- and soy-triggered paediatric FPIES resolves by age 3–5 years; fish-triggered FPIES tends to have a longer course and may persist into school age or beyond. Persistence of milk- and soy-induced FPIES into adulthood has also been documented. No validated diagnostic biomarker currently exists — the field’s primary unmet need.</w:t>
      </w:r>
    </w:p>
    <w:p>
      <w:pPr>
        <w:pStyle w:val="Heading1"/>
        <w:spacing w:before="360" w:after="180"/>
      </w:pPr>
      <w:r>
        <w:rPr>
          <w:rFonts w:ascii="Arial" w:cs="Arial" w:eastAsia="Arial" w:hAnsi="Arial"/>
          <w:b/>
          <w:bCs/>
          <w:sz w:val="32"/>
          <w:szCs w:val="32"/>
        </w:rPr>
        <w:t xml:space="preserve">§9 — Delayed Drug Reactions: Type IV Mechanisms and HLA Pharmacogenomics</w:t>
      </w:r>
    </w:p>
    <w:p>
      <w:pPr>
        <w:pStyle w:val="Heading2"/>
        <w:spacing w:before="280" w:after="140"/>
      </w:pPr>
      <w:r>
        <w:rPr>
          <w:rFonts w:ascii="Arial" w:cs="Arial" w:eastAsia="Arial" w:hAnsi="Arial"/>
          <w:b/>
          <w:bCs/>
          <w:sz w:val="28"/>
          <w:szCs w:val="28"/>
        </w:rPr>
        <w:t xml:space="preserve">§9.1 DRESS and SJS: T Cell-Mediated Reactions with Multi-Week Onset</w:t>
      </w:r>
    </w:p>
    <w:p>
      <w:pPr>
        <w:spacing w:after="160"/>
      </w:pPr>
      <w:r>
        <w:rPr>
          <w:rFonts w:ascii="Arial" w:cs="Arial" w:eastAsia="Arial" w:hAnsi="Arial"/>
          <w:sz w:val="24"/>
          <w:szCs w:val="24"/>
        </w:rPr>
        <w:t xml:space="preserve">Drug Reaction with Eosinophilia and Systemic Symptoms (DRESS) is a life-threatening Type IV delayed drug hypersensitivity reaction with onset 2–6 weeks after drug initiation — one of the longest diagnostic delays in medicine. Stevens-Johnson Syndrome (SJS)/Toxic Epidermal Necrolysis (TEN) is similarly T cell-mediated (CD8+ cytotoxic T cell-driven keratinocyte apoptosis) with a 1–3 week onset window. Both are driven by HLA-restricted T cell recognition of drug-HLA complexes, producing cytokine-mediated tissue destruction without IgE involvement [Pichler03].</w:t>
      </w:r>
    </w:p>
    <w:p>
      <w:pPr>
        <w:spacing w:after="160"/>
      </w:pPr>
      <w:r>
        <w:rPr>
          <w:rFonts w:ascii="Arial" w:cs="Arial" w:eastAsia="Arial" w:hAnsi="Arial"/>
          <w:sz w:val="24"/>
          <w:szCs w:val="24"/>
        </w:rPr>
        <w:t xml:space="preserve">The mechanism: drug → hapten formation or pharmacological interaction with HLA-peptide complex → T cell activation → complex T cell effector response in DRESS (involving CD4+, CD8+, NK cells, and eosinophils coordinated by IFN-γ and IL-5) or CD8+ cytotoxic T cell-mediated keratinocyte apoptosis in SJS/TEN. The long onset window reflects T cell priming, proliferation, and tissue recruitment kinetics. IgE is structurally absent. Standard allergy testing is both negative and irrelevant.</w:t>
      </w:r>
    </w:p>
    <w:p>
      <w:pPr>
        <w:pStyle w:val="Heading2"/>
        <w:spacing w:before="280" w:after="140"/>
      </w:pPr>
      <w:r>
        <w:rPr>
          <w:rFonts w:ascii="Arial" w:cs="Arial" w:eastAsia="Arial" w:hAnsi="Arial"/>
          <w:b/>
          <w:bCs/>
          <w:sz w:val="28"/>
          <w:szCs w:val="28"/>
        </w:rPr>
        <w:t xml:space="preserve">§9.2 HLA Pharmacogenomics: Targeting the Upstream Detection Architecture</w:t>
      </w:r>
    </w:p>
    <w:p>
      <w:pPr>
        <w:spacing w:after="160"/>
      </w:pPr>
      <w:r>
        <w:rPr>
          <w:rFonts w:ascii="Arial" w:cs="Arial" w:eastAsia="Arial" w:hAnsi="Arial"/>
          <w:sz w:val="24"/>
          <w:szCs w:val="24"/>
        </w:rPr>
        <w:t xml:space="preserve">The strong HLA associations for certain drug reactions — HLA-B*57:01 for abacavir hypersensitivity, HLA-B*15:02 for carbamazepine-induced SJS in Han Chinese and Southeast Asian populations, HLA-B*58:01 for allopurinol-induced severe cutaneous adverse reactions (SJS/TEN and DRESS) — identify individuals with high-affinity T cell recognition of the drug-HLA complex. HLA pharmacogenomic screening before prescribing is now standard of care for abacavir (FDA label 2008) and carbamazepine (FDA label 2007 for Asian populations) and recommended for allopurinol in populations with high B*58:01 prevalence.</w:t>
      </w:r>
    </w:p>
    <w:p>
      <w:pPr>
        <w:spacing w:after="160"/>
      </w:pPr>
      <w:r>
        <w:rPr>
          <w:rFonts w:ascii="Arial" w:cs="Arial" w:eastAsia="Arial" w:hAnsi="Arial"/>
          <w:sz w:val="24"/>
          <w:szCs w:val="24"/>
        </w:rPr>
        <w:t xml:space="preserve">This is the mechanistically correct intervention: rather than waiting for T cell priming and the delayed reaction to develop, the detection error (which patients will mount a T cell response to this drug) is identified before exposure. HLA-B*57:01 screening for abacavir has near-eliminated abacavir hypersensitivity in populations where it is implemented. The lesson for the broader framework: in delayed reactions where the detection mechanism is the failure point, the correct diagnostic strategy targets the upstream detection architecture, not the downstream inflammatory response.</w:t>
      </w:r>
    </w:p>
    <w:p>
      <w:pPr>
        <w:pStyle w:val="Heading1"/>
        <w:spacing w:before="360" w:after="180"/>
      </w:pPr>
      <w:r>
        <w:rPr>
          <w:rFonts w:ascii="Arial" w:cs="Arial" w:eastAsia="Arial" w:hAnsi="Arial"/>
          <w:b/>
          <w:bCs/>
          <w:sz w:val="32"/>
          <w:szCs w:val="32"/>
        </w:rPr>
        <w:t xml:space="preserve">§10 — Hypersensitivity Pneumonitis: Type III/IV Accumulation in the Lung</w:t>
      </w:r>
    </w:p>
    <w:p>
      <w:pPr>
        <w:spacing w:after="160"/>
      </w:pPr>
      <w:r>
        <w:rPr>
          <w:rFonts w:ascii="Arial" w:cs="Arial" w:eastAsia="Arial" w:hAnsi="Arial"/>
          <w:sz w:val="24"/>
          <w:szCs w:val="24"/>
        </w:rPr>
        <w:t xml:space="preserve">Hypersensitivity pneumonitis (HP) is a Type III/IV mixed-mechanism lung disease caused by repeated inhalation of organic antigens — thermophilic actinomycetes in mouldy hay (farmer’s lung), avian proteins in bird droppings (bird fancier’s lung), fungal spores, and many other occupational and domestic sources. Acute HP presents 4–8 hours after heavy antigen exposure; chronic HP develops insidiously from low-level repeated exposure over months to years [Selman12].</w:t>
      </w:r>
    </w:p>
    <w:p>
      <w:pPr>
        <w:spacing w:after="160"/>
      </w:pPr>
      <w:r>
        <w:rPr>
          <w:rFonts w:ascii="Arial" w:cs="Arial" w:eastAsia="Arial" w:hAnsi="Arial"/>
          <w:sz w:val="24"/>
          <w:szCs w:val="24"/>
        </w:rPr>
        <w:t xml:space="preserve">The mechanism is Type III (immune complex deposition in alveoli → complement activation → neutrophil recruitment) plus Type IV (T cell-mediated granulomatous inflammation). IgE testing is negative and irrelevant. The correct test is serum precipitins — IgG antibodies to the causative antigen, which accumulate as the immune complex response builds. Serum precipitins are positive in 80–90% of confirmed acute HP cases, though precipitins can also be positive in 30–50% of asymptomatically exposed farmers and bird-keepers without HP — a positive result supports but does not establish the diagnosis; clinical context (exposure history, symptoms, HRCT, BAL findings) is required for interpretation. A positive precipitin test in the right clinical context (exposure history + compatible symptoms) strongly supports the diagnosis.</w:t>
      </w:r>
    </w:p>
    <w:p>
      <w:pPr>
        <w:spacing w:after="160"/>
      </w:pPr>
      <w:r>
        <w:rPr>
          <w:rFonts w:ascii="Arial" w:cs="Arial" w:eastAsia="Arial" w:hAnsi="Arial"/>
          <w:sz w:val="24"/>
          <w:szCs w:val="24"/>
        </w:rPr>
        <w:t xml:space="preserve">The chronic form illustrates the accumulation model precisely: low-level antigen exposure below the acute symptom threshold produces immune complex and granulomatous inflammation that accumulates over months before reaching the threshold for symptomatic disease. The patient has no acute reactions to help them identify the trigger. By the time symptoms appear, the exposure may have been ongoing for years. Bronchoscopy with BAL (lymphocytosis; CD4/CD8 ratio varies by disease phase — elevated in subacute HP, inverted in some chronic and isocyanate-triggered forms) and HRCT (mosaic attenuation, ground glass, centrilobular nodules) complete the workup. Treatment is antigen avoidance; immunosuppression for severe or progressive cases.</w:t>
      </w:r>
    </w:p>
    <w:p>
      <w:pPr>
        <w:pStyle w:val="Heading1"/>
        <w:spacing w:before="360" w:after="180"/>
      </w:pPr>
      <w:r>
        <w:rPr>
          <w:rFonts w:ascii="Arial" w:cs="Arial" w:eastAsia="Arial" w:hAnsi="Arial"/>
          <w:b/>
          <w:bCs/>
          <w:sz w:val="32"/>
          <w:szCs w:val="32"/>
        </w:rPr>
        <w:t xml:space="preserve">§11 — Cross-System Connections</w:t>
      </w:r>
    </w:p>
    <w:p>
      <w:pPr>
        <w:spacing w:after="160"/>
      </w:pPr>
      <w:r>
        <w:rPr>
          <w:rFonts w:ascii="Arial" w:cs="Arial" w:eastAsia="Arial" w:hAnsi="Arial"/>
          <w:sz w:val="24"/>
          <w:szCs w:val="24"/>
        </w:rPr>
        <w:t xml:space="preserve">The connections described in this section are mechanistic inferences drawn from shared biology across the paper series. Each individual link is supported by published evidence; the integrated clinical implications are proposed rather than demonstrated.</w:t>
      </w:r>
    </w:p>
    <w:p>
      <w:pPr>
        <w:pStyle w:val="ListParagraph"/>
        <w:numPr>
          <w:ilvl w:val="0"/>
          <w:numId w:val="2"/>
        </w:numPr>
        <w:spacing w:after="100"/>
      </w:pPr>
      <w:r>
        <w:rPr>
          <w:rFonts w:ascii="Arial" w:cs="Arial" w:eastAsia="Arial" w:hAnsi="Arial"/>
          <w:sz w:val="24"/>
          <w:szCs w:val="24"/>
        </w:rPr>
        <w:t xml:space="preserve">EoE and GERD/LPR: acid and pepsin damage to the esophageal epithelial barrier directly impairs barrier integrity, lowering the threshold for food antigen penetration and ILC2/Th2 activation. PPI-responsive EoE is proposed to result from barrier repair via acid suppression. The two conditions mechanistically amplify each other; patients with refractory LPR should be evaluated for EoE and vice versa.</w:t>
      </w:r>
    </w:p>
    <w:p>
      <w:pPr>
        <w:pStyle w:val="ListParagraph"/>
        <w:numPr>
          <w:ilvl w:val="0"/>
          <w:numId w:val="2"/>
        </w:numPr>
        <w:spacing w:after="100"/>
      </w:pPr>
      <w:r>
        <w:rPr>
          <w:rFonts w:ascii="Arial" w:cs="Arial" w:eastAsia="Arial" w:hAnsi="Arial"/>
          <w:sz w:val="24"/>
          <w:szCs w:val="24"/>
        </w:rPr>
        <w:t xml:space="preserve">Antibiotic resistance / microbiome: early childhood antibiotic use is among the strongest risk factors for subsequent atopic disease. The mechanism runs through the SCFA → Treg → Th2 axis: antibiotic-induced SCFA-producing microbiome collapse reduces Treg induction, permitting unopposed Th2 skewing. Early antibiotic use disrupts the microbiome that maintains the regulatory T cell population required for immune balance. This is the hygiene hypothesis at molecular resolution [Cahenzli13, Ruokoliainen15].</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CCCCCC" w:sz="1"/>
              <w:left w:val="single" w:color="CCCCCC" w:sz="1"/>
              <w:bottom w:val="single" w:color="CCCCCC" w:sz="1"/>
              <w:right w:val="single" w:color="CCCCCC" w:sz="1"/>
            </w:tcBorders>
            <w:shd w:fill="E8F4E8" w:val="clear"/>
            <w:tcMar>
              <w:top w:type="dxa" w:w="120"/>
              <w:left w:type="dxa" w:w="180"/>
              <w:bottom w:type="dxa" w:w="120"/>
              <w:right w:type="dxa" w:w="180"/>
            </w:tcMar>
          </w:tcPr>
          <w:p>
            <w:pPr>
              <w:spacing w:after="100"/>
            </w:pPr>
            <w:r>
              <w:rPr>
                <w:rFonts w:ascii="Arial" w:cs="Arial" w:eastAsia="Arial" w:hAnsi="Arial"/>
                <w:sz w:val="22"/>
                <w:szCs w:val="22"/>
              </w:rPr>
              <w:t xml:space="preserve">BROADER MECHANISTIC HYPOTHESES (translational inference level):</w:t>
            </w:r>
          </w:p>
          <w:p>
            <w:pPr>
              <w:spacing w:after="100"/>
            </w:pPr>
            <w:r>
              <w:rPr>
                <w:rFonts w:ascii="Arial" w:cs="Arial" w:eastAsia="Arial" w:hAnsi="Arial"/>
                <w:sz w:val="22"/>
                <w:szCs w:val="22"/>
              </w:rPr>
              <w:t xml:space="preserve">Autoimmunity: EoE, FPIES, and delayed food hypersensitivity share the TSLP/IL-33 alarmin axis and ILC2-driven Th2 polarisation with autoimmune conditions. Estradiol amplifies immune reactivity in both Th2-driven atopic disease and Th1-driven autoimmune disease; the phenotype depends on which circuit receives antigen [Elenkov00].</w:t>
            </w:r>
          </w:p>
          <w:p>
            <w:pPr>
              <w:spacing w:after="100"/>
            </w:pPr>
            <w:r>
              <w:rPr>
                <w:rFonts w:ascii="Arial" w:cs="Arial" w:eastAsia="Arial" w:hAnsi="Arial"/>
                <w:sz w:val="22"/>
                <w:szCs w:val="22"/>
              </w:rPr>
              <w:t xml:space="preserve">Depression / chronic pain: SP neurogenic inflammation amplifies both allergic inflammation (NK1 on mast cells) and central sensitisation (NK1 on spinal cord neurons). Elevated SP in atopic disease is a proposed contributor to comorbid neuropsychiatric symptoms. NK1 antagonists have theoretical anti-inflammatory potential across both circuits.</w:t>
            </w:r>
          </w:p>
          <w:p>
            <w:pPr>
              <w:spacing w:after="100"/>
            </w:pPr>
            <w:r>
              <w:rPr>
                <w:rFonts w:ascii="Arial" w:cs="Arial" w:eastAsia="Arial" w:hAnsi="Arial"/>
                <w:sz w:val="22"/>
                <w:szCs w:val="22"/>
              </w:rPr>
              <w:t xml:space="preserve">Tinnitus / autonomic: VIP depletion in atopic airway disease is the same neuropeptide deficit implicated in LES relaxation dysregulation and potentially in Eustachian tube dysfunction. Whether treating the neuroinflammatory component improves tinnitus in atopic patients is untested.</w:t>
            </w:r>
          </w:p>
          <w:p>
            <w:pPr>
              <w:spacing w:after="100"/>
            </w:pPr>
            <w:r>
              <w:rPr>
                <w:rFonts w:ascii="Arial" w:cs="Arial" w:eastAsia="Arial" w:hAnsi="Arial"/>
                <w:sz w:val="22"/>
                <w:szCs w:val="22"/>
              </w:rPr>
              <w:t xml:space="preserve">Each individual connection above is supported by published mechanistic evidence; the integrated clinical implications are proposed and have not been prospectively validated.</w:t>
            </w:r>
          </w:p>
        </w:tc>
      </w:tr>
    </w:tbl>
    <w:p>
      <w:pPr>
        <w:pStyle w:val="Heading1"/>
        <w:spacing w:before="360" w:after="180"/>
      </w:pPr>
      <w:r>
        <w:rPr>
          <w:rFonts w:ascii="Arial" w:cs="Arial" w:eastAsia="Arial" w:hAnsi="Arial"/>
          <w:b/>
          <w:bCs/>
          <w:sz w:val="32"/>
          <w:szCs w:val="32"/>
        </w:rPr>
        <w:t xml:space="preserve">§12 — Testable Predictions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500"/>
        <w:gridCol w:w="2500"/>
        <w:gridCol w:w="2980"/>
        <w:gridCol w:w="3380"/>
      </w:tblGrid>
      <w:tr>
        <w:tc>
          <w:tcPr>
            <w:tcW w:type="dxa" w:w="5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w:t>
            </w:r>
          </w:p>
        </w:tc>
        <w:tc>
          <w:tcPr>
            <w:tcW w:type="dxa" w:w="25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Prediction</w:t>
            </w:r>
          </w:p>
        </w:tc>
        <w:tc>
          <w:tcPr>
            <w:tcW w:type="dxa" w:w="298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Design</w:t>
            </w:r>
          </w:p>
        </w:tc>
        <w:tc>
          <w:tcPr>
            <w:tcW w:type="dxa" w:w="338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Expected result / falsification</w:t>
            </w:r>
          </w:p>
        </w:tc>
      </w:tr>
      <w:tr>
        <w:tc>
          <w:tcPr>
            <w:tcW w:type="dxa" w:w="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60"/>
            </w:pPr>
            <w:r>
              <w:rPr>
                <w:rFonts w:ascii="Arial" w:cs="Arial" w:eastAsia="Arial" w:hAnsi="Arial"/>
                <w:sz w:val="20"/>
                <w:szCs w:val="20"/>
              </w:rPr>
              <w:t xml:space="preserve">P1</w:t>
            </w:r>
          </w:p>
        </w:tc>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60"/>
            </w:pPr>
            <w:r>
              <w:rPr>
                <w:rFonts w:ascii="Arial" w:cs="Arial" w:eastAsia="Arial" w:hAnsi="Arial"/>
                <w:sz w:val="20"/>
                <w:szCs w:val="20"/>
              </w:rPr>
              <w:t xml:space="preserve">Serum eotaxin-3 at day 7–14 of EoE food reintroduction predicts biopsy outcome at week 6</w:t>
            </w:r>
          </w:p>
        </w:tc>
        <w:tc>
          <w:tcPr>
            <w:tcW w:type="dxa" w:w="29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60"/>
            </w:pPr>
            <w:r>
              <w:rPr>
                <w:rFonts w:ascii="Arial" w:cs="Arial" w:eastAsia="Arial" w:hAnsi="Arial"/>
                <w:sz w:val="20"/>
                <w:szCs w:val="20"/>
              </w:rPr>
              <w:t xml:space="preserve">Prospective: food reintroduction + serial eotaxin-3 at day 7, 14 + biopsy at week 6</w:t>
            </w:r>
          </w:p>
        </w:tc>
        <w:tc>
          <w:tcPr>
            <w:tcW w:type="dxa" w:w="33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60"/>
            </w:pPr>
            <w:r>
              <w:rPr>
                <w:rFonts w:ascii="Arial" w:cs="Arial" w:eastAsia="Arial" w:hAnsi="Arial"/>
                <w:sz w:val="20"/>
                <w:szCs w:val="20"/>
              </w:rPr>
              <w:t xml:space="preserve">Eotaxin-3 rise &gt;X ng/mL predicts histologic relapse. Falsified if no correlation with biopsy.</w:t>
            </w:r>
          </w:p>
        </w:tc>
      </w:tr>
      <w:tr>
        <w:tc>
          <w:tcPr>
            <w:tcW w:type="dxa" w:w="500"/>
            <w:tcBorders>
              <w:top w:val="single" w:color="CCCCCC" w:sz="1"/>
              <w:left w:val="single" w:color="CCCCCC" w:sz="1"/>
              <w:bottom w:val="single" w:color="CCCCCC" w:sz="1"/>
              <w:right w:val="single" w:color="CCCCCC" w:sz="1"/>
            </w:tcBorders>
            <w:shd w:fill="EBF3FA" w:val="clear"/>
            <w:tcMar>
              <w:top w:type="dxa" w:w="80"/>
              <w:left w:type="dxa" w:w="120"/>
              <w:bottom w:type="dxa" w:w="80"/>
              <w:right w:type="dxa" w:w="120"/>
            </w:tcMar>
          </w:tcPr>
          <w:p>
            <w:pPr>
              <w:spacing w:after="60"/>
            </w:pPr>
            <w:r>
              <w:rPr>
                <w:rFonts w:ascii="Arial" w:cs="Arial" w:eastAsia="Arial" w:hAnsi="Arial"/>
                <w:sz w:val="20"/>
                <w:szCs w:val="20"/>
              </w:rPr>
              <w:t xml:space="preserve">P2</w:t>
            </w:r>
          </w:p>
        </w:tc>
        <w:tc>
          <w:tcPr>
            <w:tcW w:type="dxa" w:w="2500"/>
            <w:tcBorders>
              <w:top w:val="single" w:color="CCCCCC" w:sz="1"/>
              <w:left w:val="single" w:color="CCCCCC" w:sz="1"/>
              <w:bottom w:val="single" w:color="CCCCCC" w:sz="1"/>
              <w:right w:val="single" w:color="CCCCCC" w:sz="1"/>
            </w:tcBorders>
            <w:shd w:fill="EBF3FA" w:val="clear"/>
            <w:tcMar>
              <w:top w:type="dxa" w:w="80"/>
              <w:left w:type="dxa" w:w="120"/>
              <w:bottom w:type="dxa" w:w="80"/>
              <w:right w:type="dxa" w:w="120"/>
            </w:tcMar>
          </w:tcPr>
          <w:p>
            <w:pPr>
              <w:spacing w:after="60"/>
            </w:pPr>
            <w:r>
              <w:rPr>
                <w:rFonts w:ascii="Arial" w:cs="Arial" w:eastAsia="Arial" w:hAnsi="Arial"/>
                <w:sz w:val="20"/>
                <w:szCs w:val="20"/>
              </w:rPr>
              <w:t xml:space="preserve">In EoE patients who are IgE-positive to their confirmed trigger food (atopy confound population), BAT to that food will be functionally negative — indicating bystander sensitisation rather than IgE-functional allergy</w:t>
            </w:r>
          </w:p>
        </w:tc>
        <w:tc>
          <w:tcPr>
            <w:tcW w:type="dxa" w:w="2980"/>
            <w:tcBorders>
              <w:top w:val="single" w:color="CCCCCC" w:sz="1"/>
              <w:left w:val="single" w:color="CCCCCC" w:sz="1"/>
              <w:bottom w:val="single" w:color="CCCCCC" w:sz="1"/>
              <w:right w:val="single" w:color="CCCCCC" w:sz="1"/>
            </w:tcBorders>
            <w:shd w:fill="EBF3FA" w:val="clear"/>
            <w:tcMar>
              <w:top w:type="dxa" w:w="80"/>
              <w:left w:type="dxa" w:w="120"/>
              <w:bottom w:type="dxa" w:w="80"/>
              <w:right w:type="dxa" w:w="120"/>
            </w:tcMar>
          </w:tcPr>
          <w:p>
            <w:pPr>
              <w:spacing w:after="60"/>
            </w:pPr>
            <w:r>
              <w:rPr>
                <w:rFonts w:ascii="Arial" w:cs="Arial" w:eastAsia="Arial" w:hAnsi="Arial"/>
                <w:sz w:val="20"/>
                <w:szCs w:val="20"/>
              </w:rPr>
              <w:t xml:space="preserve">Prospective: BAT to confirmed EoE trigger foods in atopic EoE patients (IgE-positive to trigger); elimination + endoscopy confirmation; 3+ centres</w:t>
            </w:r>
          </w:p>
        </w:tc>
        <w:tc>
          <w:tcPr>
            <w:tcW w:type="dxa" w:w="3380"/>
            <w:tcBorders>
              <w:top w:val="single" w:color="CCCCCC" w:sz="1"/>
              <w:left w:val="single" w:color="CCCCCC" w:sz="1"/>
              <w:bottom w:val="single" w:color="CCCCCC" w:sz="1"/>
              <w:right w:val="single" w:color="CCCCCC" w:sz="1"/>
            </w:tcBorders>
            <w:shd w:fill="EBF3FA" w:val="clear"/>
            <w:tcMar>
              <w:top w:type="dxa" w:w="80"/>
              <w:left w:type="dxa" w:w="120"/>
              <w:bottom w:type="dxa" w:w="80"/>
              <w:right w:type="dxa" w:w="120"/>
            </w:tcMar>
          </w:tcPr>
          <w:p>
            <w:pPr>
              <w:spacing w:after="60"/>
            </w:pPr>
            <w:r>
              <w:rPr>
                <w:rFonts w:ascii="Arial" w:cs="Arial" w:eastAsia="Arial" w:hAnsi="Arial"/>
                <w:sz w:val="20"/>
                <w:szCs w:val="20"/>
              </w:rPr>
              <w:t xml:space="preserve">BAT negative to trigger food in &gt;80% of IgE-positive EoE patients. Falsified if &gt;20% show BAT positivity — which would suggest IgE is functionally contributing in a subset of atypical EoE.</w:t>
            </w:r>
          </w:p>
        </w:tc>
      </w:tr>
      <w:tr>
        <w:tc>
          <w:tcPr>
            <w:tcW w:type="dxa" w:w="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60"/>
            </w:pPr>
            <w:r>
              <w:rPr>
                <w:rFonts w:ascii="Arial" w:cs="Arial" w:eastAsia="Arial" w:hAnsi="Arial"/>
                <w:sz w:val="20"/>
                <w:szCs w:val="20"/>
              </w:rPr>
              <w:t xml:space="preserve">P3</w:t>
            </w:r>
          </w:p>
        </w:tc>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60"/>
            </w:pPr>
            <w:r>
              <w:rPr>
                <w:rFonts w:ascii="Arial" w:cs="Arial" w:eastAsia="Arial" w:hAnsi="Arial"/>
                <w:sz w:val="20"/>
                <w:szCs w:val="20"/>
              </w:rPr>
              <w:t xml:space="preserve">NK1 antagonist (aprepitant) co-administration reduces eosinophilic symptom severity without changing tissue eosinophil counts</w:t>
            </w:r>
          </w:p>
        </w:tc>
        <w:tc>
          <w:tcPr>
            <w:tcW w:type="dxa" w:w="29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60"/>
            </w:pPr>
            <w:r>
              <w:rPr>
                <w:rFonts w:ascii="Arial" w:cs="Arial" w:eastAsia="Arial" w:hAnsi="Arial"/>
                <w:sz w:val="20"/>
                <w:szCs w:val="20"/>
              </w:rPr>
              <w:t xml:space="preserve">RCT: EoE patients on stable dupilumab ± aprepitant; primary endpoint DSQ score change; secondary eosinophil count</w:t>
            </w:r>
          </w:p>
        </w:tc>
        <w:tc>
          <w:tcPr>
            <w:tcW w:type="dxa" w:w="33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60"/>
            </w:pPr>
            <w:r>
              <w:rPr>
                <w:rFonts w:ascii="Arial" w:cs="Arial" w:eastAsia="Arial" w:hAnsi="Arial"/>
                <w:sz w:val="20"/>
                <w:szCs w:val="20"/>
              </w:rPr>
              <w:t xml:space="preserve">Aprepitant reduces DSQ without eosinophil count difference. Falsified if no symptom benefit.</w:t>
            </w:r>
          </w:p>
        </w:tc>
      </w:tr>
      <w:tr>
        <w:tc>
          <w:tcPr>
            <w:tcW w:type="dxa" w:w="500"/>
            <w:tcBorders>
              <w:top w:val="single" w:color="CCCCCC" w:sz="1"/>
              <w:left w:val="single" w:color="CCCCCC" w:sz="1"/>
              <w:bottom w:val="single" w:color="CCCCCC" w:sz="1"/>
              <w:right w:val="single" w:color="CCCCCC" w:sz="1"/>
            </w:tcBorders>
            <w:shd w:fill="EBF3FA" w:val="clear"/>
            <w:tcMar>
              <w:top w:type="dxa" w:w="80"/>
              <w:left w:type="dxa" w:w="120"/>
              <w:bottom w:type="dxa" w:w="80"/>
              <w:right w:type="dxa" w:w="120"/>
            </w:tcMar>
          </w:tcPr>
          <w:p>
            <w:pPr>
              <w:spacing w:after="60"/>
            </w:pPr>
            <w:r>
              <w:rPr>
                <w:rFonts w:ascii="Arial" w:cs="Arial" w:eastAsia="Arial" w:hAnsi="Arial"/>
                <w:sz w:val="20"/>
                <w:szCs w:val="20"/>
              </w:rPr>
              <w:t xml:space="preserve">P4</w:t>
            </w:r>
          </w:p>
        </w:tc>
        <w:tc>
          <w:tcPr>
            <w:tcW w:type="dxa" w:w="2500"/>
            <w:tcBorders>
              <w:top w:val="single" w:color="CCCCCC" w:sz="1"/>
              <w:left w:val="single" w:color="CCCCCC" w:sz="1"/>
              <w:bottom w:val="single" w:color="CCCCCC" w:sz="1"/>
              <w:right w:val="single" w:color="CCCCCC" w:sz="1"/>
            </w:tcBorders>
            <w:shd w:fill="EBF3FA" w:val="clear"/>
            <w:tcMar>
              <w:top w:type="dxa" w:w="80"/>
              <w:left w:type="dxa" w:w="120"/>
              <w:bottom w:type="dxa" w:w="80"/>
              <w:right w:type="dxa" w:w="120"/>
            </w:tcMar>
          </w:tcPr>
          <w:p>
            <w:pPr>
              <w:spacing w:after="60"/>
            </w:pPr>
            <w:r>
              <w:rPr>
                <w:rFonts w:ascii="Arial" w:cs="Arial" w:eastAsia="Arial" w:hAnsi="Arial"/>
                <w:sz w:val="20"/>
                <w:szCs w:val="20"/>
              </w:rPr>
              <w:t xml:space="preserve">FPIES patients have measurable TNF-α and IL-8 surges 4–8 hours after supervised OFC that distinguish FPIES from tolerant controls</w:t>
            </w:r>
          </w:p>
        </w:tc>
        <w:tc>
          <w:tcPr>
            <w:tcW w:type="dxa" w:w="2980"/>
            <w:tcBorders>
              <w:top w:val="single" w:color="CCCCCC" w:sz="1"/>
              <w:left w:val="single" w:color="CCCCCC" w:sz="1"/>
              <w:bottom w:val="single" w:color="CCCCCC" w:sz="1"/>
              <w:right w:val="single" w:color="CCCCCC" w:sz="1"/>
            </w:tcBorders>
            <w:shd w:fill="EBF3FA" w:val="clear"/>
            <w:tcMar>
              <w:top w:type="dxa" w:w="80"/>
              <w:left w:type="dxa" w:w="120"/>
              <w:bottom w:type="dxa" w:w="80"/>
              <w:right w:type="dxa" w:w="120"/>
            </w:tcMar>
          </w:tcPr>
          <w:p>
            <w:pPr>
              <w:spacing w:after="60"/>
            </w:pPr>
            <w:r>
              <w:rPr>
                <w:rFonts w:ascii="Arial" w:cs="Arial" w:eastAsia="Arial" w:hAnsi="Arial"/>
                <w:sz w:val="20"/>
                <w:szCs w:val="20"/>
              </w:rPr>
              <w:t xml:space="preserve">Prospective OFC with serial blood cytokines (TNF-α, IL-8, TARC/CCL17) at 0, 4, 8, 24 h; FPIES patients vs tolerant and non-allergic controls</w:t>
            </w:r>
          </w:p>
        </w:tc>
        <w:tc>
          <w:tcPr>
            <w:tcW w:type="dxa" w:w="3380"/>
            <w:tcBorders>
              <w:top w:val="single" w:color="CCCCCC" w:sz="1"/>
              <w:left w:val="single" w:color="CCCCCC" w:sz="1"/>
              <w:bottom w:val="single" w:color="CCCCCC" w:sz="1"/>
              <w:right w:val="single" w:color="CCCCCC" w:sz="1"/>
            </w:tcBorders>
            <w:shd w:fill="EBF3FA" w:val="clear"/>
            <w:tcMar>
              <w:top w:type="dxa" w:w="80"/>
              <w:left w:type="dxa" w:w="120"/>
              <w:bottom w:type="dxa" w:w="80"/>
              <w:right w:type="dxa" w:w="120"/>
            </w:tcMar>
          </w:tcPr>
          <w:p>
            <w:pPr>
              <w:spacing w:after="60"/>
            </w:pPr>
            <w:r>
              <w:rPr>
                <w:rFonts w:ascii="Arial" w:cs="Arial" w:eastAsia="Arial" w:hAnsi="Arial"/>
                <w:sz w:val="20"/>
                <w:szCs w:val="20"/>
              </w:rPr>
              <w:t xml:space="preserve">Discriminant cytokine pattern identifies FPIES with ≥80% sensitivity and specificity, providing a candidate diagnostic biomarker. Falsified if no cytokine pattern distinguishes groups.</w:t>
            </w:r>
          </w:p>
        </w:tc>
      </w:tr>
      <w:tr>
        <w:tc>
          <w:tcPr>
            <w:tcW w:type="dxa" w:w="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60"/>
            </w:pPr>
            <w:r>
              <w:rPr>
                <w:rFonts w:ascii="Arial" w:cs="Arial" w:eastAsia="Arial" w:hAnsi="Arial"/>
                <w:sz w:val="20"/>
                <w:szCs w:val="20"/>
              </w:rPr>
              <w:t xml:space="preserve">P5</w:t>
            </w:r>
          </w:p>
        </w:tc>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60"/>
            </w:pPr>
            <w:r>
              <w:rPr>
                <w:rFonts w:ascii="Arial" w:cs="Arial" w:eastAsia="Arial" w:hAnsi="Arial"/>
                <w:sz w:val="20"/>
                <w:szCs w:val="20"/>
              </w:rPr>
              <w:t xml:space="preserve">E2 phase of the menstrual cycle predicts EoE symptom severity independent of eosinophil count — proposed mechanism: E2 effects on esophageal sensory nerve threshold or immune cell trafficking, distinct from the mast cell FcεRI pathway relevant to IgE-mediated atopic disease</w:t>
            </w:r>
          </w:p>
        </w:tc>
        <w:tc>
          <w:tcPr>
            <w:tcW w:type="dxa" w:w="29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60"/>
            </w:pPr>
            <w:r>
              <w:rPr>
                <w:rFonts w:ascii="Arial" w:cs="Arial" w:eastAsia="Arial" w:hAnsi="Arial"/>
                <w:sz w:val="20"/>
                <w:szCs w:val="20"/>
              </w:rPr>
              <w:t xml:space="preserve">Longitudinal: EoE patients (reproductive-age women) with serial symptom scoring, DSQ, and hormonal profiling over 2 menstrual cycles</w:t>
            </w:r>
          </w:p>
        </w:tc>
        <w:tc>
          <w:tcPr>
            <w:tcW w:type="dxa" w:w="33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60"/>
            </w:pPr>
            <w:r>
              <w:rPr>
                <w:rFonts w:ascii="Arial" w:cs="Arial" w:eastAsia="Arial" w:hAnsi="Arial"/>
                <w:sz w:val="20"/>
                <w:szCs w:val="20"/>
              </w:rPr>
              <w:t xml:space="preserve">DSQ scores elevated in high-E2 luteal phase vs follicular phase without biopsy-confirmed eosinophilia change. Falsified if no phase correlation with symptoms.</w:t>
            </w:r>
          </w:p>
        </w:tc>
      </w:tr>
      <w:tr>
        <w:tc>
          <w:tcPr>
            <w:tcW w:type="dxa" w:w="500"/>
            <w:tcBorders>
              <w:top w:val="single" w:color="CCCCCC" w:sz="1"/>
              <w:left w:val="single" w:color="CCCCCC" w:sz="1"/>
              <w:bottom w:val="single" w:color="CCCCCC" w:sz="1"/>
              <w:right w:val="single" w:color="CCCCCC" w:sz="1"/>
            </w:tcBorders>
            <w:shd w:fill="EBF3FA" w:val="clear"/>
            <w:tcMar>
              <w:top w:type="dxa" w:w="80"/>
              <w:left w:type="dxa" w:w="120"/>
              <w:bottom w:type="dxa" w:w="80"/>
              <w:right w:type="dxa" w:w="120"/>
            </w:tcMar>
          </w:tcPr>
          <w:p>
            <w:pPr>
              <w:spacing w:after="60"/>
            </w:pPr>
            <w:r>
              <w:rPr>
                <w:rFonts w:ascii="Arial" w:cs="Arial" w:eastAsia="Arial" w:hAnsi="Arial"/>
                <w:sz w:val="20"/>
                <w:szCs w:val="20"/>
              </w:rPr>
              <w:t xml:space="preserve">P6</w:t>
            </w:r>
          </w:p>
        </w:tc>
        <w:tc>
          <w:tcPr>
            <w:tcW w:type="dxa" w:w="2500"/>
            <w:tcBorders>
              <w:top w:val="single" w:color="CCCCCC" w:sz="1"/>
              <w:left w:val="single" w:color="CCCCCC" w:sz="1"/>
              <w:bottom w:val="single" w:color="CCCCCC" w:sz="1"/>
              <w:right w:val="single" w:color="CCCCCC" w:sz="1"/>
            </w:tcBorders>
            <w:shd w:fill="EBF3FA" w:val="clear"/>
            <w:tcMar>
              <w:top w:type="dxa" w:w="80"/>
              <w:left w:type="dxa" w:w="120"/>
              <w:bottom w:type="dxa" w:w="80"/>
              <w:right w:type="dxa" w:w="120"/>
            </w:tcMar>
          </w:tcPr>
          <w:p>
            <w:pPr>
              <w:spacing w:after="60"/>
            </w:pPr>
            <w:r>
              <w:rPr>
                <w:rFonts w:ascii="Arial" w:cs="Arial" w:eastAsia="Arial" w:hAnsi="Arial"/>
                <w:sz w:val="20"/>
                <w:szCs w:val="20"/>
              </w:rPr>
              <w:t xml:space="preserve">CRD-guided EoE dietary management reduces unnecessary food exclusions without reducing remission rates compared to empiric step-up</w:t>
            </w:r>
          </w:p>
        </w:tc>
        <w:tc>
          <w:tcPr>
            <w:tcW w:type="dxa" w:w="2980"/>
            <w:tcBorders>
              <w:top w:val="single" w:color="CCCCCC" w:sz="1"/>
              <w:left w:val="single" w:color="CCCCCC" w:sz="1"/>
              <w:bottom w:val="single" w:color="CCCCCC" w:sz="1"/>
              <w:right w:val="single" w:color="CCCCCC" w:sz="1"/>
            </w:tcBorders>
            <w:shd w:fill="EBF3FA" w:val="clear"/>
            <w:tcMar>
              <w:top w:type="dxa" w:w="80"/>
              <w:left w:type="dxa" w:w="120"/>
              <w:bottom w:type="dxa" w:w="80"/>
              <w:right w:type="dxa" w:w="120"/>
            </w:tcMar>
          </w:tcPr>
          <w:p>
            <w:pPr>
              <w:spacing w:after="60"/>
            </w:pPr>
            <w:r>
              <w:rPr>
                <w:rFonts w:ascii="Arial" w:cs="Arial" w:eastAsia="Arial" w:hAnsi="Arial"/>
                <w:sz w:val="20"/>
                <w:szCs w:val="20"/>
              </w:rPr>
              <w:t xml:space="preserve">RCT: CRD-guided elimination vs empiric 1FED→4FED; primary endpoints: remission rate and number of foods excluded at 12 months</w:t>
            </w:r>
          </w:p>
        </w:tc>
        <w:tc>
          <w:tcPr>
            <w:tcW w:type="dxa" w:w="3380"/>
            <w:tcBorders>
              <w:top w:val="single" w:color="CCCCCC" w:sz="1"/>
              <w:left w:val="single" w:color="CCCCCC" w:sz="1"/>
              <w:bottom w:val="single" w:color="CCCCCC" w:sz="1"/>
              <w:right w:val="single" w:color="CCCCCC" w:sz="1"/>
            </w:tcBorders>
            <w:shd w:fill="EBF3FA" w:val="clear"/>
            <w:tcMar>
              <w:top w:type="dxa" w:w="80"/>
              <w:left w:type="dxa" w:w="120"/>
              <w:bottom w:type="dxa" w:w="80"/>
              <w:right w:type="dxa" w:w="120"/>
            </w:tcMar>
          </w:tcPr>
          <w:p>
            <w:pPr>
              <w:spacing w:after="60"/>
            </w:pPr>
            <w:r>
              <w:rPr>
                <w:rFonts w:ascii="Arial" w:cs="Arial" w:eastAsia="Arial" w:hAnsi="Arial"/>
                <w:sz w:val="20"/>
                <w:szCs w:val="20"/>
              </w:rPr>
              <w:t xml:space="preserve">CRD arm achieves equivalent remission with fewer eliminated foods. Falsified if remission rate is significantly lower in CRD arm.</w:t>
            </w:r>
          </w:p>
        </w:tc>
      </w:tr>
      <w:tr>
        <w:tc>
          <w:tcPr>
            <w:tcW w:type="dxa" w:w="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60"/>
            </w:pPr>
            <w:r>
              <w:rPr>
                <w:rFonts w:ascii="Arial" w:cs="Arial" w:eastAsia="Arial" w:hAnsi="Arial"/>
                <w:sz w:val="20"/>
                <w:szCs w:val="20"/>
              </w:rPr>
              <w:t xml:space="preserve">P7</w:t>
            </w:r>
          </w:p>
        </w:tc>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60"/>
            </w:pPr>
            <w:r>
              <w:rPr>
                <w:rFonts w:ascii="Arial" w:cs="Arial" w:eastAsia="Arial" w:hAnsi="Arial"/>
                <w:sz w:val="20"/>
                <w:szCs w:val="20"/>
              </w:rPr>
              <w:t xml:space="preserve">VIP analogue (aviptadil) inhaled pre-exposure reduces exercise-induced bronchoconstriction and mast cell tryptase more than beta-2 agonist alone</w:t>
            </w:r>
          </w:p>
        </w:tc>
        <w:tc>
          <w:tcPr>
            <w:tcW w:type="dxa" w:w="29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60"/>
            </w:pPr>
            <w:r>
              <w:rPr>
                <w:rFonts w:ascii="Arial" w:cs="Arial" w:eastAsia="Arial" w:hAnsi="Arial"/>
                <w:sz w:val="20"/>
                <w:szCs w:val="20"/>
              </w:rPr>
              <w:t xml:space="preserve">Crossover RCT: exercise challenge with inhaled aviptadil vs salbutamol vs combination; primary endpoints: FEV1 reduction and serum tryptase</w:t>
            </w:r>
          </w:p>
        </w:tc>
        <w:tc>
          <w:tcPr>
            <w:tcW w:type="dxa" w:w="33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60"/>
            </w:pPr>
            <w:r>
              <w:rPr>
                <w:rFonts w:ascii="Arial" w:cs="Arial" w:eastAsia="Arial" w:hAnsi="Arial"/>
                <w:sz w:val="20"/>
                <w:szCs w:val="20"/>
              </w:rPr>
              <w:t xml:space="preserve">Aviptadil + salbutamol combination superior to salbutamol alone on tryptase (mast cell degranulation) despite similar bronchodilation. Falsified if no tryptase difference.</w:t>
            </w:r>
          </w:p>
        </w:tc>
      </w:tr>
    </w:tbl>
    <w:p>
      <w:pPr>
        <w:spacing w:after="160"/>
      </w:pPr>
      <w:r>
        <w:rPr>
          <w:rFonts w:ascii="Arial" w:cs="Arial" w:eastAsia="Arial" w:hAnsi="Arial"/>
          <w:sz w:val="24"/>
          <w:szCs w:val="24"/>
        </w:rPr>
        <w:t xml:space="preserve">Table 4. Testable predictions derived from the mechanistic framework. Feasibility tiers: P1 and P4 are immediately actionable with existing infrastructure (blood-based biomarker studies). P2, P3, and P5 are medium-term translational studies (prospective multi-site or RCT). P6 and P7 are longer-horizon RCT targets requiring regulatory or infrastructure development. P3 (NK1 antagonism in EoE) would test the neurogenic arm independently of the Th2 cascade.</w:t>
      </w:r>
    </w:p>
    <w:p>
      <w:pPr>
        <w:pStyle w:val="Heading1"/>
        <w:spacing w:before="360" w:after="180"/>
      </w:pPr>
      <w:r>
        <w:rPr>
          <w:rFonts w:ascii="Arial" w:cs="Arial" w:eastAsia="Arial" w:hAnsi="Arial"/>
          <w:b/>
          <w:bCs/>
          <w:sz w:val="32"/>
          <w:szCs w:val="32"/>
        </w:rPr>
        <w:t xml:space="preserve">§13 — Open Gaps</w:t>
      </w:r>
    </w:p>
    <w:p>
      <w:pPr>
        <w:pStyle w:val="ListParagraph"/>
        <w:numPr>
          <w:ilvl w:val="0"/>
          <w:numId w:val="2"/>
        </w:numPr>
        <w:spacing w:after="100"/>
      </w:pPr>
      <w:r>
        <w:rPr>
          <w:rFonts w:ascii="Arial" w:cs="Arial" w:eastAsia="Arial" w:hAnsi="Arial"/>
          <w:sz w:val="24"/>
          <w:szCs w:val="24"/>
        </w:rPr>
        <w:t xml:space="preserve">FPIES diagnostic biomarker: no validated blood-based biomarker exists for FPIES diagnosis or monitoring. TARC/CCL17 and TNF-α surges during OFC are candidate biomarkers (small case series data; reported in a November 2024 paper describing findings from the 2022 NIAID FPIES workshop) but require prospective validation. P4 above targets this gap.</w:t>
      </w:r>
    </w:p>
    <w:p>
      <w:pPr>
        <w:pStyle w:val="ListParagraph"/>
        <w:numPr>
          <w:ilvl w:val="0"/>
          <w:numId w:val="2"/>
        </w:numPr>
        <w:spacing w:after="100"/>
      </w:pPr>
      <w:r>
        <w:rPr>
          <w:rFonts w:ascii="Arial" w:cs="Arial" w:eastAsia="Arial" w:hAnsi="Arial"/>
          <w:sz w:val="24"/>
          <w:szCs w:val="24"/>
        </w:rPr>
        <w:t xml:space="preserve">BAT standardisation for clinical use: BAT lacks standardised protocols across laboratories and clinically validated cutoffs for most allergens beyond peanut. The 2024 inclusion in clinical guidelines is a milestone; the standardisation work required for broad clinical adoption is ongoing.</w:t>
      </w:r>
    </w:p>
    <w:p>
      <w:pPr>
        <w:pStyle w:val="ListParagraph"/>
        <w:numPr>
          <w:ilvl w:val="0"/>
          <w:numId w:val="2"/>
        </w:numPr>
        <w:spacing w:after="100"/>
      </w:pPr>
      <w:r>
        <w:rPr>
          <w:rFonts w:ascii="Arial" w:cs="Arial" w:eastAsia="Arial" w:hAnsi="Arial"/>
          <w:sz w:val="24"/>
          <w:szCs w:val="24"/>
        </w:rPr>
        <w:t xml:space="preserve">ILC2-specific therapeutic targeting: no approved therapy currently specifically targets ILC2s. Tezepelumab (anti-TSLP, approved for asthma) and anti-IL-33 biologics (itepekimab) block upstream ILC2 activators, but ILC2-intrinsic markers for direct targeting have not been identified. Understanding which patients have ILC2-dominant vs Th2-dominant disease would enable more precise biologic selection.</w:t>
      </w:r>
    </w:p>
    <w:p>
      <w:pPr>
        <w:pStyle w:val="ListParagraph"/>
        <w:numPr>
          <w:ilvl w:val="0"/>
          <w:numId w:val="2"/>
        </w:numPr>
        <w:spacing w:after="100"/>
      </w:pPr>
      <w:r>
        <w:rPr>
          <w:rFonts w:ascii="Arial" w:cs="Arial" w:eastAsia="Arial" w:hAnsi="Arial"/>
          <w:sz w:val="24"/>
          <w:szCs w:val="24"/>
        </w:rPr>
        <w:t xml:space="preserve">NK1 antagonists in allergy: aprepitant is FDA-approved as an antiemetic (SP in the emesis reflex). Its anti-inflammatory potential via NK1 on mast cells, eosinophils, and sensory neurons has not been tested in clinical allergy or EoE trials. P3 above targets this gap.</w:t>
      </w:r>
    </w:p>
    <w:p>
      <w:pPr>
        <w:pStyle w:val="ListParagraph"/>
        <w:numPr>
          <w:ilvl w:val="0"/>
          <w:numId w:val="2"/>
        </w:numPr>
        <w:spacing w:after="100"/>
      </w:pPr>
      <w:r>
        <w:rPr>
          <w:rFonts w:ascii="Arial" w:cs="Arial" w:eastAsia="Arial" w:hAnsi="Arial"/>
          <w:sz w:val="24"/>
          <w:szCs w:val="24"/>
        </w:rPr>
        <w:t xml:space="preserve">Eotaxin-3 clinical cutoff for EoE: no validated cutoff exists for diagnosis or treatment monitoring. A prospective study correlating serial eotaxin-3 with simultaneous EREFS and biopsy across treatment conditions would establish the first non-invasive disease activity biomarker for EoE.</w:t>
      </w:r>
    </w:p>
    <w:p>
      <w:pPr>
        <w:pStyle w:val="ListParagraph"/>
        <w:numPr>
          <w:ilvl w:val="0"/>
          <w:numId w:val="2"/>
        </w:numPr>
        <w:spacing w:after="100"/>
      </w:pPr>
      <w:r>
        <w:rPr>
          <w:rFonts w:ascii="Arial" w:cs="Arial" w:eastAsia="Arial" w:hAnsi="Arial"/>
          <w:sz w:val="24"/>
          <w:szCs w:val="24"/>
        </w:rPr>
        <w:t xml:space="preserve">Hormonal modulation of EoE symptom severity: the proposed mechanism is E2 effects on esophageal sensory nerve threshold or immune cell trafficking (not mast cell FcεRI priming, which is not the primary EoE pathway). Whether menstrual cycle phase predicts EoE symptom severity independent of eosinophil count has not been prospectively characterised. P5 above targets this gap.</w:t>
      </w:r>
    </w:p>
    <w:p>
      <w:pPr>
        <w:pStyle w:val="ListParagraph"/>
        <w:numPr>
          <w:ilvl w:val="0"/>
          <w:numId w:val="2"/>
        </w:numPr>
        <w:spacing w:after="100"/>
      </w:pPr>
      <w:r>
        <w:rPr>
          <w:rFonts w:ascii="Arial" w:cs="Arial" w:eastAsia="Arial" w:hAnsi="Arial"/>
          <w:sz w:val="24"/>
          <w:szCs w:val="24"/>
        </w:rPr>
        <w:t xml:space="preserve">CRD utility in EoE: CRD-guided dietary management in EoE has theoretical appeal but has not been validated in a prospective RCT against empiric step-up elimination. P6 above targets this gap.</w:t>
      </w:r>
    </w:p>
    <w:p>
      <w:pPr>
        <w:pStyle w:val="Heading1"/>
        <w:spacing w:before="360" w:after="180"/>
      </w:pPr>
      <w:r>
        <w:rPr>
          <w:rFonts w:ascii="Arial" w:cs="Arial" w:eastAsia="Arial" w:hAnsi="Arial"/>
          <w:b/>
          <w:bCs/>
          <w:sz w:val="32"/>
          <w:szCs w:val="32"/>
        </w:rPr>
        <w:t xml:space="preserve">§14 — Limitations</w:t>
      </w:r>
    </w:p>
    <w:p>
      <w:pPr>
        <w:spacing w:after="160"/>
      </w:pPr>
      <w:r>
        <w:rPr>
          <w:rFonts w:ascii="Arial" w:cs="Arial" w:eastAsia="Arial" w:hAnsi="Arial"/>
          <w:sz w:val="24"/>
          <w:szCs w:val="24"/>
        </w:rPr>
        <w:t xml:space="preserve">This paper is a mechanistic synthesis and narrative review, not a systematic review. The literature search was targeted toward immunological mechanisms, diagnostic tool performance, and recent clinical evidence rather than exhaustive. Some relevant studies may have been missed, and the reference list (n=27) is selective.</w:t>
      </w:r>
    </w:p>
    <w:p>
      <w:pPr>
        <w:spacing w:after="160"/>
      </w:pPr>
      <w:r>
        <w:rPr>
          <w:rFonts w:ascii="Arial" w:cs="Arial" w:eastAsia="Arial" w:hAnsi="Arial"/>
          <w:sz w:val="24"/>
          <w:szCs w:val="24"/>
        </w:rPr>
        <w:t xml:space="preserve">Several mechanisms described here are well-supported at the level of individual molecular steps (SP/NK1 on mast cells: replicated human evidence; E2/FcεRI upregulation via ERα: replicated human evidence [Zaitsu08]) but the full integrated cascade — particularly the combined SP×E2 threshold interaction, and the VIP depletion → mast cell priming cascade in asthma — is mechanistically supported but not yet fully validated clinically in EoE and FPIES specifically. The SP and E2 sections in particular represent well-supported mechanistic proposals whose clinical significance in non-IgE food reactions has not been directly quantified.</w:t>
      </w:r>
    </w:p>
    <w:p>
      <w:pPr>
        <w:spacing w:after="160"/>
      </w:pPr>
      <w:r>
        <w:rPr>
          <w:rFonts w:ascii="Arial" w:cs="Arial" w:eastAsia="Arial" w:hAnsi="Arial"/>
          <w:sz w:val="24"/>
          <w:szCs w:val="24"/>
        </w:rPr>
        <w:t xml:space="preserve">BAT data cited here pertains primarily to IgE-mediated reactions. The argument that BAT is irrelevant for non-IgE conditions is mechanistically correct but the evidence base for BAT performance specifically in EoE patients (as expected negatives) is limited to the general understanding that EoE is non-IgE-mediated; no large prospective study of BAT in EoE patients against confirmed trigger identification has been published.</w:t>
      </w:r>
    </w:p>
    <w:p>
      <w:pPr>
        <w:spacing w:after="160"/>
      </w:pPr>
      <w:r>
        <w:rPr>
          <w:rFonts w:ascii="Arial" w:cs="Arial" w:eastAsia="Arial" w:hAnsi="Arial"/>
          <w:sz w:val="24"/>
          <w:szCs w:val="24"/>
        </w:rPr>
        <w:t xml:space="preserve">CRD for EoE is an area of active investigation and the conclusion that it is ‘not yet ready to replace empiric elimination’ reflects the state of the literature as of early 2026 and may evolve.</w:t>
      </w:r>
    </w:p>
    <w:p>
      <w:pPr>
        <w:pStyle w:val="Heading1"/>
        <w:spacing w:before="360" w:after="180"/>
      </w:pPr>
      <w:r>
        <w:rPr>
          <w:rFonts w:ascii="Arial" w:cs="Arial" w:eastAsia="Arial" w:hAnsi="Arial"/>
          <w:b/>
          <w:bCs/>
          <w:sz w:val="32"/>
          <w:szCs w:val="32"/>
        </w:rPr>
        <w:t xml:space="preserve">§15 — Acknowledgments</w:t>
      </w:r>
    </w:p>
    <w:p>
      <w:pPr>
        <w:spacing w:after="160"/>
      </w:pPr>
      <w:r>
        <w:rPr>
          <w:rFonts w:ascii="Arial" w:cs="Arial" w:eastAsia="Arial" w:hAnsi="Arial"/>
          <w:sz w:val="24"/>
          <w:szCs w:val="24"/>
        </w:rPr>
        <w:t xml:space="preserve">The author thanks colleagues and readers who provided feedback on earlier drafts of this manuscript.</w:t>
      </w:r>
    </w:p>
    <w:p>
      <w:pPr>
        <w:spacing w:after="160"/>
      </w:pPr>
      <w:r>
        <w:rPr>
          <w:rFonts w:ascii="Arial" w:cs="Arial" w:eastAsia="Arial" w:hAnsi="Arial"/>
          <w:sz w:val="24"/>
          <w:szCs w:val="24"/>
        </w:rPr>
        <w:t xml:space="preserve">Disclosures</w:t>
      </w:r>
    </w:p>
    <w:p>
      <w:pPr>
        <w:spacing w:after="160"/>
      </w:pPr>
      <w:r>
        <w:rPr>
          <w:rFonts w:ascii="Arial" w:cs="Arial" w:eastAsia="Arial" w:hAnsi="Arial"/>
          <w:sz w:val="24"/>
          <w:szCs w:val="24"/>
        </w:rPr>
        <w:t xml:space="preserve">This manuscript is an independent, hypothesis-generating narrative review. AI-assisted writing tools were used for drafting support and literature organisation; all scientific claims, wording decisions, and citation checks were reviewed and verified against the cited sources by the author. Research files are publicly available at github.com/Sykopompos/Research-papers.</w:t>
      </w:r>
    </w:p>
    <w:p>
      <w:pPr>
        <w:pStyle w:val="Heading1"/>
        <w:spacing w:before="360" w:after="180"/>
      </w:pPr>
      <w:r>
        <w:rPr>
          <w:rFonts w:ascii="Arial" w:cs="Arial" w:eastAsia="Arial" w:hAnsi="Arial"/>
          <w:b/>
          <w:bCs/>
          <w:sz w:val="32"/>
          <w:szCs w:val="32"/>
        </w:rPr>
        <w:t xml:space="preserve">§16 — References</w:t>
      </w:r>
    </w:p>
    <w:p>
      <w:pPr>
        <w:spacing w:after="160"/>
      </w:pPr>
      <w:r>
        <w:rPr>
          <w:rFonts w:ascii="Arial" w:cs="Arial" w:eastAsia="Arial" w:hAnsi="Arial"/>
          <w:sz w:val="24"/>
          <w:szCs w:val="24"/>
        </w:rPr>
        <w:t xml:space="preserve">[Furuta07] G.T. Furuta et al. Eosinophilic esophagitis in children and adults: a systematic review and consensus recommendations for diagnosis and treatment. Gastroenterology 133 (2007) 1342–1363.</w:t>
      </w:r>
    </w:p>
    <w:p>
      <w:pPr>
        <w:spacing w:after="160"/>
      </w:pPr>
      <w:r>
        <w:rPr>
          <w:rFonts w:ascii="Arial" w:cs="Arial" w:eastAsia="Arial" w:hAnsi="Arial"/>
          <w:sz w:val="24"/>
          <w:szCs w:val="24"/>
        </w:rPr>
        <w:t xml:space="preserve">[Blanchard06] M.G. Blanchard et al. Eotaxin-3 and a uniquely conserved gene-expression profile in eosinophilic esophagitis. J Clin Invest 116 (2006) 536–547.</w:t>
      </w:r>
    </w:p>
    <w:p>
      <w:pPr>
        <w:spacing w:after="160"/>
      </w:pPr>
      <w:r>
        <w:rPr>
          <w:rFonts w:ascii="Arial" w:cs="Arial" w:eastAsia="Arial" w:hAnsi="Arial"/>
          <w:sz w:val="24"/>
          <w:szCs w:val="24"/>
        </w:rPr>
        <w:t xml:space="preserve">[Kottyan17] L.C. Kottyan et al. Genetic variants at the 16p13 locus confer risk for eosinophilic esophagitis. Genes Immun 18 (2017) 281–289.</w:t>
      </w:r>
    </w:p>
    <w:p>
      <w:pPr>
        <w:spacing w:after="160"/>
      </w:pPr>
      <w:r>
        <w:rPr>
          <w:rFonts w:ascii="Arial" w:cs="Arial" w:eastAsia="Arial" w:hAnsi="Arial"/>
          <w:sz w:val="24"/>
          <w:szCs w:val="24"/>
        </w:rPr>
        <w:t xml:space="preserve">[Update23] E.S. Dellon et al. Updated international consensus diagnostic criteria for eosinophilic esophagitis: proceedings of the AGREE conference. Gastroenterology 165 (2023) 1098–1116.</w:t>
      </w:r>
    </w:p>
    <w:p>
      <w:pPr>
        <w:spacing w:after="160"/>
      </w:pPr>
      <w:r>
        <w:rPr>
          <w:rFonts w:ascii="Arial" w:cs="Arial" w:eastAsia="Arial" w:hAnsi="Arial"/>
          <w:sz w:val="24"/>
          <w:szCs w:val="24"/>
        </w:rPr>
        <w:t xml:space="preserve">[Kliewer23] K.L. Kliewer et al. One-food versus six-food elimination diet therapy for the treatment of eosinophilic oesophagitis: a multicentre, randomised, open-label trial. Lancet Gastroenterol Hepatol 8 (2023) 408–421.</w:t>
      </w:r>
    </w:p>
    <w:p>
      <w:pPr>
        <w:spacing w:after="160"/>
      </w:pPr>
      <w:r>
        <w:rPr>
          <w:rFonts w:ascii="Arial" w:cs="Arial" w:eastAsia="Arial" w:hAnsi="Arial"/>
          <w:sz w:val="24"/>
          <w:szCs w:val="24"/>
        </w:rPr>
        <w:t xml:space="preserve">[Rothenberg24] M.E. Rothenberg et al. One-food versus 4-food elimination diet for pediatric eosinophilic esophagitis: A multisite randomized trial. J Allergy Clin Immunol 155 (2025) 520–532 (published Sept 2024).</w:t>
      </w:r>
    </w:p>
    <w:p>
      <w:pPr>
        <w:spacing w:after="160"/>
      </w:pPr>
      <w:r>
        <w:rPr>
          <w:rFonts w:ascii="Arial" w:cs="Arial" w:eastAsia="Arial" w:hAnsi="Arial"/>
          <w:sz w:val="24"/>
          <w:szCs w:val="24"/>
        </w:rPr>
        <w:t xml:space="preserve">[Nowak-Wegrzyn17] A. Nowak-Węgrzyn et al. International consensus guidelines for the diagnosis and management of food protein-induced enterocolitis syndrome: Executive summary. J Allergy Clin Immunol 139 (2017) 1111–1126.</w:t>
      </w:r>
    </w:p>
    <w:p>
      <w:pPr>
        <w:spacing w:after="160"/>
      </w:pPr>
      <w:r>
        <w:rPr>
          <w:rFonts w:ascii="Arial" w:cs="Arial" w:eastAsia="Arial" w:hAnsi="Arial"/>
          <w:sz w:val="24"/>
          <w:szCs w:val="24"/>
        </w:rPr>
        <w:t xml:space="preserve">[Anvari24] S. Anvari, M.A. Ruffner, A. Nowak-Węgrzyn. Current and future perspectives on the consensus guideline for food protein-induced enterocolitis syndrome (FPIES). Allergology International 73 (2024) 188–195.</w:t>
      </w:r>
    </w:p>
    <w:p>
      <w:pPr>
        <w:spacing w:after="160"/>
      </w:pPr>
      <w:r>
        <w:rPr>
          <w:rFonts w:ascii="Arial" w:cs="Arial" w:eastAsia="Arial" w:hAnsi="Arial"/>
          <w:sz w:val="24"/>
          <w:szCs w:val="24"/>
        </w:rPr>
        <w:t xml:space="preserve">[Bergmann24] M.M. Bergmann, A.F. Santos. Basophil activation test in the food allergy clinic: its current use and future applications. Expert Rev Clin Immunol 20 (2024) 1297–1304.</w:t>
      </w:r>
    </w:p>
    <w:p>
      <w:pPr>
        <w:spacing w:after="160"/>
      </w:pPr>
      <w:r>
        <w:rPr>
          <w:rFonts w:ascii="Arial" w:cs="Arial" w:eastAsia="Arial" w:hAnsi="Arial"/>
          <w:sz w:val="24"/>
          <w:szCs w:val="24"/>
        </w:rPr>
        <w:t xml:space="preserve">[Santos21] A.F. Santos et al. Basophil activation test reduces oral food challenges to nuts and sesame. J Allergy Clin Immunol Pract 9 (2021) 1759–1768.</w:t>
      </w:r>
    </w:p>
    <w:p>
      <w:pPr>
        <w:spacing w:after="160"/>
      </w:pPr>
      <w:r>
        <w:rPr>
          <w:rFonts w:ascii="Arial" w:cs="Arial" w:eastAsia="Arial" w:hAnsi="Arial"/>
          <w:sz w:val="24"/>
          <w:szCs w:val="24"/>
        </w:rPr>
        <w:t xml:space="preserve">[EAACI-MAUG23] S. Dramburg, C. Hilger, A.F. Santos et al. EAACI Molecular Allergology User’s Guide 2.0. Pediatr Allergy Immunol 34 Suppl 28 (2023) e13854.</w:t>
      </w:r>
    </w:p>
    <w:p>
      <w:pPr>
        <w:spacing w:after="160"/>
      </w:pPr>
      <w:r>
        <w:rPr>
          <w:rFonts w:ascii="Arial" w:cs="Arial" w:eastAsia="Arial" w:hAnsi="Arial"/>
          <w:sz w:val="24"/>
          <w:szCs w:val="24"/>
        </w:rPr>
        <w:t xml:space="preserve">[CRD-EoE24] — removed from reference list; HMP Global Learning Network is a medical communications company (not peer-reviewed).</w:t>
      </w:r>
    </w:p>
    <w:p>
      <w:pPr>
        <w:spacing w:after="160"/>
      </w:pPr>
      <w:r>
        <w:rPr>
          <w:rFonts w:ascii="Arial" w:cs="Arial" w:eastAsia="Arial" w:hAnsi="Arial"/>
          <w:sz w:val="24"/>
          <w:szCs w:val="24"/>
        </w:rPr>
        <w:t xml:space="preserve">[Payan89] D.G. Payan. Neuropeptides and inflammation: the role of substance P. Annu Rev Med 40 (1989) 341–352.</w:t>
      </w:r>
    </w:p>
    <w:p>
      <w:pPr>
        <w:spacing w:after="160"/>
      </w:pPr>
      <w:r>
        <w:rPr>
          <w:rFonts w:ascii="Arial" w:cs="Arial" w:eastAsia="Arial" w:hAnsi="Arial"/>
          <w:sz w:val="24"/>
          <w:szCs w:val="24"/>
        </w:rPr>
        <w:t xml:space="preserve">[Said91] S.I. Said. Neuropeptides as modulators of injury and inflammation. J Investig Dermatol 97 (1991) 15S–18S.</w:t>
      </w:r>
    </w:p>
    <w:p>
      <w:pPr>
        <w:spacing w:after="160"/>
      </w:pPr>
      <w:r>
        <w:rPr>
          <w:rFonts w:ascii="Arial" w:cs="Arial" w:eastAsia="Arial" w:hAnsi="Arial"/>
          <w:sz w:val="24"/>
          <w:szCs w:val="24"/>
        </w:rPr>
        <w:t xml:space="preserve">[Gonzalez-Rey06] E. Gonzalez-Rey et al. Vasoactive intestinal peptide generates human tolerogenic dendritic cells that induce CD4 and CD8 regulatory T cells. Blood 107 (2006) 3632–3638. [VIP → Treg differentiation; mucosal anti-inflammatory]</w:t>
      </w:r>
    </w:p>
    <w:p>
      <w:pPr>
        <w:spacing w:after="160"/>
      </w:pPr>
      <w:r>
        <w:rPr>
          <w:rFonts w:ascii="Arial" w:cs="Arial" w:eastAsia="Arial" w:hAnsi="Arial"/>
          <w:sz w:val="24"/>
          <w:szCs w:val="24"/>
        </w:rPr>
        <w:t xml:space="preserve">[Zaitsu08] M. Zaitsu et al. Estradiol promotes development of the Th2 phenotype and IgE upregulation through the estrogen receptor on human B cells. Clin Exp Allergy 38 (2008) 1600–1607. [E2/ERα → IgE pathway; E2 mast cell priming mechanism]</w:t>
      </w:r>
    </w:p>
    <w:p>
      <w:pPr>
        <w:spacing w:after="160"/>
      </w:pPr>
      <w:r>
        <w:rPr>
          <w:rFonts w:ascii="Arial" w:cs="Arial" w:eastAsia="Arial" w:hAnsi="Arial"/>
          <w:sz w:val="24"/>
          <w:szCs w:val="24"/>
        </w:rPr>
        <w:t xml:space="preserve">[Forsythe99] P. Forsythe, C. Ennis. Estrogen and mast cells. Allergy 54 (1999) 11–15. [E2/ERα → FcεRI upregulation on mast cells; reduced degranulation threshold; mast cell priming mechanism]</w:t>
      </w:r>
    </w:p>
    <w:p>
      <w:pPr>
        <w:spacing w:after="160"/>
      </w:pPr>
      <w:r>
        <w:rPr>
          <w:rFonts w:ascii="Arial" w:cs="Arial" w:eastAsia="Arial" w:hAnsi="Arial"/>
          <w:sz w:val="24"/>
          <w:szCs w:val="24"/>
        </w:rPr>
        <w:t xml:space="preserve">[Ollerenshaw89] S. Ollerenshaw et al. Absence of immunoreactive vasoactive intestinal polypeptide in tissue from the lungs of patients with asthma. N Engl J Med 320 (1989) 1244–1248. [VIP depletion in asthmatic bronchial biopsies; correlation with severity; foundational VIP/asthma study]</w:t>
      </w:r>
    </w:p>
    <w:p>
      <w:pPr>
        <w:spacing w:after="160"/>
      </w:pPr>
      <w:r>
        <w:rPr>
          <w:rFonts w:ascii="Arial" w:cs="Arial" w:eastAsia="Arial" w:hAnsi="Arial"/>
          <w:sz w:val="24"/>
          <w:szCs w:val="24"/>
        </w:rPr>
        <w:t xml:space="preserve">[Pichler03] W.J. Pichler. Delayed drug hypersensitivity reactions. Ann Intern Med 139 (2003) 683–693.</w:t>
      </w:r>
    </w:p>
    <w:p>
      <w:pPr>
        <w:spacing w:after="160"/>
      </w:pPr>
      <w:r>
        <w:rPr>
          <w:rFonts w:ascii="Arial" w:cs="Arial" w:eastAsia="Arial" w:hAnsi="Arial"/>
          <w:sz w:val="24"/>
          <w:szCs w:val="24"/>
        </w:rPr>
        <w:t xml:space="preserve">[Selman12] M. Selman, A. Pardo. Hypersensitivity pneumonitis: insights in diagnosis and pathobiology. Am J Respir Crit Care Med 186 (2012) 314–316.</w:t>
      </w:r>
    </w:p>
    <w:p>
      <w:pPr>
        <w:spacing w:after="160"/>
      </w:pPr>
      <w:r>
        <w:rPr>
          <w:rFonts w:ascii="Arial" w:cs="Arial" w:eastAsia="Arial" w:hAnsi="Arial"/>
          <w:sz w:val="24"/>
          <w:szCs w:val="24"/>
        </w:rPr>
        <w:t xml:space="preserve">[Nat-CellMolImmunol25] X. Cai et al. Type 2 immunity in allergic diseases. Cell Mol Immunol (2025). doi:10.1038/s41423-025-01261-2.</w:t>
      </w:r>
    </w:p>
    <w:p>
      <w:pPr>
        <w:spacing w:after="160"/>
      </w:pPr>
      <w:r>
        <w:rPr>
          <w:rFonts w:ascii="Arial" w:cs="Arial" w:eastAsia="Arial" w:hAnsi="Arial"/>
          <w:sz w:val="24"/>
          <w:szCs w:val="24"/>
        </w:rPr>
        <w:t xml:space="preserve">[Obata-Ninomiya24] K. Obata-Ninomiya et al. From the bench to the clinic: basophils and type 2 epithelial cytokines of TSLP and IL-33. Clin Transl Immunol 13 (2024) e70020.</w:t>
      </w:r>
    </w:p>
    <w:p>
      <w:pPr>
        <w:spacing w:after="160"/>
      </w:pPr>
      <w:r>
        <w:rPr>
          <w:rFonts w:ascii="Arial" w:cs="Arial" w:eastAsia="Arial" w:hAnsi="Arial"/>
          <w:sz w:val="24"/>
          <w:szCs w:val="24"/>
        </w:rPr>
        <w:t xml:space="preserve">[Manti24] S. Manti et al. Eosinophilic esophagitis in the “atopic march”: dupilumab as an umbrella strategy for multiple coexisting atopic diseases. Front Med 11 (2024) 1513417.</w:t>
      </w:r>
    </w:p>
    <w:p>
      <w:pPr>
        <w:spacing w:after="160"/>
      </w:pPr>
      <w:r>
        <w:rPr>
          <w:rFonts w:ascii="Arial" w:cs="Arial" w:eastAsia="Arial" w:hAnsi="Arial"/>
          <w:sz w:val="24"/>
          <w:szCs w:val="24"/>
        </w:rPr>
        <w:t xml:space="preserve">[Cahenzli13] J. Cahenzli et al. Intestinal microbial diversity during early-life colonization shapes long-term IgE levels. Cell Host Microbe 14 (2013) 559–570.</w:t>
      </w:r>
    </w:p>
    <w:p>
      <w:pPr>
        <w:spacing w:after="160"/>
      </w:pPr>
      <w:r>
        <w:rPr>
          <w:rFonts w:ascii="Arial" w:cs="Arial" w:eastAsia="Arial" w:hAnsi="Arial"/>
          <w:sz w:val="24"/>
          <w:szCs w:val="24"/>
        </w:rPr>
        <w:t xml:space="preserve">[Ruokoliainen15] L. Ruokoliainen et al. Significant disparities in allergy prevalence and microbiota between the young people in Finnish and Russian Karelia. Clin Exp Allergy 45 (2015) 519–527.</w:t>
      </w:r>
    </w:p>
    <w:p>
      <w:pPr>
        <w:spacing w:after="160"/>
      </w:pPr>
      <w:r>
        <w:rPr>
          <w:rFonts w:ascii="Arial" w:cs="Arial" w:eastAsia="Arial" w:hAnsi="Arial"/>
          <w:sz w:val="24"/>
          <w:szCs w:val="24"/>
        </w:rPr>
        <w:t xml:space="preserve">[Elenkov00] I.I. Elenkov, R.L. Wilder, G.P. Chrousos, E.S. Vizi. The sympathetic nerve — an integrative interface between two supersystems: the brain and the immune system. Pharmacol Rev 52 (2000) 595–638.</w:t>
      </w:r>
    </w:p>
    <w:p>
      <w:pPr>
        <w:spacing w:after="160"/>
      </w:pPr>
      <w:r>
        <w:rPr>
          <w:rFonts w:ascii="Arial" w:cs="Arial" w:eastAsia="Arial" w:hAnsi="Arial"/>
          <w:sz w:val="24"/>
          <w:szCs w:val="24"/>
        </w:rPr>
        <w:t xml:space="preserve">[Dellon22_NEJM] E.S. Dellon et al. Dupilumab in adults and adolescents with eosinophilic esophagitis. N Engl J Med 387 (2022) 2317–2330.</w:t>
      </w:r>
    </w:p>
    <w:p>
      <w:pPr>
        <w:spacing w:after="160"/>
      </w:pPr>
      <w:r>
        <w:rPr>
          <w:rFonts w:ascii="Arial" w:cs="Arial" w:eastAsia="Arial" w:hAnsi="Arial"/>
          <w:sz w:val="24"/>
          <w:szCs w:val="24"/>
        </w:rPr>
        <w:t xml:space="preserve">[Dellon25_NEJMEvid] E.S. Dellon et al. Cendakimab in adults and adolescents with eosinophilic esophagitis. NEJM Evidence 4 (2025) EVIDoa2500095.</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4"/>
        <w:szCs w:val="24"/>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Heading1">
    <w:name w:val="Heading 1"/>
    <w:basedOn w:val="Normal"/>
    <w:next w:val="Normal"/>
    <w:qFormat/>
    <w:pPr>
      <w:spacing w:before="360" w:after="180"/>
      <w:outlineLvl w:val="0"/>
    </w:pPr>
    <w:rPr>
      <w:rFonts w:ascii="Arial" w:cs="Arial" w:eastAsia="Arial" w:hAnsi="Arial"/>
      <w:b/>
      <w:bCs/>
      <w:color w:val="1F4E79"/>
      <w:sz w:val="32"/>
      <w:szCs w:val="32"/>
    </w:rPr>
  </w:style>
  <w:style w:type="paragraph" w:styleId="Heading2">
    <w:name w:val="Heading 2"/>
    <w:basedOn w:val="Normal"/>
    <w:next w:val="Normal"/>
    <w:qFormat/>
    <w:pPr>
      <w:spacing w:before="280" w:after="140"/>
      <w:outlineLvl w:val="1"/>
    </w:pPr>
    <w:rPr>
      <w:rFonts w:ascii="Arial" w:cs="Arial" w:eastAsia="Arial" w:hAnsi="Arial"/>
      <w:b/>
      <w:bCs/>
      <w:color w:val="1F4E79"/>
      <w:sz w:val="28"/>
      <w:szCs w:val="28"/>
    </w:rPr>
  </w:style>
  <w:style w:type="paragraph" w:styleId="Heading3">
    <w:name w:val="Heading 3"/>
    <w:basedOn w:val="Normal"/>
    <w:next w:val="Normal"/>
    <w:qFormat/>
    <w:pPr>
      <w:spacing w:before="200" w:after="100"/>
      <w:outlineLvl w:val="2"/>
    </w:pPr>
    <w:rPr>
      <w:rFonts w:ascii="Arial" w:cs="Arial" w:eastAsia="Arial" w:hAnsi="Arial"/>
      <w:b/>
      <w:bCs/>
      <w:color w:val="2E75B6"/>
      <w:sz w:val="26"/>
      <w:szCs w:val="26"/>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fontTable" Target="fontTable.xml"/></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2026-03-17T02:55:11.433Z</dcterms:created>
  <dcterms:modified xsi:type="dcterms:W3CDTF">2026-03-17T02:55:11.434Z</dcterms:modified>
</cp:coreProperties>
</file>

<file path=docProps/custom.xml><?xml version="1.0" encoding="utf-8"?>
<Properties xmlns="http://schemas.openxmlformats.org/officeDocument/2006/custom-properties" xmlns:vt="http://schemas.openxmlformats.org/officeDocument/2006/docPropsVTypes"/>
</file>