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1F3864"/>
          <w:sz w:val="40"/>
          <w:szCs w:val="40"/>
        </w:rPr>
        <w:t xml:space="preserve">Alzheimer’s Disease:</w:t>
      </w:r>
    </w:p>
    <w:p>
      <w:pPr>
        <w:spacing w:before="60" w:after="60"/>
        <w:jc w:val="center"/>
      </w:pPr>
      <w:r>
        <w:rPr>
          <w:rFonts w:ascii="Arial" w:cs="Arial" w:eastAsia="Arial" w:hAnsi="Arial"/>
          <w:i/>
          <w:iCs/>
          <w:color w:val="2E75B6"/>
          <w:sz w:val="26"/>
          <w:szCs w:val="26"/>
        </w:rPr>
        <w:t xml:space="preserve">Glymphatic Clearance Failure, Multi-System Convergence,</w:t>
      </w:r>
    </w:p>
    <w:p>
      <w:pPr>
        <w:spacing w:before="0" w:after="240"/>
        <w:jc w:val="center"/>
      </w:pPr>
      <w:r>
        <w:rPr>
          <w:rFonts w:ascii="Arial" w:cs="Arial" w:eastAsia="Arial" w:hAnsi="Arial"/>
          <w:i/>
          <w:iCs/>
          <w:color w:val="2E75B6"/>
          <w:sz w:val="26"/>
          <w:szCs w:val="26"/>
        </w:rPr>
        <w:t xml:space="preserve">and Peripheral System Drivers of Neurodegeneration</w:t>
      </w:r>
    </w:p>
    <w:p>
      <w:pPr>
        <w:spacing w:before="0" w:after="60"/>
        <w:jc w:val="center"/>
      </w:pPr>
      <w:r>
        <w:rPr>
          <w:rFonts w:ascii="Arial" w:cs="Arial" w:eastAsia="Arial" w:hAnsi="Arial"/>
          <w:color w:val="555555"/>
          <w:sz w:val="20"/>
          <w:szCs w:val="20"/>
        </w:rPr>
        <w:t xml:space="preserve">Amyloid Clearance Threshold │ Glymphatic-NE Oscillation Mechanism │ Tau Propagation │ Neuroinflammation Cascade</w:t>
      </w:r>
    </w:p>
    <w:p>
      <w:pPr>
        <w:spacing w:before="0" w:after="240"/>
        <w:jc w:val="center"/>
      </w:pPr>
      <w:r>
        <w:rPr>
          <w:rFonts w:ascii="Arial" w:cs="Arial" w:eastAsia="Arial" w:hAnsi="Arial"/>
          <w:color w:val="555555"/>
          <w:sz w:val="20"/>
          <w:szCs w:val="20"/>
        </w:rPr>
        <w:t xml:space="preserve">Metabolic-Insulin Axis │ Cardiovascular Contributions │ Gut-Brain Neuroinflammation │ Exercise Neuroprotection │ Hormonal Dynamics │ Plasma Biomarkers</w:t>
      </w:r>
    </w:p>
    <w:p>
      <w:pPr>
        <w:spacing w:before="0" w:after="60"/>
        <w:jc w:val="center"/>
      </w:pPr>
      <w:r>
        <w:rPr>
          <w:rFonts w:ascii="Arial" w:cs="Arial" w:eastAsia="Arial" w:hAnsi="Arial"/>
          <w:sz w:val="20"/>
          <w:szCs w:val="20"/>
        </w:rPr>
        <w:t xml:space="preserve">M. Finnegan · ORCID: 0009-0009-4921-7722 · v1.13 — March 2026 · Preprint · Not yet peer reviewed</w:t>
      </w:r>
    </w:p>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5F5F5" w:val="clear"/>
            <w:tcMar>
              <w:top w:type="dxa" w:w="120"/>
              <w:left w:type="dxa" w:w="200"/>
              <w:bottom w:type="dxa" w:w="120"/>
              <w:right w:type="dxa" w:w="200"/>
            </w:tcMar>
          </w:tcPr>
          <w:p>
            <w:pPr>
              <w:spacing w:before="60" w:after="60"/>
            </w:pPr>
            <w:r>
              <w:rPr>
                <w:rFonts w:ascii="Arial" w:cs="Arial" w:eastAsia="Arial" w:hAnsi="Arial"/>
                <w:b/>
                <w:bCs/>
                <w:i/>
                <w:iCs/>
                <w:sz w:val="20"/>
                <w:szCs w:val="20"/>
              </w:rPr>
              <w:t xml:space="preserve">Article Scope and Companion References: </w:t>
            </w:r>
            <w:r>
              <w:rPr>
                <w:rFonts w:ascii="Arial" w:cs="Arial" w:eastAsia="Arial" w:hAnsi="Arial"/>
                <w:i/>
                <w:iCs/>
                <w:sz w:val="20"/>
                <w:szCs w:val="20"/>
              </w:rPr>
              <w:t xml:space="preserve">This paper is an integrative review of Alzheimer’s disease analyzed as a multi-system convergence failure. Mechanistic analyses of vascular dementia, Lewy body disease, and frontotemporal dementia are provided in the companion paper (The Major Non-Alzheimer’s Dementias). It is part of a series applying a structured biological detection framework to disease. The paper argues that peripheral system contributions — metabolic, immune, cardiovascular, gut, musculoskeletal, and hormonal — are mechanistically significant in determining whether the brain can maintain amyloid clearance and structural integrity across the lifespan. Individual brain structure maps, peripheral system maps, and organ system maps in the companion series provide detailed circuit-level decompositions of the structures referenced here. Evidence confidence tiers (A: replicated, mechanistically confirmed; B: mechanistically supported; C: integrative synthesis) are specified at the end of §1 and assigned at point of use throughout.</w:t>
            </w:r>
          </w:p>
          <w:p>
            <w:pPr>
              <w:spacing w:before="60" w:after="60"/>
            </w:pPr>
            <w:r>
              <w:rPr>
                <w:rFonts w:ascii="Arial" w:cs="Arial" w:eastAsia="Arial" w:hAnsi="Arial"/>
                <w:i/>
                <w:iCs/>
                <w:sz w:val="20"/>
                <w:szCs w:val="20"/>
              </w:rPr>
              <w:t xml:space="preserve">All biological claims are mechanistic descriptions of established literature. Nothing in this paper constitutes medical advice.</w:t>
            </w:r>
          </w:p>
        </w:tc>
      </w:tr>
    </w:tbl>
    <w:p>
      <w:pPr>
        <w:spacing w:before="60" w:after="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before="60" w:after="60" w:line="260"/>
            </w:pPr>
            <w:r>
              <w:rPr>
                <w:rFonts w:ascii="Arial" w:cs="Arial" w:eastAsia="Arial" w:hAnsi="Arial"/>
                <w:b/>
                <w:bCs/>
                <w:sz w:val="21"/>
                <w:szCs w:val="21"/>
              </w:rPr>
              <w:t xml:space="preserve">Core Claims:</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(1) Amyloid clearance threshold: In normal brain, glymphatic clearance exceeds production, maintaining amyloid below the aggregation threshold. Alzheimer’s initiation occurs when the production/clearance ratio r = k_prod/k_clear crosses 1, clearance fails, and the aggregation cascade begins. This threshold can be crossed by multiple independent mechanisms operating across body systems simultaneously.</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(2) Glymphatic-NE oscillation mechanism (updated, Cell 2025): Amyloid clearance is a sleep-dependent hydraulic process confirmed in living humans [Dagum26, Yamamoto24]. The mechanism requires more than simply low NE during sleep. During NREM, the locus coeruleus releases NE in slow infraslow oscillations (~0.02 Hz); NE is a vasoconstrictor, and these rhythmic pulses drive vasomotion — rhythmic cerebrovascular contraction and dilation — that provides the primary pulsatile driving force for CSF flow into perivascular spaces. The clearance system requires LC to be actively oscillating in this pattern, not merely silent. Early tau pathology in LC (Braak I-II) disrupts this oscillatory firing before LC neurons die, impairing the glymphatic pump at the earliest disease stage.</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(3) Multi-system contributions: AD risk accumulates across multiple body systems. Metabolic insulin resistance impairs hippocampal LTP directly. Peripheral chronic inflammation activates microglia; the microglial response is disease-stage-dependent: early true DAM (TREM2-driven) is neuroprotective, while late monocyte-derived DIMs drive inflammatory damage. Cardiovascular disease compromises cerebral perfusion and BBB integrity. Gut dysbiosis drives systemic inflammatory tone contributing to neuroinflammation. Physical inactivity suppresses four parallel brain-protective signaling channels. The amyloid threshold is where these convergent failures become clinically visible.</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(4) Neurochemical architecture: Four parallel neurochemical failures accompany amyloid accumulation: ACh depletion from the basal forebrain, now dissected into two dissociable circuits (NBM-Ngfr+/mPFC = temporal order memory; MS/DB/HPC = spatial novelty memory); NMDA-mediated excitotoxicity from amyloid oligomers; NE loss from the locus coeruleus, which removes anti-inflammatory braking on microglia and impairs the glymphatic oscillatory pump; and tau-mediated AQP4 mislocalization creating self-amplifying hydraulic clearance failure.</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(5) Hormonal dynamics: E2 loss at menopause reduces glymphatic efficiency via AQP4 downregulation and increases amyloid production via BACE1 upregulation. Allopregnanolone decline reduces slow-wave sleep depth and duration, shortening the glymphatic clearance window. DHEA/cortisol ratio inversion with aging raises cortisol chronically, further increasing production and reducing clearance. Together these mechanisms are consistent with the 2:1 female AD incidence after age 75 and define an intervention window before threshold crossing.</w:t>
            </w:r>
          </w:p>
        </w:tc>
      </w:tr>
    </w:tbl>
    <w:p>
      <w:pPr>
        <w:spacing w:before="60" w:after="6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sz w:val="32"/>
          <w:szCs w:val="32"/>
        </w:rPr>
        <w:t xml:space="preserve">1. Foundation: The Dementias</w:t>
      </w:r>
    </w:p>
    <w:p>
      <w:pPr>
        <w:pStyle w:val="Heading2"/>
        <w:spacing w:before="240" w:after="100"/>
      </w:pPr>
      <w:r>
        <w:rPr>
          <w:rFonts w:ascii="Arial" w:cs="Arial" w:eastAsia="Arial" w:hAnsi="Arial"/>
          <w:b/>
          <w:bCs/>
          <w:sz w:val="28"/>
          <w:szCs w:val="28"/>
        </w:rPr>
        <w:t xml:space="preserve">1.1 Overview and Classification</w:t>
      </w:r>
    </w:p>
    <w:p>
      <w:pPr>
        <w:spacing w:before="80" w:after="80" w:line="276"/>
        <w:jc w:val="both"/>
      </w:pPr>
      <w:r>
        <w:rPr>
          <w:rFonts w:ascii="Arial" w:cs="Arial" w:eastAsia="Arial" w:hAnsi="Arial"/>
          <w:sz w:val="22"/>
          <w:szCs w:val="22"/>
        </w:rPr>
        <w:t xml:space="preserve">Dementia is not a single disease. It is a family of progressive cognitive decline syndromes sharing a final common pathway — territory loss as the memory consolidation circuit degrades — but differing in where failure starts, why it starts, and how it propagates. The four primary dementia subtypes are defined by their primary failure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Failure Source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Cascade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Distinguishing Signature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Alzheimer’s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Glymphatic clearance failure — production/clearance ratio crosses threshold</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Amyloid → oligomers disrupt synaptic function → basal forebrain ACh depletion → encoding gate closes → new memory fails → spreading territory loss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Recent memory fails first; remote memory survives longest; progressive decline over years to decades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Vascular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Neurovascular unit damage — BBB breakdown, vessel stenosis, or infarction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Vessel damage → metabolic supply drops in territory → activation ceiling collapses → function lost for territory-dependent tasks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Stepwise decline; pattern depends on infarct territory; executive function and processing speed disproportionately affected</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Lewy Body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Alpha-synuclein aggregation spreading from substantia nigra then basal forebrain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SN → basal forebrain → visual cortex; vagal spread from ENS proposed as early route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Motor symptoms before cognitive; visual hallucinations; REM sleep behavior disorder as early diagnostic window</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Frontotemporal (FTD)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TDP-43 or tau aggregation in frontal/temporal cortex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vmPFC, ACC, anterior insula, temporal social cortex lost first → personality/social cognition →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Personality and social behavior change before memory loss; memory often intact early; onset typically 45–65</w:t>
            </w:r>
          </w:p>
        </w:tc>
      </w:tr>
    </w:tbl>
    <w:p>
      <w:pPr>
        <w:spacing w:before="60" w:after="60"/>
      </w:pPr>
      <w:r>
        <w:rPr>
          <w:rFonts w:ascii="Arial" w:cs="Arial" w:eastAsia="Arial" w:hAnsi="Arial"/>
          <w:sz w:val="22"/>
          <w:szCs w:val="22"/>
        </w:rPr>
        <w:t xml:space="preserve"/>
      </w:r>
    </w:p>
    <w:p>
      <w:pPr>
        <w:spacing w:before="80" w:after="80" w:line="276"/>
        <w:jc w:val="both"/>
      </w:pPr>
      <w:r>
        <w:rPr>
          <w:rFonts w:ascii="Arial" w:cs="Arial" w:eastAsia="Arial" w:hAnsi="Arial"/>
          <w:sz w:val="22"/>
          <w:szCs w:val="22"/>
        </w:rPr>
        <w:t xml:space="preserve">The four dementias share structural overlaps that complicate diagnosis and treatment. Mixed dementia — most commonly Alzheimer’s plus vascular pathology — is the most prevalent presentation in patients over 75 [Norton14, Gorelick11]. Alzheimer’s accounts for approximately 60–70% of dementia cases. Many of the peripheral mechanisms identified in this paper contribute to vascular dementia and to the accelerated Alzheimer’s component of mixed presentations as well.</w:t>
      </w:r>
    </w:p>
    <w:p>
      <w:pPr>
        <w:pStyle w:val="Heading2"/>
        <w:spacing w:before="240" w:after="100"/>
      </w:pPr>
      <w:r>
        <w:rPr>
          <w:rFonts w:ascii="Arial" w:cs="Arial" w:eastAsia="Arial" w:hAnsi="Arial"/>
          <w:b/>
          <w:bCs/>
          <w:sz w:val="28"/>
          <w:szCs w:val="28"/>
        </w:rPr>
        <w:t xml:space="preserve">1.2 Comparative Orientation: The Other Major Dementias</w:t>
      </w:r>
    </w:p>
    <w:p>
      <w:pPr>
        <w:spacing w:before="80" w:after="80" w:line="276"/>
        <w:jc w:val="both"/>
      </w:pPr>
      <w:r>
        <w:rPr>
          <w:rFonts w:ascii="Arial" w:cs="Arial" w:eastAsia="Arial" w:hAnsi="Arial"/>
          <w:sz w:val="22"/>
          <w:szCs w:val="22"/>
        </w:rPr>
        <w:t xml:space="preserve">Three additional dementia syndromes require brief orientation before this paper narrows its mechanistic focus to Alzheimer’s disease. Full analyses of vascular dementia, Lewy body disease, and frontotemporal dementia — including their own mechanism chains, peripheral risk applicability, genetics, biomarkers, and therapeutic pipelines — are developed in the companion paper (The Major Non-Alzheimer’s Dementias). The table below establishes where the AD multi-system convergence framework generalizes and where it does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780"/>
        <w:gridCol w:w="27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Dementia</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Failure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AD Framework Applies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Where It Does Not</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Vascular dementia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NVU damage: BBB breakdown, lacunar infarcts, white matter small vessel disease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Same risk factor architecture (hypertension, T2D, dyslipidaemia); SPRINT MIND BP-control evidence applies to both; WMH as shared biomarker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Primary mechanism is ischaemic NVU damage, not clearance failure; stepwise decline pattern rather than gradual threshold crossing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Lewy body disease (DLB / PDD)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Alpha-synuclein aggregation spreading from brainstem LC through limbic to neocortex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 is earliest structure affected in both diseases; LC-NE depletion produces same glymphatic / neuroinflammatory consequences; ∼50% of DLB cases carry concurrent AD pathology at autopsy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protein is alpha-synuclein; motor and REM behaviour disorder features; neuroleptic sensitivity is a DLB-specific clinical safety imperative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Frontotemporal dementia (FTD)</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TDP-43, tau, or FUS aggregation in frontal/temporal cortex; strongly genetic (C9orf72, MAPT, GRN)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Vascular / metabolic / sleep risk factors likely accelerate progression; plasma NfL tracks all FTD subtypes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Cell-intrinsic, genetically driven failure; clearance-threshold model does not apply; RNA metabolism and autophagy pathway failures dominate</w:t>
            </w:r>
          </w:p>
        </w:tc>
      </w:tr>
    </w:tbl>
    <w:p>
      <w:pPr>
        <w:spacing w:before="60" w:after="60"/>
      </w:pPr>
      <w:r>
        <w:rPr>
          <w:rFonts w:ascii="Arial" w:cs="Arial" w:eastAsia="Arial" w:hAnsi="Arial"/>
          <w:sz w:val="22"/>
          <w:szCs w:val="22"/>
        </w:rPr>
        <w:t xml:space="preserve"/>
      </w:r>
    </w:p>
    <w:p>
      <w:pPr>
        <w:spacing w:before="80" w:after="80" w:line="276"/>
        <w:jc w:val="both"/>
      </w:pPr>
      <w:r>
        <w:rPr>
          <w:rFonts w:ascii="Arial" w:cs="Arial" w:eastAsia="Arial" w:hAnsi="Arial"/>
          <w:sz w:val="22"/>
          <w:szCs w:val="22"/>
        </w:rPr>
        <w:t xml:space="preserve">[Tier B-C] Mixed pathology is the rule in older individuals: approximately 50–60% of dementia presentations over age 75 reflect combined AD-plus-vascular pathology, and approximately 50% of DLB cases carry significant concurrent AD neuropathology at autopsy. The peripheral risk factor framework described in this paper shapes that co-pathology burden simultaneously and should be managed regardless of primary diagnosis.</w:t>
      </w:r>
    </w:p>
    <w:p>
      <w:pPr>
        <w:spacing w:before="60" w:after="6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sz w:val="32"/>
          <w:szCs w:val="32"/>
        </w:rPr>
        <w:t xml:space="preserve">2. Approach to the Literature</w:t>
      </w:r>
    </w:p>
    <w:p>
      <w:pPr>
        <w:spacing w:before="80" w:after="80" w:line="276"/>
        <w:jc w:val="both"/>
      </w:pPr>
      <w:r>
        <w:rPr>
          <w:rFonts w:ascii="Arial" w:cs="Arial" w:eastAsia="Arial" w:hAnsi="Arial"/>
          <w:sz w:val="22"/>
          <w:szCs w:val="22"/>
        </w:rPr>
        <w:t xml:space="preserve">This paper is a mechanistic integrative review, not a systematic review or meta-analysis. Literature was identified through structured searches of PubMed, the Alzheimer’s Association research database, and preprint servers, with a primary date window of 2000–2026 and targeted retrospective inclusion of foundational mechanistic studies from earlier decades. Priority was given to: (i) human in vivo evidence; (ii) replicated findings across independent cohorts; (iii) mechanistic studies in model systems with at least directional human confirmation; and (iv) recent high-impact publications updating key mechanisms (particularly glymphatic, biomarker, and therapeutics literature through Q1 2026). Risk factor selection reflects judgment about biological plausibility and evidence strength; others may reasonably weight these differently.</w:t>
      </w:r>
    </w:p>
    <w:p>
      <w:pPr>
        <w:spacing w:before="80" w:after="80" w:line="276"/>
        <w:jc w:val="both"/>
      </w:pPr>
      <w:r>
        <w:rPr>
          <w:rFonts w:ascii="Arial" w:cs="Arial" w:eastAsia="Arial" w:hAnsi="Arial"/>
          <w:sz w:val="22"/>
          <w:szCs w:val="22"/>
        </w:rPr>
        <w:t xml:space="preserve">Evidence tiers are assigned operationally throughout. Tier A: replicated in humans across independent cohorts with mechanistic confirmation. Tier B: mechanistically supported with human correlates, but requiring further replication or limited by observational design. Tier C: integrative synthesis — individual components are supported, but the combined claim as stated goes beyond what any single study demonstrates. The central thesis of this paper — that sporadic late-onset Alzheimer’s disease is substantially shaped by convergent peripheral system failures — is a Tier C integrative framework. It is intended as a hypothesis-generating synthesis that organizes a large mechanistic literature into a testable model, not as a claim that this architecture is the settled explanation for sporadic AD. Readers should weight each claim according to the tier assigned at point of use.</w:t>
      </w:r>
    </w:p>
    <w:p>
      <w:pPr>
        <w:spacing w:before="80" w:after="80" w:line="276"/>
        <w:jc w:val="both"/>
      </w:pPr>
      <w:r>
        <w:rPr>
          <w:rFonts w:ascii="Arial" w:cs="Arial" w:eastAsia="Arial" w:hAnsi="Arial"/>
          <w:sz w:val="22"/>
          <w:szCs w:val="22"/>
        </w:rPr>
        <w:t xml:space="preserve">This paper focuses mechanistically on Alzheimer’s disease. Section 1.2 provides a comparative orientation to vascular dementia, Lewy body disease, and frontotemporal dementia; full mechanistic analyses of those conditions are developed in the companion paper in this series. Section numbering throughout this paper reflects the position of each topic within the AD-specific analysis.</w:t>
      </w:r>
    </w:p>
    <w:p>
      <w:pPr>
        <w:spacing w:before="60" w:after="6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sz w:val="32"/>
          <w:szCs w:val="32"/>
        </w:rPr>
        <w:t xml:space="preserve">3. Peripheral System Contributions to Alzheimer’s Disease Risk</w:t>
      </w:r>
    </w:p>
    <w:p>
      <w:pPr>
        <w:spacing w:before="80" w:after="80" w:line="276"/>
        <w:jc w:val="both"/>
      </w:pPr>
      <w:r>
        <w:rPr>
          <w:rFonts w:ascii="Arial" w:cs="Arial" w:eastAsia="Arial" w:hAnsi="Arial"/>
          <w:sz w:val="22"/>
          <w:szCs w:val="22"/>
        </w:rPr>
        <w:t xml:space="preserve">[Established: individual risk factor associations. Working integrative framework: convergent peripheral failure as the primary driver of clearance threshold crossing.] The prevailing clinical framing of Alzheimer’s disease identifies the brain as the primary site of disease, treating body-system associations — that T2D doubles AD risk, that sleep apnea accelerates cognitive decline, that cardiovascular disease is a major dementia risk factor — as comorbidities or statistical associations. An accumulating body of mechanistic evidence indicates that these relationships reflect direct pathophysiological contributions: each system operates through identified molecular pathways that alter either amyloid production rate, amyloid clearance rate, or both.</w:t>
      </w:r>
    </w:p>
    <w:p>
      <w:pPr>
        <w:spacing w:before="80" w:after="80" w:line="276"/>
        <w:jc w:val="both"/>
      </w:pPr>
      <w:r>
        <w:rPr>
          <w:rFonts w:ascii="Arial" w:cs="Arial" w:eastAsia="Arial" w:hAnsi="Arial"/>
          <w:sz w:val="22"/>
          <w:szCs w:val="22"/>
        </w:rPr>
        <w:t xml:space="preserve">The brain communicates continuously with every major body system through multiple bidirectional signaling pathways. The peripheral nervous system, hormonal axes (HPA, HPG, HPT), immune-brain axis, gut-brain axis, metabolic-insulin axis, musculoskeletal-exercise axis, and cardiovascular-baroreflex axis each carry signals with direct structural and functional consequences for brain circuits. Disruption of these pathways contributes measurably to the trajectory of neurodegeneration, independently of and in combination with primary brain pathology.</w:t>
      </w:r>
    </w:p>
    <w:p>
      <w:pPr>
        <w:spacing w:before="80" w:after="80" w:line="276"/>
        <w:jc w:val="both"/>
      </w:pPr>
      <w:r>
        <w:rPr>
          <w:rFonts w:ascii="Arial" w:cs="Arial" w:eastAsia="Arial" w:hAnsi="Arial"/>
          <w:sz w:val="22"/>
          <w:szCs w:val="22"/>
        </w:rPr>
        <w:t xml:space="preserve">The argument of this paper is that sporadic late-onset Alzheimer’s disease is substantially driven by the cumulative, concurrent failure of peripheral systems that determine whether the brain can maintain amyloid clearance and structural integrity. The amyloid clearance threshold — when the production/clearance ratio crosses 1 and the aggregation cascade begins — is the downstream readout of that convergent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before="60" w:after="60" w:line="260"/>
            </w:pPr>
            <w:r>
              <w:rPr>
                <w:rFonts w:ascii="Arial" w:cs="Arial" w:eastAsia="Arial" w:hAnsi="Arial"/>
                <w:b/>
                <w:bCs/>
                <w:sz w:val="21"/>
                <w:szCs w:val="21"/>
              </w:rPr>
              <w:t xml:space="preserve">Summary of peripheral system contributions:</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Metabolic system: Insulin resistance impairs hippocampal LTP via IRS-2/Akt signaling. T2D doubles AD risk through shared intracellular mechanism. [Tier A]</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Immune system: Peripheral chronic inflammation (IL-6, TNF-α, IL-1β) crosses the BBB and activates microglia. Early activation (true DAM, TREM2-driven) is neuroprotective; late monocyte-derived DIM/LDAM populations drive inflammatory damage. Disease stage determines the functional outcome of microglial activation. [Tier A]</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Cardiovascular system: Hypertension, atherosclerosis, and reduced cardiac output compromise cerebral perfusion, BBB integrity, and perivascular clearance of amyloid. [Tier A]</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Gut-brain axis: Microbiome dysbiosis drives systemic endotoxin translocation activating TLR4/BACE1, and diverts tryptophan from serotonin synthesis toward neuroexcitotoxic kynurenine metabolites. [Tier B-C]</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Musculoskeletal system: Physical inactivity is associated with suppression of four brain-protective signaling channels (osteocalcin/GPR158, irisin/αVβ5, peripheral BDNF/TrkB, lactate/HCAR1) that support hippocampal neurogenesis, synaptic plasticity, and vascular health. [Tier A-B]</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Hormonal systems: E2, allopregnanolone, DHEA, and thyroid hormone each have direct brain targets protecting glymphatic function, sleep architecture, and synaptic plasticity. Their coordinated decline with aging removes multiple protective mechanisms simultaneously. [Tier A-B]</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Sleep/glymphatic system: Multiple peripheral insults that disrupt sleep — OSA, metabolic disease, chronic stress, cardiovascular disease — converge on LC oscillatory glymphatic clearance, which is the mechanism by which nightly amyloid accumulation is reversed. [Tier A]</w:t>
            </w:r>
          </w:p>
        </w:tc>
      </w:tr>
    </w:tbl>
    <w:p>
      <w:pPr>
        <w:spacing w:before="60" w:after="60"/>
      </w:pPr>
      <w:r>
        <w:rPr>
          <w:rFonts w:ascii="Arial" w:cs="Arial" w:eastAsia="Arial" w:hAnsi="Arial"/>
          <w:sz w:val="22"/>
          <w:szCs w:val="22"/>
        </w:rPr>
        <w:t xml:space="preserve"/>
      </w:r>
    </w:p>
    <w:p>
      <w:pPr>
        <w:spacing w:before="80" w:after="80" w:line="276"/>
        <w:jc w:val="both"/>
      </w:pPr>
      <w:r>
        <w:rPr>
          <w:rFonts w:ascii="Arial" w:cs="Arial" w:eastAsia="Arial" w:hAnsi="Arial"/>
          <w:sz w:val="22"/>
          <w:szCs w:val="22"/>
        </w:rPr>
        <w:t xml:space="preserve">These contributions have implications for intervention: pharmacological therapies targeting amyloid or tau are unlikely to be sufficient in isolation if the peripheral drivers of clearance failure are not concurrently addressed. This hypothesis is consistent with the partial cognitive benefit observed in lecanemab and donanemab trials, where amyloid is substantially reduced but peripheral failure mechanisms continue to operate [vanDyck23, Sims23].</w:t>
      </w:r>
    </w:p>
    <w:p>
      <w:r>
        <w:br w:type="page"/>
      </w:r>
    </w:p>
    <w:p>
      <w:pPr>
        <w:pStyle w:val="Heading1"/>
        <w:spacing w:before="300" w:after="120"/>
      </w:pPr>
      <w:r>
        <w:rPr>
          <w:rFonts w:ascii="Arial" w:cs="Arial" w:eastAsia="Arial" w:hAnsi="Arial"/>
          <w:b/>
          <w:bCs/>
          <w:sz w:val="32"/>
          <w:szCs w:val="32"/>
        </w:rPr>
        <w:t xml:space="preserve">4. Amyloid Clearance Failure: The Production/Clearance Threshold</w:t>
      </w:r>
    </w:p>
    <w:p>
      <w:pPr>
        <w:pStyle w:val="Heading2"/>
        <w:spacing w:before="240" w:after="100"/>
      </w:pPr>
      <w:r>
        <w:rPr>
          <w:rFonts w:ascii="Arial" w:cs="Arial" w:eastAsia="Arial" w:hAnsi="Arial"/>
          <w:b/>
          <w:bCs/>
          <w:sz w:val="28"/>
          <w:szCs w:val="28"/>
        </w:rPr>
        <w:t xml:space="preserve">4.1 Amyloid-Beta Biology</w:t>
      </w:r>
    </w:p>
    <w:p>
      <w:pPr>
        <w:spacing w:before="80" w:after="80" w:line="276"/>
        <w:jc w:val="both"/>
      </w:pPr>
      <w:r>
        <w:rPr>
          <w:rFonts w:ascii="Arial" w:cs="Arial" w:eastAsia="Arial" w:hAnsi="Arial"/>
          <w:sz w:val="22"/>
          <w:szCs w:val="22"/>
        </w:rPr>
        <w:t xml:space="preserve">Amyloid-beta (Aβ) is a 36–43 amino acid peptide produced by cleavage of amyloid precursor protein (APP) by β-secretase (BACE1) and γ-secretase. In normal brain, Aβ is produced continuously as a byproduct of normal neuronal activity and cleared continuously, primarily during sleep, by the glymphatic system [Xie13, Iliff12]. Aβ42, the 42-amino acid isoform, is more aggregation-prone and is the primary species initiating plaque formation.</w:t>
      </w:r>
    </w:p>
    <w:p>
      <w:pPr>
        <w:spacing w:before="80" w:after="80" w:line="276"/>
        <w:jc w:val="both"/>
      </w:pPr>
      <w:r>
        <w:rPr>
          <w:rFonts w:ascii="Arial" w:cs="Arial" w:eastAsia="Arial" w:hAnsi="Arial"/>
          <w:sz w:val="22"/>
          <w:szCs w:val="22"/>
        </w:rPr>
        <w:t xml:space="preserve">Aβ aggregation proceeds through a hierarchical sequence: monomers → soluble oligomers (2–12 monomers) → protofibrils → insoluble fibrils → amyloid plaques. Soluble oligomers are the most synaptotoxic species — they disrupt glutamate receptor trafficking, impair LTP, and activate microglial inflammatory responses before plaques are radiologically detectable [Selkoe16]. Amyloid plaques may represent a downstream sequestration product; the primary damaging species are upstream oligomers, which is the mechanistic basis for the shift toward protofibril-targeting antibodies (lecanemab) over plaque-targeting antibodies in the therapeutic pipeline.</w:t>
      </w:r>
    </w:p>
    <w:p>
      <w:pPr>
        <w:pStyle w:val="Heading2"/>
        <w:spacing w:before="240" w:after="100"/>
      </w:pPr>
      <w:r>
        <w:rPr>
          <w:rFonts w:ascii="Arial" w:cs="Arial" w:eastAsia="Arial" w:hAnsi="Arial"/>
          <w:b/>
          <w:bCs/>
          <w:sz w:val="28"/>
          <w:szCs w:val="28"/>
        </w:rPr>
        <w:t xml:space="preserve">4.2 The Production/Clearance Ratio</w:t>
      </w:r>
    </w:p>
    <w:p>
      <w:pPr>
        <w:spacing w:before="80" w:after="80" w:line="276"/>
        <w:jc w:val="both"/>
      </w:pPr>
      <w:r>
        <w:rPr>
          <w:rFonts w:ascii="Arial" w:cs="Arial" w:eastAsia="Arial" w:hAnsi="Arial"/>
          <w:sz w:val="22"/>
          <w:szCs w:val="22"/>
        </w:rPr>
        <w:t xml:space="preserve">Disease initiation can be described through a production/clearance ratio r = k_prod / k_clear. Normal brain: r &lt; 1, clearance exceeds production. Alzheimer’s transition: r &gt; 1, production exceeds clearance capacity, aggregation cascade begins. This threshold can be crossed by increasing k_prod, decreasing k_clear, or any combination. Direct measurement of Aβ kinetics using stable isotope labeling kinetics (SILK) in humans confirmed that sporadic late-onset AD is characterized primarily by impaired clearance (reduced k_clear) rather than overproduction, in contrast to familial early-onset AD where APP or presenilin mutations increase k_prod [Mawuenyega10]. This places glymphatic clearance and all factors that regulate it at the mechanistic centre of sporadic AD risk.</w:t>
      </w:r>
    </w:p>
    <w:p>
      <w:pPr>
        <w:spacing w:before="80" w:after="80" w:line="276"/>
        <w:jc w:val="both"/>
      </w:pPr>
      <w:r>
        <w:rPr>
          <w:rFonts w:ascii="Arial" w:cs="Arial" w:eastAsia="Arial" w:hAnsi="Arial"/>
          <w:sz w:val="22"/>
          <w:szCs w:val="22"/>
        </w:rPr>
        <w:t xml:space="preserve">The peripheral, metabolic, hormonal, immune, and lifestyle risk factors addressed in Sections §3–14 each alter r through specific molecular pathways — some primarily raising k_prod (BACE1 upregulation via neuroinflammation, insulin resistance, cortisol), some primarily lowering k_clear (glymphatic dysfunction, AQP4 mislocalization, cardiovascular compromise), and some doing both simultaneously. Section §15 maps all 14 established modifiable risk factors to their mechanism and evidence tier in a unified reference table. [Tier A] The 2024 Lancet Commission (Livingston et al. 2024) estimates that approximately 45% of global dementia cases could potentially be prevented or delayed by addressing these factors [Livingston24].</w:t>
      </w:r>
    </w:p>
    <w:p>
      <w:r>
        <w:br w:type="page"/>
      </w:r>
    </w:p>
    <w:p>
      <w:pPr>
        <w:pStyle w:val="Heading1"/>
        <w:spacing w:before="300" w:after="120"/>
      </w:pPr>
      <w:r>
        <w:rPr>
          <w:rFonts w:ascii="Arial" w:cs="Arial" w:eastAsia="Arial" w:hAnsi="Arial"/>
          <w:b/>
          <w:bCs/>
          <w:sz w:val="32"/>
          <w:szCs w:val="32"/>
        </w:rPr>
        <w:t xml:space="preserve">5. Glymphatic System and Sleep Architecture</w:t>
      </w:r>
    </w:p>
    <w:p>
      <w:pPr>
        <w:pStyle w:val="Heading2"/>
        <w:spacing w:before="240" w:after="100"/>
      </w:pPr>
      <w:r>
        <w:rPr>
          <w:rFonts w:ascii="Arial" w:cs="Arial" w:eastAsia="Arial" w:hAnsi="Arial"/>
          <w:b/>
          <w:bCs/>
          <w:sz w:val="28"/>
          <w:szCs w:val="28"/>
        </w:rPr>
        <w:t xml:space="preserve">5.1 The Glymphatic Hydraulic System</w:t>
      </w:r>
    </w:p>
    <w:p>
      <w:pPr>
        <w:spacing w:before="80" w:after="80" w:line="276"/>
        <w:jc w:val="both"/>
      </w:pPr>
      <w:r>
        <w:rPr>
          <w:rFonts w:ascii="Arial" w:cs="Arial" w:eastAsia="Arial" w:hAnsi="Arial"/>
          <w:sz w:val="22"/>
          <w:szCs w:val="22"/>
        </w:rPr>
        <w:t xml:space="preserve">[Established: glymphatic clearance mechanism, human structural and functional confirmation. Supported but evolving: NE oscillatory vasomotion as specific pump mechanism — confirmed in rodents, human replication required. Working framework: glymphatic failure as the central effector through which peripheral system disruptions converge.] The glymphatic system is the brain’s primary waste clearance mechanism — a sleep-dependent hydraulic system that clears metabolic waste products including amyloid-beta, tau, alpha-synuclein, lactate, and glutamate from the brain interstitium via CSF flow through perivascular spaces [Iliff12]. Described by Nedergaard’s group in 2012–2013, it provided a mechanistic account of AD as a clearance failure disease distinct from pure overproduction models.</w:t>
      </w:r>
    </w:p>
    <w:p>
      <w:pPr>
        <w:spacing w:before="80" w:after="80" w:line="276"/>
        <w:jc w:val="both"/>
      </w:pPr>
      <w:r>
        <w:rPr>
          <w:rFonts w:ascii="Arial" w:cs="Arial" w:eastAsia="Arial" w:hAnsi="Arial"/>
          <w:sz w:val="22"/>
          <w:szCs w:val="22"/>
        </w:rPr>
        <w:t xml:space="preserve">The system is now confirmed in living humans through two independent lines of evidence. Yamamoto et al. 2024 used gadolinium-based MRI to directly observe CSF tracer transport within perivascular spaces in living human brains, providing the first structural confirmation of glymphatic anatomy in vivo [Yamamoto24]. A randomized crossover trial published in Nature Communications 2026 (n=39) demonstrated that normal sleep increased morning plasma levels of amyloid-beta and tau compared to sleep deprivation nights, consistent with glymphatic clearance exporting these proteins to plasma overnight [Dagum26]. The mechanism thus has both structural and functional human confirmation.</w:t>
      </w:r>
    </w:p>
    <w:p>
      <w:pPr>
        <w:spacing w:before="80" w:after="80" w:line="276"/>
        <w:jc w:val="both"/>
      </w:pPr>
      <w:r>
        <w:rPr>
          <w:rFonts w:ascii="Arial" w:cs="Arial" w:eastAsia="Arial" w:hAnsi="Arial"/>
          <w:sz w:val="22"/>
          <w:szCs w:val="22"/>
        </w:rPr>
        <w:t xml:space="preserve">The mechanism operates in four steps: arterial pulsation drives CSF along para-arterial (Virchow-Robin) spaces; AQP4 water channels on astrocyte endfeet allow rapid CSF-interstitium exchange; waste-laden fluid moves along paravenous spaces; it exits into cervical lymphatic vessels for systemic clearance [Iliff12, Rasmussen18]. AQP4 polarity at astrocyte endfeet is rate-limiting for exchange efficiency and is vulnerable to disruption by aging, TBI, and tau pathology.</w:t>
      </w:r>
    </w:p>
    <w:p>
      <w:pPr>
        <w:pStyle w:val="Heading2"/>
        <w:spacing w:before="240" w:after="100"/>
      </w:pPr>
      <w:r>
        <w:rPr>
          <w:rFonts w:ascii="Arial" w:cs="Arial" w:eastAsia="Arial" w:hAnsi="Arial"/>
          <w:b/>
          <w:bCs/>
          <w:sz w:val="28"/>
          <w:szCs w:val="28"/>
        </w:rPr>
        <w:t xml:space="preserve">5.2 The NE Oscillation Mechanism: Why Clearance Requires Specific Sleep Architecture</w:t>
      </w:r>
    </w:p>
    <w:p>
      <w:pPr>
        <w:spacing w:before="80" w:after="80" w:line="276"/>
        <w:jc w:val="both"/>
      </w:pPr>
      <w:r>
        <w:rPr>
          <w:rFonts w:ascii="Arial" w:cs="Arial" w:eastAsia="Arial" w:hAnsi="Arial"/>
          <w:sz w:val="22"/>
          <w:szCs w:val="22"/>
        </w:rPr>
        <w:t xml:space="preserve">Glymphatic clearance is substantially higher during NREM slow-wave sleep than during wakefulness. New work from the Nedergaard group (Cell, January 2025) identifies the precise mechanism linking LC activity to glymphatic clearance and revises the simpler earlier model of NE level-dependent interstitial expansion [Nedergaard25].</w:t>
      </w:r>
    </w:p>
    <w:p>
      <w:pPr>
        <w:spacing w:before="80" w:after="80" w:line="276"/>
        <w:jc w:val="both"/>
      </w:pPr>
      <w:r>
        <w:rPr>
          <w:rFonts w:ascii="Arial" w:cs="Arial" w:eastAsia="Arial" w:hAnsi="Arial"/>
          <w:sz w:val="22"/>
          <w:szCs w:val="22"/>
        </w:rPr>
        <w:t xml:space="preserve">During NREM sleep, LC neurons release NE in slow infraslow oscillations at approximately 0.02 Hz. Because NE is a vasoconstrictor acting on smooth muscle and pericytes, these rhythmic pulses drive vasomotion — rhythmic cerebrovascular contraction and dilation — that provides the primary pulsatile driving force for CSF flow into perivascular spaces. In addition, the overall fall in NE level during NREM allows astrocytes to relax, expanding the interstitial space by approximately 60% in rodent models (directionally confirmed in humans), increasing hydraulic conductivity. Both components contribute: the space expansion (AQP4-dependent) provides the conductance, and the LC oscillatory vasomotion provides the driving pressure.</w:t>
      </w:r>
    </w:p>
    <w:p>
      <w:pPr>
        <w:spacing w:before="80" w:after="80" w:line="276"/>
        <w:jc w:val="both"/>
      </w:pPr>
      <w:r>
        <w:rPr>
          <w:rFonts w:ascii="Arial" w:cs="Arial" w:eastAsia="Arial" w:hAnsi="Arial"/>
          <w:sz w:val="22"/>
          <w:szCs w:val="22"/>
        </w:rPr>
        <w:t xml:space="preserve">The clinical significance is that the system requires LC to be actively oscillating in this infraslow pattern, not merely silent. A completely inactive LC without oscillatory NE release would not drive vasomotion and would not activate the glymphatic pump. This distinction matters for understanding early AD pathology: tau accumulation in LC neurons at Braak stages I–II may disrupt oscillatory firing patterns before causing substantial cell death, impairing the glymphatic pump during the period when early amyloid accumulation is most in need of clearance.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40"/>
              <w:left w:type="dxa" w:w="200"/>
              <w:bottom w:type="dxa" w:w="140"/>
              <w:right w:type="dxa" w:w="200"/>
            </w:tcMar>
          </w:tcPr>
          <w:p>
            <w:pPr>
              <w:spacing w:before="60" w:after="60" w:line="260"/>
            </w:pPr>
            <w:r>
              <w:rPr>
                <w:rFonts w:ascii="Arial" w:cs="Arial" w:eastAsia="Arial" w:hAnsi="Arial"/>
                <w:b/>
                <w:bCs/>
                <w:sz w:val="21"/>
                <w:szCs w:val="21"/>
              </w:rPr>
              <w:t xml:space="preserve">The NE-glymphatic oscillation gate (Nedergaard group, Cell 2025):</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Wakefulness: LC tonic NE high → astrocytes contracted → interstitial space at baseline → no infraslow vasomotion → clearance limited</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NREM sleep: LC switches to infraslow oscillations (~0.02 Hz) → rhythmic NE pulses → vasomotion (vessel contraction/dilation) → pulsatile CSF influx → interstitial space expanded (NE level low) → CSF flow substantially increased → amyloid/tau clearance at maximum</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val="false"/>
                <w:bCs w:val="false"/>
                <w:sz w:val="21"/>
                <w:szCs w:val="21"/>
              </w:rPr>
              <w:t xml:space="preserve">Key distinction: The glymphatic pump requires LC to be actively oscillating, not merely silent. The oscillatory firing pattern generates the vasomotion that drives pulsatile clearance.</w:t>
            </w:r>
          </w:p>
          <w:p>
            <w:pPr>
              <w:spacing w:before="60" w:after="60" w:line="260"/>
            </w:pPr>
            <w:r>
              <w:rPr>
                <w:rFonts w:ascii="Arial" w:cs="Arial" w:eastAsia="Arial" w:hAnsi="Arial"/>
                <w:b w:val="false"/>
                <w:bCs w:val="false"/>
                <w:sz w:val="21"/>
                <w:szCs w:val="21"/>
              </w:rPr>
              <w:t xml:space="preserve"/>
            </w:r>
          </w:p>
          <w:p>
            <w:pPr>
              <w:spacing w:before="60" w:after="60" w:line="260"/>
            </w:pPr>
            <w:r>
              <w:rPr>
                <w:rFonts w:ascii="Arial" w:cs="Arial" w:eastAsia="Arial" w:hAnsi="Arial"/>
                <w:b/>
                <w:bCs/>
                <w:sz w:val="21"/>
                <w:szCs w:val="21"/>
              </w:rPr>
              <w:t xml:space="preserve">Clinical implications:</w:t>
            </w:r>
          </w:p>
          <w:p>
            <w:pPr>
              <w:spacing w:before="60" w:after="60" w:line="260"/>
            </w:pPr>
            <w:r>
              <w:rPr>
                <w:rFonts w:ascii="Arial" w:cs="Arial" w:eastAsia="Arial" w:hAnsi="Arial"/>
                <w:b w:val="false"/>
                <w:bCs w:val="false"/>
                <w:sz w:val="21"/>
                <w:szCs w:val="21"/>
              </w:rPr>
              <w:t xml:space="preserve">- Early tau pathology in LC (Braak I-II, detectable from the fourth to fifth decade in most individuals) may disrupt oscillatory firing before significant neuronal loss, impairing clearance during peak amyloid accumulation</w:t>
            </w:r>
          </w:p>
          <w:p>
            <w:pPr>
              <w:spacing w:before="60" w:after="60" w:line="260"/>
            </w:pPr>
            <w:r>
              <w:rPr>
                <w:rFonts w:ascii="Arial" w:cs="Arial" w:eastAsia="Arial" w:hAnsi="Arial"/>
                <w:b w:val="false"/>
                <w:bCs w:val="false"/>
                <w:sz w:val="21"/>
                <w:szCs w:val="21"/>
              </w:rPr>
              <w:t xml:space="preserve">- OSA fragments NREM, interrupting the sustained oscillatory state required for pump activation</w:t>
            </w:r>
          </w:p>
          <w:p>
            <w:pPr>
              <w:spacing w:before="60" w:after="60" w:line="260"/>
            </w:pPr>
            <w:r>
              <w:rPr>
                <w:rFonts w:ascii="Arial" w:cs="Arial" w:eastAsia="Arial" w:hAnsi="Arial"/>
                <w:b w:val="false"/>
                <w:bCs w:val="false"/>
                <w:sz w:val="21"/>
                <w:szCs w:val="21"/>
              </w:rPr>
              <w:t xml:space="preserve">- Note: the 0.02 Hz oscillation frequency is established in rodent models; human replication is required to confirm the specific mechanism</w:t>
            </w:r>
          </w:p>
        </w:tc>
      </w:tr>
    </w:tbl>
    <w:p>
      <w:pPr>
        <w:spacing w:before="60" w:after="60"/>
      </w:pPr>
      <w:r>
        <w:rPr>
          <w:rFonts w:ascii="Arial" w:cs="Arial" w:eastAsia="Arial" w:hAnsi="Arial"/>
          <w:sz w:val="22"/>
          <w:szCs w:val="22"/>
        </w:rPr>
        <w:t xml:space="preserve"/>
      </w:r>
    </w:p>
    <w:p>
      <w:pPr>
        <w:pStyle w:val="Heading2"/>
        <w:spacing w:before="240" w:after="100"/>
      </w:pPr>
      <w:r>
        <w:rPr>
          <w:rFonts w:ascii="Arial" w:cs="Arial" w:eastAsia="Arial" w:hAnsi="Arial"/>
          <w:b/>
          <w:bCs/>
          <w:sz w:val="28"/>
          <w:szCs w:val="28"/>
        </w:rPr>
        <w:t xml:space="preserve">5.3 AQP4 and Self-Amplifying Glymphatic Failure</w:t>
      </w:r>
    </w:p>
    <w:p>
      <w:pPr>
        <w:spacing w:before="80" w:after="80" w:line="276"/>
        <w:jc w:val="both"/>
      </w:pPr>
      <w:r>
        <w:rPr>
          <w:rFonts w:ascii="Arial" w:cs="Arial" w:eastAsia="Arial" w:hAnsi="Arial"/>
          <w:sz w:val="22"/>
          <w:szCs w:val="22"/>
        </w:rPr>
        <w:t xml:space="preserve">AQP4 mislocalization represents a self-amplifying mechanism in AD progression [Bhatt20]. Under normal conditions, AQP4 channels are concentrated at astrocyte endfeet at the perivascular interface, a localization maintained by scaffolding proteins including agrin and dystrophin-associated proteins. AQP4 polarity is disrupted by aging, TBI, chronic alcohol use, sleep deprivation, and — critically — by tau pathology itself, which disrupts the cytoskeletal scaffolding anchoring AQP4 at endfeet. Mislocalized AQP4 redistributes to the somatic membrane where it does not contribute to glymphatic flow. AQP4 deficiency in rodent models reduces interstitial solute clearance by approximately 70% [Iliff12].</w:t>
      </w:r>
    </w:p>
    <w:p>
      <w:pPr>
        <w:spacing w:before="80" w:after="80" w:line="276"/>
        <w:jc w:val="both"/>
      </w:pPr>
      <w:r>
        <w:rPr>
          <w:rFonts w:ascii="Arial" w:cs="Arial" w:eastAsia="Arial" w:hAnsi="Arial"/>
          <w:sz w:val="22"/>
          <w:szCs w:val="22"/>
        </w:rPr>
        <w:t xml:space="preserve">This creates a self-amplifying loop: tau pathology → AQP4 mislocalization → reduced glymphatic clearance → more amyloid and tau accumulation → more tau pathology → further AQP4 mislocalization → further clearance failure. This loop operates independently of amyloid production rate and provides a distinct mechanism by which the disease becomes self-sustaining once tau pathology is established [Tier B].</w:t>
      </w:r>
    </w:p>
    <w:p>
      <w:pPr>
        <w:pStyle w:val="Heading2"/>
        <w:spacing w:before="240" w:after="100"/>
      </w:pPr>
      <w:r>
        <w:rPr>
          <w:rFonts w:ascii="Arial" w:cs="Arial" w:eastAsia="Arial" w:hAnsi="Arial"/>
          <w:b/>
          <w:bCs/>
          <w:sz w:val="28"/>
          <w:szCs w:val="28"/>
        </w:rPr>
        <w:t xml:space="preserve">5.4 Sleep Deprivation and Amyloid Dynamics</w:t>
      </w:r>
    </w:p>
    <w:p>
      <w:pPr>
        <w:spacing w:before="80" w:after="80" w:line="276"/>
        <w:jc w:val="both"/>
      </w:pPr>
      <w:r>
        <w:rPr>
          <w:rFonts w:ascii="Arial" w:cs="Arial" w:eastAsia="Arial" w:hAnsi="Arial"/>
          <w:sz w:val="22"/>
          <w:szCs w:val="22"/>
        </w:rPr>
        <w:t xml:space="preserve">The sleep-amyloid relationship is bidirectional and demonstrable on acute timescales. A single night of total sleep deprivation in healthy humans produces a measurable increase in CSF amyloid-beta [Holth19]. Repeated nights of adequate sleep are associated with amyloid reduction relative to sleep-deprived conditions [Kang09]. Aβ turnover in human CSF has been measured by SILK methods. The CSF half-life of Aβ is approximately 9 hours in adults in the AD-risk age range (60–80 years), with evidence of progressive slowing with age — from approximately 3.8 hours at age 30 to approximately 9.4 hours at age 80, representing a 2.5-fold increase in half-life over five decades as clearance mechanisms decline [Patterson15]. This age-dependent slowing of Aβ turnover contributes to the increasing liability of amyloidosis with aging. Chronic mild sleep restriction accumulates a systematic daily clearance deficit that, compounding over years, moves the production/clearance ratio progressively toward threshold.</w:t>
      </w:r>
    </w:p>
    <w:p>
      <w:r>
        <w:br w:type="page"/>
      </w:r>
    </w:p>
    <w:p>
      <w:pPr>
        <w:pStyle w:val="Heading1"/>
        <w:spacing w:before="300" w:after="120"/>
      </w:pPr>
      <w:r>
        <w:rPr>
          <w:rFonts w:ascii="Arial" w:cs="Arial" w:eastAsia="Arial" w:hAnsi="Arial"/>
          <w:b/>
          <w:bCs/>
          <w:sz w:val="32"/>
          <w:szCs w:val="32"/>
        </w:rPr>
        <w:t xml:space="preserve">6. Tau Pathology and Propagation</w:t>
      </w:r>
    </w:p>
    <w:p>
      <w:pPr>
        <w:pStyle w:val="Heading2"/>
        <w:spacing w:before="240" w:after="100"/>
      </w:pPr>
      <w:r>
        <w:rPr>
          <w:rFonts w:ascii="Arial" w:cs="Arial" w:eastAsia="Arial" w:hAnsi="Arial"/>
          <w:b/>
          <w:bCs/>
          <w:sz w:val="28"/>
          <w:szCs w:val="28"/>
        </w:rPr>
        <w:t xml:space="preserve">6.1 Tau Biology</w:t>
      </w:r>
    </w:p>
    <w:p>
      <w:pPr>
        <w:spacing w:before="80" w:after="80" w:line="276"/>
        <w:jc w:val="both"/>
      </w:pPr>
      <w:r>
        <w:rPr>
          <w:rFonts w:ascii="Arial" w:cs="Arial" w:eastAsia="Arial" w:hAnsi="Arial"/>
          <w:sz w:val="22"/>
          <w:szCs w:val="22"/>
        </w:rPr>
        <w:t xml:space="preserve">[Established: tau hyperphosphorylation mechanism, NFT formation, Braak staging sequence, tau-cognition correlation. Supported but evolving: LC-first tau pathology timeline in humans; olfactory biomarker for Braak I–II.] Tau is a microtubule-associated protein that normally stabilizes axonal microtubules. In AD, tau becomes hyperphosphorylated, reducing microtubule-binding affinity, causing tau to dissociate, aggregate into paired helical filaments, and accumulate as neurofibrillary tangles (NFTs). The amyloid cascade hypothesis proposes that amyloid accumulation causally drives tau hyperphosphorylation via kinase activation (GSK-3β, CDK5) [Hardy92]. Tau pathology correlates more strongly with cognitive decline than amyloid burden does, because tau tangles directly disrupt axonal transport and eventually trigger neuronal apoptosis, while amyloid plaques can persist for years before significant neurodegeneration.</w:t>
      </w:r>
    </w:p>
    <w:p>
      <w:pPr>
        <w:pStyle w:val="Heading2"/>
        <w:spacing w:before="240" w:after="100"/>
      </w:pPr>
      <w:r>
        <w:rPr>
          <w:rFonts w:ascii="Arial" w:cs="Arial" w:eastAsia="Arial" w:hAnsi="Arial"/>
          <w:b/>
          <w:bCs/>
          <w:sz w:val="28"/>
          <w:szCs w:val="28"/>
        </w:rPr>
        <w:t xml:space="preserve">6.2 Braak Staging, LC-First Pathology, and Olfactory Biomarker</w:t>
      </w:r>
    </w:p>
    <w:p>
      <w:pPr>
        <w:spacing w:before="80" w:after="80" w:line="276"/>
        <w:jc w:val="both"/>
      </w:pPr>
      <w:r>
        <w:rPr>
          <w:rFonts w:ascii="Arial" w:cs="Arial" w:eastAsia="Arial" w:hAnsi="Arial"/>
          <w:sz w:val="22"/>
          <w:szCs w:val="22"/>
        </w:rPr>
        <w:t xml:space="preserve">Tau pathology spreads through the brain in a consistent stereotyped sequence defining Braak stages I–VI [Braak95]. The sequence begins in the locus coeruleus at Braak stages I–II, not in the cortex. In the largest available autopsy series including younger individuals, LC tau has been detected from the fourth decade of life; most individuals show detectable LC tau pathology from the fourth to fifth decades, with this pathology preceding hippocampal and neocortical changes by years to decades [Grudzien07, vanEgroo24]. From the LC, tau spreads to the entorhinal cortex and hippocampus (stages III–IV) and then to the neocortex (stages V–VI). LC integrity assessed by neuromelanin-sensitive MRI provides a potential preclinical biomarker accessible before amyloid PET positivity.</w:t>
      </w:r>
    </w:p>
    <w:p>
      <w:pPr>
        <w:spacing w:before="80" w:after="80" w:line="276"/>
        <w:jc w:val="both"/>
      </w:pPr>
      <w:r>
        <w:rPr>
          <w:rFonts w:ascii="Arial" w:cs="Arial" w:eastAsia="Arial" w:hAnsi="Arial"/>
          <w:sz w:val="22"/>
          <w:szCs w:val="22"/>
        </w:rPr>
        <w:t xml:space="preserve">The early LC tau pathology has several independent pathological consequences analyzed in §9.3. A further consequence with clinical screening potential is hyposmia — loss of smell. LC axons in the olfactory bulb degenerate during the early Braak staging sequence, producing measurable olfactory dysfunction before amyloid plaques are radiologically detectable; this has been demonstrated in both AD mouse models and human cohort data (Nature Communications 2025) [Meyer25_OB]. Recent evidence indicates that LC integrity predicts slow-wave sleep quality in individuals on the AD spectrum, directly linking LC neurodegeneration to the glymphatic clearance window in living humans [vanEgroo24]. These findings are from recent single studies and require independent replication.</w:t>
      </w:r>
    </w:p>
    <w:p>
      <w:pPr>
        <w:pStyle w:val="Heading2"/>
        <w:spacing w:before="240" w:after="100"/>
      </w:pPr>
      <w:r>
        <w:rPr>
          <w:rFonts w:ascii="Arial" w:cs="Arial" w:eastAsia="Arial" w:hAnsi="Arial"/>
          <w:b/>
          <w:bCs/>
          <w:sz w:val="28"/>
          <w:szCs w:val="28"/>
        </w:rPr>
        <w:t xml:space="preserve">6.3 Glymphatic Failure Accelerates Tau Propagation</w:t>
      </w:r>
    </w:p>
    <w:p>
      <w:pPr>
        <w:spacing w:before="80" w:after="80" w:line="276"/>
        <w:jc w:val="both"/>
      </w:pPr>
      <w:r>
        <w:rPr>
          <w:rFonts w:ascii="Arial" w:cs="Arial" w:eastAsia="Arial" w:hAnsi="Arial"/>
          <w:sz w:val="22"/>
          <w:szCs w:val="22"/>
        </w:rPr>
        <w:t xml:space="preserve">[Tier B] Tau spread through the brain has prion-like properties: misfolded tau seeds the misfolding of adjacent molecules and propagates along connected axonal networks in the extracellular space. The glymphatic system plays an active role in limiting this extracellular propagation. Pharmacological inhibition of AQP4 in a mouse model of tau propagation (Alzheimer’s Research &amp; Therapy 2024) produced significantly accelerated tau spread and aggregation compared to controls, establishing a causal link between glymphatic dysfunction and tau propagation rate [GlymphTau24]. This adds a second mechanism by which glymphatic failure drives disease progression: beyond amyloid accumulation, impaired clearance accelerates tau spread through the connectome.</w:t>
      </w:r>
    </w:p>
    <w:p>
      <w:pPr>
        <w:pStyle w:val="Heading2"/>
        <w:spacing w:before="240" w:after="100"/>
      </w:pPr>
      <w:r>
        <w:rPr>
          <w:rFonts w:ascii="Arial" w:cs="Arial" w:eastAsia="Arial" w:hAnsi="Arial"/>
          <w:b/>
          <w:bCs/>
          <w:sz w:val="28"/>
          <w:szCs w:val="28"/>
        </w:rPr>
        <w:t xml:space="preserve">6.4 Tau as the Correlate of Cognitive Decline</w:t>
      </w:r>
    </w:p>
    <w:p>
      <w:pPr>
        <w:spacing w:before="80" w:after="80" w:line="276"/>
        <w:jc w:val="both"/>
      </w:pPr>
      <w:r>
        <w:rPr>
          <w:rFonts w:ascii="Arial" w:cs="Arial" w:eastAsia="Arial" w:hAnsi="Arial"/>
          <w:sz w:val="22"/>
          <w:szCs w:val="22"/>
        </w:rPr>
        <w:t xml:space="preserve">While amyloid pathology can be present for 20 or more years before cognitive symptoms — the 2024 NIA-AA revised criteria recognize a preclinical disease course spanning up to 30 years [Jack24] — tau burden at autopsy correlates strongly with antemortem cognitive impairment. Amyloid disrupts synaptic function and activates neuroinflammation, but neurons can sustain significant synaptic dysfunction without dying. Tau tangles destroy axonal transport and eventually trigger neuronal death, which is irreversible. This is why anti-amyloid therapies that do not address tau pathology are expected to produce limited cognitive benefit, and why tau-targeting therapeutics represent the logical next therapeutic tier (see §16).</w:t>
      </w:r>
    </w:p>
    <w:p>
      <w:r>
        <w:br w:type="page"/>
      </w:r>
    </w:p>
    <w:p>
      <w:pPr>
        <w:pStyle w:val="Heading1"/>
        <w:spacing w:before="300" w:after="120"/>
      </w:pPr>
      <w:r>
        <w:rPr>
          <w:rFonts w:ascii="Arial" w:cs="Arial" w:eastAsia="Arial" w:hAnsi="Arial"/>
          <w:b/>
          <w:bCs/>
          <w:sz w:val="32"/>
          <w:szCs w:val="32"/>
        </w:rPr>
        <w:t xml:space="preserve">7. Memory Architecture and Degradation Sequence</w:t>
      </w:r>
    </w:p>
    <w:p>
      <w:pPr>
        <w:pStyle w:val="Heading2"/>
        <w:spacing w:before="240" w:after="100"/>
      </w:pPr>
      <w:r>
        <w:rPr>
          <w:rFonts w:ascii="Arial" w:cs="Arial" w:eastAsia="Arial" w:hAnsi="Arial"/>
          <w:b/>
          <w:bCs/>
          <w:sz w:val="28"/>
          <w:szCs w:val="28"/>
        </w:rPr>
        <w:t xml:space="preserve">7.1 Three-Tier Architecture and AD Failure Pattern</w:t>
      </w:r>
    </w:p>
    <w:p>
      <w:pPr>
        <w:spacing w:before="80" w:after="80" w:line="276"/>
        <w:jc w:val="both"/>
      </w:pPr>
      <w:r>
        <w:rPr>
          <w:rFonts w:ascii="Arial" w:cs="Arial" w:eastAsia="Arial" w:hAnsi="Arial"/>
          <w:sz w:val="22"/>
          <w:szCs w:val="22"/>
        </w:rPr>
        <w:t xml:space="preserve">[Tier A] Memory is organized in a hierarchical three-tier architecture. Tier 1 (working/short-term): prefrontal-hippocampal active maintenance over seconds to minutes, requiring ACh from basal forebrain and DA from VTA. Tier 2 (recent episodic): hippocampus-dependent consolidation from hours to weeks, requiring the full entorhinal-DG-CA3-CA1-subiculum-cortex loop, ACh-mediated encoding mode switching, and LTP. Tier 3 (remote memory/semantic): long-term cortically distributed representations encoded by repeated NREM replay; these are hippocampus-independent once consolidated. This architecture produces the characteristic early AD clinical pattern: Tier 2 fails first because the hippocampus is affected early; Tier 3 survives because it is cortically distributed and retrieval no longer requires hippocampal processing; Tier 1 fails later as cholinergic depletion and prefrontal dysfunction progress. The resulting presentation — intact recall of biographical events from decades ago alongside inability to form new memories — follows directly from the specific failure point in the consolidation architecture, not from global memory dysfunction [Selkoe16].</w:t>
      </w:r>
    </w:p>
    <w:p>
      <w:pPr>
        <w:pStyle w:val="Heading2"/>
        <w:spacing w:before="240" w:after="100"/>
      </w:pPr>
      <w:r>
        <w:rPr>
          <w:rFonts w:ascii="Arial" w:cs="Arial" w:eastAsia="Arial" w:hAnsi="Arial"/>
          <w:b/>
          <w:bCs/>
          <w:sz w:val="28"/>
          <w:szCs w:val="28"/>
        </w:rPr>
        <w:t xml:space="preserve">7.2 Hippocampal Neurogenesis</w:t>
      </w:r>
    </w:p>
    <w:p>
      <w:pPr>
        <w:spacing w:before="80" w:after="80" w:line="276"/>
        <w:jc w:val="both"/>
      </w:pPr>
      <w:r>
        <w:rPr>
          <w:rFonts w:ascii="Arial" w:cs="Arial" w:eastAsia="Arial" w:hAnsi="Arial"/>
          <w:sz w:val="22"/>
          <w:szCs w:val="22"/>
        </w:rPr>
        <w:t xml:space="preserve">[Tier A] Adult hippocampal neurogenesis in the dentate gyrus is now confirmed in living humans. Neural progenitor cells were identified and confirmed in the adult human dentate gyrus using single-nucleus RNA-seq (Dumitru et al. 2025, Science) [Dumitru25], contributing to the ongoing debate about human adult neurogenesis (with immediate counter-commentary in the same issue) [Dumitru25]. Substantial individual variation in progenitor cell density is reported. Note: a counter-commentary published in the same issue (Quiniou &amp; Jessberger 2025) argues the findings are better interpreted as supporting declining neurogenesis with age rather than confirming robust adult neurogenesis; the question of whether neurogenesis is functionally significant in adults remains disputed. DG neurogenesis contributes to pattern separation, the function required for forming distinct episodic memories.</w:t>
      </w:r>
    </w:p>
    <w:p>
      <w:pPr>
        <w:spacing w:before="80" w:after="80" w:line="276"/>
        <w:jc w:val="both"/>
      </w:pPr>
      <w:r>
        <w:rPr>
          <w:rFonts w:ascii="Arial" w:cs="Arial" w:eastAsia="Arial" w:hAnsi="Arial"/>
          <w:sz w:val="22"/>
          <w:szCs w:val="22"/>
        </w:rPr>
        <w:t xml:space="preserve">[Tier B] In AD, DG neurogenesis is progressively suppressed by elevated cortisol, reduced BDNF (from LC-NE loss and physical inactivity), reduced insulin signaling, and direct amyloid toxicity to neural stem cells. Loss of DG neurogenesis reduces pattern separation capacity, making new memories more susceptible to interference. This mechanism represents a link between modifiable lifestyle factors — exercise, sleep, stress reduction — and hippocampal structural integrity, operating through BDNF and associated trophic signaling.</w:t>
      </w:r>
    </w:p>
    <w:p>
      <w:r>
        <w:br w:type="page"/>
      </w:r>
    </w:p>
    <w:p>
      <w:pPr>
        <w:pStyle w:val="Heading1"/>
        <w:spacing w:before="300" w:after="120"/>
      </w:pPr>
      <w:r>
        <w:rPr>
          <w:rFonts w:ascii="Arial" w:cs="Arial" w:eastAsia="Arial" w:hAnsi="Arial"/>
          <w:b/>
          <w:bCs/>
          <w:sz w:val="32"/>
          <w:szCs w:val="32"/>
        </w:rPr>
        <w:t xml:space="preserve">8. Neuroinflammation Cascade</w:t>
      </w:r>
    </w:p>
    <w:p>
      <w:pPr>
        <w:pStyle w:val="Heading2"/>
        <w:spacing w:before="240" w:after="100"/>
      </w:pPr>
      <w:r>
        <w:rPr>
          <w:rFonts w:ascii="Arial" w:cs="Arial" w:eastAsia="Arial" w:hAnsi="Arial"/>
          <w:b/>
          <w:bCs/>
          <w:sz w:val="28"/>
          <w:szCs w:val="28"/>
        </w:rPr>
        <w:t xml:space="preserve">8.1 Microglia: State Spectrum and Disease-Stage-Dependent Function</w:t>
      </w:r>
    </w:p>
    <w:p>
      <w:pPr>
        <w:spacing w:before="80" w:after="80" w:line="276"/>
        <w:jc w:val="both"/>
      </w:pPr>
      <w:r>
        <w:rPr>
          <w:rFonts w:ascii="Arial" w:cs="Arial" w:eastAsia="Arial" w:hAnsi="Arial"/>
          <w:sz w:val="22"/>
          <w:szCs w:val="22"/>
        </w:rPr>
        <w:t xml:space="preserve">[Established: microglial state spectrum, NLRP3 inflammasome pathway, TREM2 role in AD risk. Supported but evolving: single-cell state taxonomy is still maturing; stage-specific therapeutic targeting logic is mechanistically motivated but not yet validated in human trials.]</w:t>
      </w:r>
    </w:p>
    <w:p>
      <w:pPr>
        <w:spacing w:before="80" w:after="80" w:line="276"/>
        <w:jc w:val="both"/>
      </w:pPr>
      <w:r>
        <w:rPr>
          <w:rFonts w:ascii="Arial" w:cs="Arial" w:eastAsia="Arial" w:hAnsi="Arial"/>
          <w:sz w:val="22"/>
          <w:szCs w:val="22"/>
        </w:rPr>
        <w:t xml:space="preserve">[Tier A] Microglia are the brain’s resident immune cells (approximately 5–15% of all brain cells, with single-cell sequencing-era estimates converging toward 5–10% depending on region and age) and under normal conditions serve a primarily protective role: surveying the interstitium for damage signals, clearing apoptotic neurons and synaptic debris, and phagocytosing amyloid-beta monomers. The M1 (pro-inflammatory) / M2 (anti-inflammatory) binary that organized much of the prior literature is now characterized in the current literature as an oversimplification. Single-cell RNA-seq has identified multiple distinct microglial states with functionally distinct and in some cases opposing roles in AD pathology [HuMicA25].</w:t>
      </w:r>
    </w:p>
    <w:p>
      <w:pPr>
        <w:spacing w:before="80" w:after="80" w:line="276"/>
        <w:jc w:val="both"/>
      </w:pPr>
      <w:r>
        <w:rPr>
          <w:rFonts w:ascii="Arial" w:cs="Arial" w:eastAsia="Arial" w:hAnsi="Arial"/>
          <w:sz w:val="22"/>
          <w:szCs w:val="22"/>
        </w:rPr>
        <w:t xml:space="preserve">[Tier A-B] Five distinct states are recognized in the AD brain. (1) Homeostatic (P2RY12+, TMEM119+, CX3CR1+): default surveillance state. (2) True DAM (disease-associated microglia): TREM2-dependent, embryonically derived; clusters at amyloid plaques; upregulates phagocytosis and lipid metabolism. True DAM is primarily neuroprotective in early disease — TREM2 deficiency worsens AD pathology in multiple mouse models and is associated with elevated AD risk (R47H variant) in humans; TREM2 agonists, not antagonists, are the current therapeutic direction. (3) DIMs (disease inflammatory macrophages): monocyte-derived, TREM2-expressing but ontologically distinct from true DAM; accumulate progressively with aging and ApoE4 genotype; pro-inflammatory; likely the primary drivers of chronic neuroinflammatory damage in established disease. (4) LDAM (lipid droplet-accumulating microglia): impaired phagocytosis, elevated ROS, dysregulated lipid metabolism; accumulate with aging and ApoE4. (5) GPNMB-high/Lipo.DAM: expanded in both AD and MS; identified across six neurological conditions in the Human Microglia Atlas (Nature Communications Jan 2025, n=90,716 cells) [HuMicA25].</w:t>
      </w:r>
    </w:p>
    <w:p>
      <w:pPr>
        <w:spacing w:before="80" w:after="80" w:line="276"/>
        <w:jc w:val="both"/>
      </w:pPr>
      <w:r>
        <w:rPr>
          <w:rFonts w:ascii="Arial" w:cs="Arial" w:eastAsia="Arial" w:hAnsi="Arial"/>
          <w:sz w:val="22"/>
          <w:szCs w:val="22"/>
        </w:rPr>
        <w:t xml:space="preserve">[Tier B] The therapeutic implication of this state spectrum is significant: therapies globally suppressing microglial activation may inadvertently impair the early neuroprotective DAM response while failing to target the late-stage monocyte-derived DIM and LDAM populations that drive neuroinflammatory damage. Effective therapeutic targeting may need to be disease-stage-specific, supporting TREM2-driven phagocytic clearance in early disease while suppressing DIM/LDAM populations in later disease.</w:t>
      </w:r>
    </w:p>
    <w:p>
      <w:pPr>
        <w:pStyle w:val="Heading2"/>
        <w:spacing w:before="240" w:after="100"/>
      </w:pPr>
      <w:r>
        <w:rPr>
          <w:rFonts w:ascii="Arial" w:cs="Arial" w:eastAsia="Arial" w:hAnsi="Arial"/>
          <w:b/>
          <w:bCs/>
          <w:sz w:val="28"/>
          <w:szCs w:val="28"/>
        </w:rPr>
        <w:t xml:space="preserve">8.2 NLRP3 Inflammasome</w:t>
      </w:r>
    </w:p>
    <w:p>
      <w:pPr>
        <w:spacing w:before="80" w:after="80" w:line="276"/>
        <w:jc w:val="both"/>
      </w:pPr>
      <w:r>
        <w:rPr>
          <w:rFonts w:ascii="Arial" w:cs="Arial" w:eastAsia="Arial" w:hAnsi="Arial"/>
          <w:sz w:val="22"/>
          <w:szCs w:val="22"/>
        </w:rPr>
        <w:t xml:space="preserve">[Tier A] Amyloid-beta aggregates activate the NLRP3 inflammasome in microglia, triggering caspase-1 activation, IL-1β and IL-18 release, and pyroptosis (inflammatory cell death) in a subset of microglia [Heneka13]. NLRP3 activation has been confirmed in human AD brain tissue at the MCI stage and correlates with disease severity. Peripheral signals also activate NLRP3: systemic LPS from gut dysbiosis crosses the BBB at circumventricular organs and activates TLR4 on microglia; cholesterol crystals from atherosclerosis activate NLRP3 in peripheral macrophages that subsequently enter the parenchyma via compromised BBB.</w:t>
      </w:r>
    </w:p>
    <w:p>
      <w:pPr>
        <w:pStyle w:val="Heading2"/>
        <w:spacing w:before="240" w:after="100"/>
      </w:pPr>
      <w:r>
        <w:rPr>
          <w:rFonts w:ascii="Arial" w:cs="Arial" w:eastAsia="Arial" w:hAnsi="Arial"/>
          <w:b/>
          <w:bCs/>
          <w:sz w:val="28"/>
          <w:szCs w:val="28"/>
        </w:rPr>
        <w:t xml:space="preserve">8.3 TREM2 and Microglial Phenotype</w:t>
      </w:r>
    </w:p>
    <w:p>
      <w:pPr>
        <w:spacing w:before="80" w:after="80" w:line="276"/>
        <w:jc w:val="both"/>
      </w:pPr>
      <w:r>
        <w:rPr>
          <w:rFonts w:ascii="Arial" w:cs="Arial" w:eastAsia="Arial" w:hAnsi="Arial"/>
          <w:sz w:val="22"/>
          <w:szCs w:val="22"/>
        </w:rPr>
        <w:t xml:space="preserve">[Tier A-B] TREM2 is required for the transition from homeostatic to disease-associated microglial state and supports amyloid phagocytosis, microglial survival, and lipid metabolism. The R47H variant of TREM2 is associated with approximately two- to three-fold increased late-onset AD risk (OR 2.92, 95% CI 2.09–4.09 in the original Icelandic discovery cohort), placing it among the strongest genetic AD risk factors after ApoE4 [Guerreiro13, Jonsson13]. Early TREM2-dependent DAM represents a protective compensatory response to rising amyloid burden; as disease progresses, the accumulated burden of monocyte-derived DIMs and lipid-laden LDAMs increasingly dominates the neuroinflammatory landscape.</w:t>
      </w:r>
    </w:p>
    <w:p>
      <w:pPr>
        <w:pStyle w:val="Heading2"/>
        <w:spacing w:before="240" w:after="100"/>
      </w:pPr>
      <w:r>
        <w:rPr>
          <w:rFonts w:ascii="Arial" w:cs="Arial" w:eastAsia="Arial" w:hAnsi="Arial"/>
          <w:b/>
          <w:bCs/>
          <w:sz w:val="28"/>
          <w:szCs w:val="28"/>
        </w:rPr>
        <w:t xml:space="preserve">8.4 Inflammaging: The Peripheral Contribution</w:t>
      </w:r>
    </w:p>
    <w:p>
      <w:pPr>
        <w:spacing w:before="80" w:after="80" w:line="276"/>
        <w:jc w:val="both"/>
      </w:pPr>
      <w:r>
        <w:rPr>
          <w:rFonts w:ascii="Arial" w:cs="Arial" w:eastAsia="Arial" w:hAnsi="Arial"/>
          <w:sz w:val="22"/>
          <w:szCs w:val="22"/>
        </w:rPr>
        <w:t xml:space="preserve">[Tier B-C] Chronic low-grade sterile inflammation — inflammaging — reflects senescent cell SASP (IL-6, IL-8, MMPs, TGF-β), gut dysbiosis-driven LPS translocation, and DAMP activation of innate pattern recognition receptors from damaged mitochondria. Elevated peripheral IL-6 and TNF-α cross the BBB via cytokine transport proteins, endothelial activation, and circumventricular organ access. These activate central microglia, prime NLRP3, and increase BACE1 expression — increasing k_prod while impairing phagocytic clearance simultaneously.</w:t>
      </w:r>
    </w:p>
    <w:p>
      <w:r>
        <w:br w:type="page"/>
      </w:r>
    </w:p>
    <w:p>
      <w:pPr>
        <w:pStyle w:val="Heading1"/>
        <w:spacing w:before="300" w:after="120"/>
      </w:pPr>
      <w:r>
        <w:rPr>
          <w:rFonts w:ascii="Arial" w:cs="Arial" w:eastAsia="Arial" w:hAnsi="Arial"/>
          <w:b/>
          <w:bCs/>
          <w:sz w:val="32"/>
          <w:szCs w:val="32"/>
        </w:rPr>
        <w:t xml:space="preserve">9. Neurochemical Architecture of Failure</w:t>
      </w:r>
    </w:p>
    <w:p>
      <w:pPr>
        <w:pStyle w:val="Heading2"/>
        <w:spacing w:before="240" w:after="100"/>
      </w:pPr>
      <w:r>
        <w:rPr>
          <w:rFonts w:ascii="Arial" w:cs="Arial" w:eastAsia="Arial" w:hAnsi="Arial"/>
          <w:b/>
          <w:bCs/>
          <w:sz w:val="28"/>
          <w:szCs w:val="28"/>
        </w:rPr>
        <w:t xml:space="preserve">9.1 ACh/Basal Forebrain: Two Dissociable Cholinergic Memory Circuits</w:t>
      </w:r>
    </w:p>
    <w:p>
      <w:pPr>
        <w:spacing w:before="80" w:after="80" w:line="276"/>
        <w:jc w:val="both"/>
      </w:pPr>
      <w:r>
        <w:rPr>
          <w:rFonts w:ascii="Arial" w:cs="Arial" w:eastAsia="Arial" w:hAnsi="Arial"/>
          <w:sz w:val="22"/>
          <w:szCs w:val="22"/>
        </w:rPr>
        <w:t xml:space="preserve">[Tier A] The basal forebrain cholinergic system is the brain’s global learning rate controller. NBM Ch4 neurons project diffusely to all neocortex; medial septum/diagonal band (Ch1/Ch2) project to hippocampus. High ACh during wakefulness and attention places the hippocampus in encoding mode (CA3 recurrence suppressed, new input prioritized); low ACh during NREM allows CA3 recurrence to open for replay and consolidation [Whitehouse82, Perry78]. NBM is the first structure to show significant neurodegeneration in AD, preceding hippocampal and neocortical atrophy. Cholinesterase inhibitors (donepezil, rivastigmine, galantamine) slow ACh breakdown to partially compensate for depleted NBM output.</w:t>
      </w:r>
    </w:p>
    <w:p>
      <w:pPr>
        <w:spacing w:before="80" w:after="80" w:line="276"/>
        <w:jc w:val="both"/>
      </w:pPr>
      <w:r>
        <w:rPr>
          <w:rFonts w:ascii="Arial" w:cs="Arial" w:eastAsia="Arial" w:hAnsi="Arial"/>
          <w:sz w:val="22"/>
          <w:szCs w:val="22"/>
        </w:rPr>
        <w:t xml:space="preserve">[Tier B] Circuit-level evidence from 2024 establishes that what was treated as a single cholinergic memory system comprises two functionally dissociable subsystems. (1) NBM Ngfr+ (nerve growth factor receptor-expressing) neurons projecting to mPFC mediate temporal order memory: recency judgments, which of two events occurred more recently. (2) Medial septum/diagonal band projecting to HPC mediates spatial memory and novelty detection. Loss of Ngfr+ neurons specifically impairs recency discrimination while leaving spatial/novelty memory intact (Nature Communications Aug 2024) [NBM_NatComms24]. Alzheimer’s degrades both circuits, but through distinct anatomical paths, providing mechanistic specificity to the observation that early AD produces both recency confusion and spatial disorientation.</w:t>
      </w:r>
    </w:p>
    <w:p>
      <w:pPr>
        <w:spacing w:before="80" w:after="80" w:line="276"/>
        <w:jc w:val="both"/>
      </w:pPr>
      <w:r>
        <w:rPr>
          <w:rFonts w:ascii="Arial" w:cs="Arial" w:eastAsia="Arial" w:hAnsi="Arial"/>
          <w:sz w:val="22"/>
          <w:szCs w:val="22"/>
        </w:rPr>
        <w:t xml:space="preserve">[Tier B] Two additional mechanisms contribute to suppression of residual cholinergic output. Galanin, a neuropeptide co-expressed with ACh in NBM neurons, is upregulated several-fold in the AD basal forebrain and acts as an inhibitory brake on cholinergic neuron firing, suppressing output beyond what neuronal loss alone predicts; galanin receptor antagonists represent a potential therapeutic target complementary to cholinesterase inhibition. Additionally, NBM fires in phasic bursts rather than tonically; burst DBS paradigms mimicking natural NBM firing patterns produce superior memory benefit over tonic stimulation in lesion models, suggesting that restoring burst patterning, not merely increasing ACh tone, may be the functionally relevant target.</w:t>
      </w:r>
    </w:p>
    <w:p>
      <w:pPr>
        <w:pStyle w:val="Heading2"/>
        <w:spacing w:before="240" w:after="100"/>
      </w:pPr>
      <w:r>
        <w:rPr>
          <w:rFonts w:ascii="Arial" w:cs="Arial" w:eastAsia="Arial" w:hAnsi="Arial"/>
          <w:b/>
          <w:bCs/>
          <w:sz w:val="28"/>
          <w:szCs w:val="28"/>
        </w:rPr>
        <w:t xml:space="preserve">9.2 Glutamate/NMDA: Excitotoxicity</w:t>
      </w:r>
    </w:p>
    <w:p>
      <w:pPr>
        <w:spacing w:before="80" w:after="80" w:line="276"/>
        <w:jc w:val="both"/>
      </w:pPr>
      <w:r>
        <w:rPr>
          <w:rFonts w:ascii="Arial" w:cs="Arial" w:eastAsia="Arial" w:hAnsi="Arial"/>
          <w:sz w:val="22"/>
          <w:szCs w:val="22"/>
        </w:rPr>
        <w:t xml:space="preserve">[Tier A] Soluble amyloid-beta oligomers disrupt glutamatergic gating in two ways: they potentiate NMDA receptor activation via NR2B subunit binding, and they impair glutamate reuptake by EAAT1/2 on astrocytes, allowing extracellular glutamate to accumulate. The result is tonic low-level NMDA activation — insufficient for plasticity but sufficient to chronically elevate intracellular Ca2+ and activate calcium-dependent proteases and apoptotic cascades (excitotoxicity). Memantine, a low-affinity voltage-dependent NMDA receptor antagonist, selectively blocks tonic NMDA activation while preserving brief high-amplitude phasic activation required for LTP and memory [Reisberg03].</w:t>
      </w:r>
    </w:p>
    <w:p>
      <w:pPr>
        <w:pStyle w:val="Heading2"/>
        <w:spacing w:before="240" w:after="100"/>
      </w:pPr>
      <w:r>
        <w:rPr>
          <w:rFonts w:ascii="Arial" w:cs="Arial" w:eastAsia="Arial" w:hAnsi="Arial"/>
          <w:b/>
          <w:bCs/>
          <w:sz w:val="28"/>
          <w:szCs w:val="28"/>
        </w:rPr>
        <w:t xml:space="preserve">9.3 NE/Locus Coeruleus: The First Casualty and the Glymphatic Gate</w:t>
      </w:r>
    </w:p>
    <w:p>
      <w:pPr>
        <w:spacing w:before="80" w:after="80" w:line="276"/>
        <w:jc w:val="both"/>
      </w:pPr>
      <w:r>
        <w:rPr>
          <w:rFonts w:ascii="Arial" w:cs="Arial" w:eastAsia="Arial" w:hAnsi="Arial"/>
          <w:sz w:val="22"/>
          <w:szCs w:val="22"/>
        </w:rPr>
        <w:t xml:space="preserve">[Tier A] The locus coeruleus accumulates tau at Braak stages I–II, beginning as early as the fourth decade of life in the majority of individuals, preceding hippocampal and cortical tau changes by years to decades [Grudzien07]. LC neuronal loss in AD is substantial: 40–80% by end-stage disease [Wilson13]. NE loss from the LC has three independent pathological consequences in AD. First, NE acting on β2-adrenergic receptors on microglia suppresses NF-κB-driven cytokine production and NLRP3 activation; LC-NE loss removes this anti-inflammatory brake, allowing microglial inflammatory activation to proceed unchecked. Second, NE facilitates LTP via β-adrenergic/cAMP/PKA/AMPA insertion; NE loss raises the LTP induction threshold, contributing to synaptic plasticity failure. Third, NE oscillatory discharge from the LC during NREM sleep is the primary driver of glymphatic vasomotion [Nedergaard25]; early tau-driven disruption of LC oscillatory firing impairs the glymphatic pump while early amyloid accumulation is rising. The first tau lesion in the disease sequence thus impairs the primary mechanism for clearing the amyloid that will subsequently drive further neurodegeneration.</w:t>
      </w:r>
    </w:p>
    <w:p>
      <w:r>
        <w:br w:type="page"/>
      </w:r>
    </w:p>
    <w:p>
      <w:pPr>
        <w:pStyle w:val="Heading1"/>
        <w:spacing w:before="300" w:after="120"/>
      </w:pPr>
      <w:r>
        <w:rPr>
          <w:rFonts w:ascii="Arial" w:cs="Arial" w:eastAsia="Arial" w:hAnsi="Arial"/>
          <w:b/>
          <w:bCs/>
          <w:sz w:val="32"/>
          <w:szCs w:val="32"/>
        </w:rPr>
        <w:t xml:space="preserve">10. Hormonal Dynamics and the Female AD Incidence Asymmetry</w:t>
      </w:r>
    </w:p>
    <w:p>
      <w:pPr>
        <w:pStyle w:val="Heading2"/>
        <w:spacing w:before="240" w:after="100"/>
      </w:pPr>
      <w:r>
        <w:rPr>
          <w:rFonts w:ascii="Arial" w:cs="Arial" w:eastAsia="Arial" w:hAnsi="Arial"/>
          <w:b/>
          <w:bCs/>
          <w:sz w:val="28"/>
          <w:szCs w:val="28"/>
        </w:rPr>
        <w:t xml:space="preserve">10.1 Estradiol and Glymphatic Efficiency</w:t>
      </w:r>
    </w:p>
    <w:p>
      <w:pPr>
        <w:spacing w:before="80" w:after="80" w:line="276"/>
        <w:jc w:val="both"/>
      </w:pPr>
      <w:r>
        <w:rPr>
          <w:rFonts w:ascii="Arial" w:cs="Arial" w:eastAsia="Arial" w:hAnsi="Arial"/>
          <w:sz w:val="22"/>
          <w:szCs w:val="22"/>
        </w:rPr>
        <w:t xml:space="preserve">[Established: E2-AQP4 mechanism in rodent models; observational human data for HRT timing and AD risk. Supported but evolving: causal chain from menopause to glymphatic failure in humans requires prospective confirmation; allopregnanolone mechanism needs human replication; critical window hypothesis is observational.] [Tier B] Estradiol (E2) directly regulates AQP4 expression and localization in astrocytes via ERα. Experimental E2 withdrawal reduces AQP4 at astrocyte endfeet and measurably reduces glymphatic clearance rate in rodent models. E2 also suppresses BACE1 expression via ERα, reducing amyloid production; maintains hippocampal spine density, LTP magnitude, and BDNF expression; and protects mitochondrial function in neurons. E2 loss at menopause therefore simultaneously reduces k_clear (via AQP4) and increases k_prod (via BACE1) while independently impairing hippocampal plasticity [Henderson10, Brinton09].</w:t>
      </w:r>
    </w:p>
    <w:p>
      <w:pPr>
        <w:pStyle w:val="Heading2"/>
        <w:spacing w:before="240" w:after="100"/>
      </w:pPr>
      <w:r>
        <w:rPr>
          <w:rFonts w:ascii="Arial" w:cs="Arial" w:eastAsia="Arial" w:hAnsi="Arial"/>
          <w:b/>
          <w:bCs/>
          <w:sz w:val="28"/>
          <w:szCs w:val="28"/>
        </w:rPr>
        <w:t xml:space="preserve">10.2 Allopregnanolone, Slow-Wave Sleep, and the Clearance Window</w:t>
      </w:r>
    </w:p>
    <w:p>
      <w:pPr>
        <w:spacing w:before="80" w:after="80" w:line="276"/>
        <w:jc w:val="both"/>
      </w:pPr>
      <w:r>
        <w:rPr>
          <w:rFonts w:ascii="Arial" w:cs="Arial" w:eastAsia="Arial" w:hAnsi="Arial"/>
          <w:sz w:val="22"/>
          <w:szCs w:val="22"/>
        </w:rPr>
        <w:t xml:space="preserve">[Tier A-B] Allopregnanolone (ALLO), a neurosteroid synthesized in the brain from progesterone via the sequential actions of 5α-reductase and 3α-hydroxysteroid dehydrogenase (progesterone itself derived from pregnenolone), is a potent positive allosteric modulator of GABA-A receptors and the primary endogenous promoter of deep NREM slow-wave sleep. ALLO declines with age and with the progesterone withdrawal of menopause, and is further reduced by chronic stress and by alcohol use. ALLO decline reduces SWS depth and duration, shortening the glymphatic clearance window: ALLO decline → SWS reduction → LC oscillatory drive of glymphatic clearance shortened → k_clear falls → r increases toward threshold.</w:t>
      </w:r>
    </w:p>
    <w:p>
      <w:pPr>
        <w:pStyle w:val="Heading2"/>
        <w:spacing w:before="240" w:after="100"/>
      </w:pPr>
      <w:r>
        <w:rPr>
          <w:rFonts w:ascii="Arial" w:cs="Arial" w:eastAsia="Arial" w:hAnsi="Arial"/>
          <w:b/>
          <w:bCs/>
          <w:sz w:val="28"/>
          <w:szCs w:val="28"/>
        </w:rPr>
        <w:t xml:space="preserve">10.3 DHEA/Cortisol Ratio and the Production-Clearance Double Effect</w:t>
      </w:r>
    </w:p>
    <w:p>
      <w:pPr>
        <w:spacing w:before="80" w:after="80" w:line="276"/>
        <w:jc w:val="both"/>
      </w:pPr>
      <w:r>
        <w:rPr>
          <w:rFonts w:ascii="Arial" w:cs="Arial" w:eastAsia="Arial" w:hAnsi="Arial"/>
          <w:sz w:val="22"/>
          <w:szCs w:val="22"/>
        </w:rPr>
        <w:t xml:space="preserve">[Tier B] DHEA falls approximately 2% per year after age 25 while cortisol increases modestly with age and is chronically elevated under psychosocial stress. The resulting DHEA/cortisol ratio inversion creates a progressively cortisol-dominant hormonal environment in older age. Chronically elevated cortisol increases BACE1-driven amyloid production and impairs glymphatic clearance via HPA-mediated disruption of LC oscillatory function and direct hippocampal glucocorticoid receptor effects (dendritic atrophy in CA3) [Vogelgsang19]. The evidence that cortisol → BACE1 → increased Aβ production is established in rodent models and cell culture; direct human mechanistic confirmation is limited, placing this at Tier B-C for the specific molecular chain in humans.</w:t>
      </w:r>
    </w:p>
    <w:p>
      <w:pPr>
        <w:pStyle w:val="Heading2"/>
        <w:spacing w:before="240" w:after="100"/>
      </w:pPr>
      <w:r>
        <w:rPr>
          <w:rFonts w:ascii="Arial" w:cs="Arial" w:eastAsia="Arial" w:hAnsi="Arial"/>
          <w:b/>
          <w:bCs/>
          <w:sz w:val="28"/>
          <w:szCs w:val="28"/>
        </w:rPr>
        <w:t xml:space="preserve">10.4 The Critical Window and the 2:1 Female Incidence</w:t>
      </w:r>
    </w:p>
    <w:p>
      <w:pPr>
        <w:spacing w:before="80" w:after="80" w:line="276"/>
        <w:jc w:val="both"/>
      </w:pPr>
      <w:r>
        <w:rPr>
          <w:rFonts w:ascii="Arial" w:cs="Arial" w:eastAsia="Arial" w:hAnsi="Arial"/>
          <w:sz w:val="22"/>
          <w:szCs w:val="22"/>
        </w:rPr>
        <w:t xml:space="preserve">[Tier A] Women develop AD at approximately twice the rate of men after age 75. Longevity-adjusted analyses confirm excess female risk beyond age alone [Henderson10]. At menopause, women lose E2 (reducing AQP4 and increasing BACE1), ALLO (reducing SWS and the glymphatic clearance window), and to a lesser degree DHEA — in a compressed timeframe. Men lose testosterone more gradually, with ongoing peripheral aromatization to E2 providing partial estrogen activity. The simultaneous, compressed multi-mechanism hormonal loss at menopause is consistent with the elevated female AD incidence.</w:t>
      </w:r>
    </w:p>
    <w:p>
      <w:pPr>
        <w:spacing w:before="80" w:after="80" w:line="276"/>
        <w:jc w:val="both"/>
      </w:pPr>
      <w:r>
        <w:rPr>
          <w:rFonts w:ascii="Arial" w:cs="Arial" w:eastAsia="Arial" w:hAnsi="Arial"/>
          <w:sz w:val="22"/>
          <w:szCs w:val="22"/>
        </w:rPr>
        <w:t xml:space="preserve">[Tier B] The critical window hypothesis — hormonal therapy is associated with reduced AD risk when initiated proximate to menopause (≤5 years post-menopause) but not a decade or more later — is supported by observational data and is mechanistically consistent with the threshold framework: intervention before r crosses 1 can maintain clearance; intervention after threshold crossing, when AQP4 mislocalization and tau pathology are established, has limited structural impact [Sherwin12]. Definitive RCT evidence for HRT and AD prevention in the critical window is absent.</w:t>
      </w:r>
    </w:p>
    <w:p>
      <w:r>
        <w:br w:type="page"/>
      </w:r>
    </w:p>
    <w:p>
      <w:pPr>
        <w:pStyle w:val="Heading1"/>
        <w:spacing w:before="300" w:after="120"/>
      </w:pPr>
      <w:r>
        <w:rPr>
          <w:rFonts w:ascii="Arial" w:cs="Arial" w:eastAsia="Arial" w:hAnsi="Arial"/>
          <w:b/>
          <w:bCs/>
          <w:sz w:val="32"/>
          <w:szCs w:val="32"/>
        </w:rPr>
        <w:t xml:space="preserve">11. Metabolic-Insulin Axis: Type 2 Diabetes and Brain Insulin Resistance</w:t>
      </w:r>
    </w:p>
    <w:p>
      <w:pPr>
        <w:pStyle w:val="Heading2"/>
        <w:spacing w:before="240" w:after="100"/>
      </w:pPr>
      <w:r>
        <w:rPr>
          <w:rFonts w:ascii="Arial" w:cs="Arial" w:eastAsia="Arial" w:hAnsi="Arial"/>
          <w:b/>
          <w:bCs/>
          <w:sz w:val="28"/>
          <w:szCs w:val="28"/>
        </w:rPr>
        <w:t xml:space="preserve">11.1 Brain Insulin Signaling</w:t>
      </w:r>
    </w:p>
    <w:p>
      <w:pPr>
        <w:spacing w:before="80" w:after="80" w:line="276"/>
        <w:jc w:val="both"/>
      </w:pPr>
      <w:r>
        <w:rPr>
          <w:rFonts w:ascii="Arial" w:cs="Arial" w:eastAsia="Arial" w:hAnsi="Arial"/>
          <w:sz w:val="22"/>
          <w:szCs w:val="22"/>
        </w:rPr>
        <w:t xml:space="preserve">[Established: T2D doubles AD risk (Tier A); brain insulin resistance at post-mortem (Tier A); GLP-1 agonist phase 3 trial (EVOKE/EVOKE+) failed primary endpoint. Supported but evolving: molecular mechanism chain from T2D to amyloid clearance impairment is mechanistically coherent but not yet confirmed as a causal intervention target in humans.] [Tier A] Insulin crosses the BBB via receptor-mediated transcytosis and acts on insulin receptors expressed throughout the brain. In the hippocampus, insulin receptor activation promotes AMPA receptor synaptic insertion, facilitates LTP, and supports dendritic spine maintenance. Brain insulin resistance — elevated IRS-1 serine phosphorylation, reduced Akt activation — produces direct hippocampal LTP failure and indirect BDNF reduction. Post-mortem AD brain tissue consistently shows insulin resistance markers at the same molecular level as peripheral T2D tissue [DeLaMonte12, Craft12].</w:t>
      </w:r>
    </w:p>
    <w:p>
      <w:pPr>
        <w:pStyle w:val="Heading2"/>
        <w:spacing w:before="240" w:after="100"/>
      </w:pPr>
      <w:r>
        <w:rPr>
          <w:rFonts w:ascii="Arial" w:cs="Arial" w:eastAsia="Arial" w:hAnsi="Arial"/>
          <w:b/>
          <w:bCs/>
          <w:sz w:val="28"/>
          <w:szCs w:val="28"/>
        </w:rPr>
        <w:t xml:space="preserve">11.2 T2D Doubles AD Risk: Shared Mechanism</w:t>
      </w:r>
    </w:p>
    <w:p>
      <w:pPr>
        <w:spacing w:before="80" w:after="80" w:line="276"/>
        <w:jc w:val="both"/>
      </w:pPr>
      <w:r>
        <w:rPr>
          <w:rFonts w:ascii="Arial" w:cs="Arial" w:eastAsia="Arial" w:hAnsi="Arial"/>
          <w:sz w:val="22"/>
          <w:szCs w:val="22"/>
        </w:rPr>
        <w:t xml:space="preserve">[Tier A] T2D is associated with approximately two-fold increased AD risk across multiple prospective cohorts, persisting after adjustment for vascular risk factors, indicating a shared mechanistic contribution beyond cerebrovascular disease alone [Biessels15]. Contributing mechanisms include: ceramide/PP2A-mediated Akt inactivation in neurons; hyperglycemia-driven AGE formation increasing APP and tau aggregation tendency; HIF-1α activation from chronic hypoxia upregulating BACE1; chronic glycemic variability generating mitochondrial superoxide contributing to BACE1 upregulation; and elevated insulin (compensatory hyperinsulinemia) competing with Aβ for degradation by insulin-degrading enzyme (IDE). IDE is a quantitatively minor Aβ clearance pathway relative to neprilysin, perivascular LRP1 transport, and glymphatic clearance; its contribution to disease-relevant Aβ accumulation remains uncertain.</w:t>
      </w:r>
    </w:p>
    <w:p>
      <w:pPr>
        <w:pStyle w:val="Heading2"/>
        <w:spacing w:before="240" w:after="100"/>
      </w:pPr>
      <w:r>
        <w:rPr>
          <w:rFonts w:ascii="Arial" w:cs="Arial" w:eastAsia="Arial" w:hAnsi="Arial"/>
          <w:b/>
          <w:bCs/>
          <w:sz w:val="28"/>
          <w:szCs w:val="28"/>
        </w:rPr>
        <w:t xml:space="preserve">11.3 GLP-1 Receptor Agonists and Neurological Effects</w:t>
      </w:r>
    </w:p>
    <w:p>
      <w:pPr>
        <w:spacing w:before="80" w:after="80" w:line="276"/>
        <w:jc w:val="both"/>
      </w:pPr>
      <w:r>
        <w:rPr>
          <w:rFonts w:ascii="Arial" w:cs="Arial" w:eastAsia="Arial" w:hAnsi="Arial"/>
          <w:sz w:val="22"/>
          <w:szCs w:val="22"/>
        </w:rPr>
        <w:t xml:space="preserve">[Tier B] GLP-1 receptors are expressed in hippocampus, cortex, and hypothalamus. GLP-1 receptor activation promotes neuronal insulin sensitivity, reduces neuroinflammation, and supports BDNF expression. Phase 2 liraglutide trials showed slowing of brain glucose metabolism decline in early AD patients. Epidemiological analyses of T2D populations show reduced dementia incidence in GLP-1 agonist users compared to other glucose-lowering therapies. The EVOKE and EVOKE+ Phase 3 trials of oral semaglutide in early-stage symptomatic AD (combined n=3,808) reported topline results on November 24, 2025: semaglutide did NOT meet the primary CDR-SB endpoint in either trial. Biomarker improvements were observed in both trials. Novo Nordisk discontinued the 1-year extension periods based on the efficacy results. Results were presented at the Clinical Trials on Alzheimer’s Disease (CTAD) conference in December 2025. Mechanistic plausibility through the metabolic-insulin axis remains; the negative Phase 3 result does not rule out benefit in combination regimens or in earlier pre-symptomatic populations, but the hypothesis of monotherapy disease modification in early-stage symptomatic AD was not supported by Phase 3 RCT evidence [EVOKE25].</w:t>
      </w:r>
    </w:p>
    <w:p>
      <w:r>
        <w:br w:type="page"/>
      </w:r>
    </w:p>
    <w:p>
      <w:pPr>
        <w:pStyle w:val="Heading1"/>
        <w:spacing w:before="300" w:after="120"/>
      </w:pPr>
      <w:r>
        <w:rPr>
          <w:rFonts w:ascii="Arial" w:cs="Arial" w:eastAsia="Arial" w:hAnsi="Arial"/>
          <w:b/>
          <w:bCs/>
          <w:sz w:val="32"/>
          <w:szCs w:val="32"/>
        </w:rPr>
        <w:t xml:space="preserve">12. Cardiovascular System: Cerebrovascular Disease and BBB Integrity</w:t>
      </w:r>
    </w:p>
    <w:p>
      <w:pPr>
        <w:pStyle w:val="Heading2"/>
        <w:spacing w:before="240" w:after="100"/>
      </w:pPr>
      <w:r>
        <w:rPr>
          <w:rFonts w:ascii="Arial" w:cs="Arial" w:eastAsia="Arial" w:hAnsi="Arial"/>
          <w:b/>
          <w:bCs/>
          <w:sz w:val="28"/>
          <w:szCs w:val="28"/>
        </w:rPr>
        <w:t xml:space="preserve">12.1 The Neurovascular Unit</w:t>
      </w:r>
    </w:p>
    <w:p>
      <w:pPr>
        <w:spacing w:before="80" w:after="80" w:line="276"/>
        <w:jc w:val="both"/>
      </w:pPr>
      <w:r>
        <w:rPr>
          <w:rFonts w:ascii="Arial" w:cs="Arial" w:eastAsia="Arial" w:hAnsi="Arial"/>
          <w:sz w:val="22"/>
          <w:szCs w:val="22"/>
        </w:rPr>
        <w:t xml:space="preserve">[Established: hypertension, atherosclerosis, T2D as vascular risk factors for AD (Tier A); SPRINT MIND BP-control evidence. Supported but evolving: pericyte-amyloid accumulation mechanism in humans; BBB breakdown causal chain.] [Tier A] The neurovascular unit (NVU) — neurons, astrocytes, pericytes, endothelial cells — couples neuronal activity to local blood flow and maintains BBB integrity. Hypertension generates mechanical stress on vessel walls, damages pericytes, and drives endothelial dysfunction. Atherosclerosis reduces large-vessel compliance. Microvascular disease from T2D damages the small vessels and capillaries the NVU depends on. All three are major AD risk factors with NVU damage as a shared mechanism.</w:t>
      </w:r>
    </w:p>
    <w:p>
      <w:pPr>
        <w:pStyle w:val="Heading2"/>
        <w:spacing w:before="240" w:after="100"/>
      </w:pPr>
      <w:r>
        <w:rPr>
          <w:rFonts w:ascii="Arial" w:cs="Arial" w:eastAsia="Arial" w:hAnsi="Arial"/>
          <w:b/>
          <w:bCs/>
          <w:sz w:val="28"/>
          <w:szCs w:val="28"/>
        </w:rPr>
        <w:t xml:space="preserve">12.2 BBB Breakdown and Neuroinflammation</w:t>
      </w:r>
    </w:p>
    <w:p>
      <w:pPr>
        <w:spacing w:before="80" w:after="80" w:line="276"/>
        <w:jc w:val="both"/>
      </w:pPr>
      <w:r>
        <w:rPr>
          <w:rFonts w:ascii="Arial" w:cs="Arial" w:eastAsia="Arial" w:hAnsi="Arial"/>
          <w:sz w:val="22"/>
          <w:szCs w:val="22"/>
        </w:rPr>
        <w:t xml:space="preserve">[Tier A-B] Pericytes are among the first NVU cells to degenerate in response to amyloid accumulation around vessels. Pericyte loss reduces tight junction support and increases BBB permeability, allowing peripheral immune cells, cytokines, and albumin (a DAMP activating microglial TLR4 and NLRP3) to enter the parenchyma. Hypertension accelerates BBB breakdown through angiotensin II AT1R activation on brain endothelial cells, increasing ROS and reducing tight junction protein expression via MMP-2/9.</w:t>
      </w:r>
    </w:p>
    <w:p>
      <w:pPr>
        <w:pStyle w:val="Heading2"/>
        <w:spacing w:before="240" w:after="100"/>
      </w:pPr>
      <w:r>
        <w:rPr>
          <w:rFonts w:ascii="Arial" w:cs="Arial" w:eastAsia="Arial" w:hAnsi="Arial"/>
          <w:b/>
          <w:bCs/>
          <w:sz w:val="28"/>
          <w:szCs w:val="28"/>
        </w:rPr>
        <w:t xml:space="preserve">12.3 Cerebral Hypoperfusion and Amyloid Clearance</w:t>
      </w:r>
    </w:p>
    <w:p>
      <w:pPr>
        <w:spacing w:before="80" w:after="80" w:line="276"/>
        <w:jc w:val="both"/>
      </w:pPr>
      <w:r>
        <w:rPr>
          <w:rFonts w:ascii="Arial" w:cs="Arial" w:eastAsia="Arial" w:hAnsi="Arial"/>
          <w:sz w:val="22"/>
          <w:szCs w:val="22"/>
        </w:rPr>
        <w:t xml:space="preserve">[Tier A-B] Reduced cardiac output and vascular stiffening both reduce arterial pulsatility, impairing the pulsatile CSF driving force that contributes to glymphatic influx. Cerebral hypoperfusion simultaneously activates HIF-1α, upregulating BACE1 and increasing k_prod. Cardiovascular disease therefore has the potential to simultaneously reduce k_clear and increase k_prod. The SPRINT MIND trial (JAMA 2019, n=9,361, median intervention 3.3 years) compared SBP &lt;120 vs &lt;140 mmHg in hypertensive adults with high cardiovascular risk. The primary endpoint of probable dementia was NOT significantly reduced (HR 0.83, 95% CI 0.67–1.04, p=0.10; the trial was terminated early due to cardiovascular benefit and was likely underpowered for the dementia endpoint). However, intensive BP control significantly reduced the secondary endpoints of MCI (HR 0.81) and the composite MCI-or-probable-dementia outcome [SPRINTMIND19]. This provides RCT-level evidence that intensive BP control reduces MCI risk; the dementia endpoint result was directionally consistent but did not reach significance.</w:t>
      </w:r>
    </w:p>
    <w:p>
      <w:r>
        <w:br w:type="page"/>
      </w:r>
    </w:p>
    <w:p>
      <w:pPr>
        <w:pStyle w:val="Heading1"/>
        <w:spacing w:before="300" w:after="120"/>
      </w:pPr>
      <w:r>
        <w:rPr>
          <w:rFonts w:ascii="Arial" w:cs="Arial" w:eastAsia="Arial" w:hAnsi="Arial"/>
          <w:b/>
          <w:bCs/>
          <w:sz w:val="32"/>
          <w:szCs w:val="32"/>
        </w:rPr>
        <w:t xml:space="preserve">13. Gut-Brain Axis: Microbiome and Neuroinflammation</w:t>
      </w:r>
    </w:p>
    <w:p>
      <w:pPr>
        <w:pStyle w:val="Heading2"/>
        <w:spacing w:before="240" w:after="100"/>
      </w:pPr>
      <w:r>
        <w:rPr>
          <w:rFonts w:ascii="Arial" w:cs="Arial" w:eastAsia="Arial" w:hAnsi="Arial"/>
          <w:b/>
          <w:bCs/>
          <w:sz w:val="28"/>
          <w:szCs w:val="28"/>
        </w:rPr>
        <w:t xml:space="preserve">13.1 Gut Dysbiosis and Systemic Inflammatory Tone</w:t>
      </w:r>
    </w:p>
    <w:p>
      <w:pPr>
        <w:spacing w:before="80" w:after="80" w:line="276"/>
        <w:jc w:val="both"/>
      </w:pPr>
      <w:r>
        <w:rPr>
          <w:rFonts w:ascii="Arial" w:cs="Arial" w:eastAsia="Arial" w:hAnsi="Arial"/>
          <w:sz w:val="22"/>
          <w:szCs w:val="22"/>
        </w:rPr>
        <w:t xml:space="preserve">[Established: observational association between gut dysbiosis and AD amyloid burden. Supported but not yet established: LPS–TLR4–BACE1 and kynurenine excitotoxicity pathways are mechanistically coherent but causal direction in humans has not been demonstrated by intervention RCT. Working framework: dysbiosis as a peripheral neuroinflammatory contributor — Tier B-C overall.] [Tier B] In gut dysbiosis, reduced SCFA-producing bacteria (Faecalibacterium prausnitzii, Roseburia, Bifidobacterium) and relative overgrowth of LPS-producing gram-negative bacteria drives portal LPS translocation, hepatic Kupffer cell activation, and systemic inflammatory cytokine production. Observational studies consistently find that older adults with higher amyloid burden have distinct gut microbiome compositions relative to cognitively normal age-matched controls: reduced diversity, reduced SCFA producers, and enrichment of pro-inflammatory taxa [Cattaneo17, Vogt17]. Causal direction in humans has not been established by intervention RCT.</w:t>
      </w:r>
    </w:p>
    <w:p>
      <w:pPr>
        <w:pStyle w:val="Heading2"/>
        <w:spacing w:before="240" w:after="100"/>
      </w:pPr>
      <w:r>
        <w:rPr>
          <w:rFonts w:ascii="Arial" w:cs="Arial" w:eastAsia="Arial" w:hAnsi="Arial"/>
          <w:b/>
          <w:bCs/>
          <w:sz w:val="28"/>
          <w:szCs w:val="28"/>
        </w:rPr>
        <w:t xml:space="preserve">13.2 LPS, TLR4, BACE1, and Kynurenine</w:t>
      </w:r>
    </w:p>
    <w:p>
      <w:pPr>
        <w:spacing w:before="80" w:after="80" w:line="276"/>
        <w:jc w:val="both"/>
      </w:pPr>
      <w:r>
        <w:rPr>
          <w:rFonts w:ascii="Arial" w:cs="Arial" w:eastAsia="Arial" w:hAnsi="Arial"/>
          <w:sz w:val="22"/>
          <w:szCs w:val="22"/>
        </w:rPr>
        <w:t xml:space="preserve">[Tier B] LPS reaching the brain via systemic circulation or vagal afferents activates TLR4 on microglia and brain endothelial cells, upregulating BACE1 via NF-κB and activating NLRP3. Additionally, under systemic inflammation, tryptophan metabolism is diverted from the serotonin pathway toward the kynurenine pathway by IDO. Kynurenine metabolites include quinolinic acid, a direct NMDA receptor agonist that is excitotoxic at concentrations reached in neuroinflammatory conditions. This simultaneously reduces serotonin precursor availability and increases neuroexcitatory metabolite production. The dysbiosis-kynurenine-excitotoxicity cascade as a unified clinical program is Tier C; individual molecular steps are Tier B.</w:t>
      </w:r>
    </w:p>
    <w:p>
      <w:r>
        <w:br w:type="page"/>
      </w:r>
    </w:p>
    <w:p>
      <w:pPr>
        <w:pStyle w:val="Heading1"/>
        <w:spacing w:before="300" w:after="120"/>
      </w:pPr>
      <w:r>
        <w:rPr>
          <w:rFonts w:ascii="Arial" w:cs="Arial" w:eastAsia="Arial" w:hAnsi="Arial"/>
          <w:b/>
          <w:bCs/>
          <w:sz w:val="32"/>
          <w:szCs w:val="32"/>
        </w:rPr>
        <w:t xml:space="preserve">14. Exercise and the Four Brain-Protective Channels</w:t>
      </w:r>
    </w:p>
    <w:p>
      <w:pPr>
        <w:spacing w:before="80" w:after="80" w:line="276"/>
        <w:jc w:val="both"/>
      </w:pPr>
      <w:r>
        <w:rPr>
          <w:rFonts w:ascii="Arial" w:cs="Arial" w:eastAsia="Arial" w:hAnsi="Arial"/>
          <w:sz w:val="22"/>
          <w:szCs w:val="22"/>
        </w:rPr>
        <w:t xml:space="preserve">[Established: exercise association with reduced AD risk (Tier A); individual channel mechanisms supported in humans. Supported but evolving: osteocalcin/GPR158 hippocampal mechanism confirmed in mice, human replication required; combinatorial channel benefit is plausible but not tested in a single RCT.] [Tier A-B] Physical exercise is associated with reduced AD risk and slower cognitive aging through four parallel molecularly distinct signaling channels, all activated by exercise and suppressed by physical inactivity [Norton14, Ngandu15]: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80"/>
        <w:gridCol w:w="2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Hippocampal Mechanism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Evidence Tier</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Osteocalcin / GPR158</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Osteoblasts; rises with exercise and mechanical loading</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Crosses BBB; binds GPR158 on hippocampal neurons; promotes BDNF expression and DG neurogenesis in rodent models; circulating levels positively associated with memory in older adults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B (rodent mechanistic; human correlate)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Irisin / αVβ5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Skeletal muscle (FNDC5 cleavage) during aerobic exercise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Crosses BBB via αVβ5 integrin; promotes BDNF expression; protective against amyloid-induced synaptic failure in mouse models; blood irisin levels inversely associated with AD dementia in cross-sectional studies (causal direction not established)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B</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Peripheral BDNF / TrkB</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Skeletal muscle and platelets during exercise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Crosses BBB; activates TrkB on hippocampal DG neurons; promotes neurogenesis, LTP, and dendritic spine density; primary neurotrophin sustaining hippocampal plasticity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A (BDNF-TrkB-LTP); Tier B (peripheral source contribution to brain BDNF)</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Lactate / HCAR1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Skeletal muscle during exercise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HCAR1 is enriched on leptomeningeal and pericyte-like cells lining brain vessels; lactate activates HCAR1 → VEGFA upregulation → cerebral angiogenesis and capillary density increase in hippocampus (dentate gyrus) and cortex. Separately, lactate-as-metabolic-substrate promotes BDNF and neurogenesis via intracellular pathways (distinct from HCAR1 receptor signaling)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B</w:t>
            </w:r>
          </w:p>
        </w:tc>
      </w:tr>
    </w:tbl>
    <w:p>
      <w:pPr>
        <w:spacing w:before="60" w:after="60"/>
      </w:pPr>
      <w:r>
        <w:rPr>
          <w:rFonts w:ascii="Arial" w:cs="Arial" w:eastAsia="Arial" w:hAnsi="Arial"/>
          <w:sz w:val="22"/>
          <w:szCs w:val="22"/>
        </w:rPr>
        <w:t xml:space="preserve"/>
      </w:r>
    </w:p>
    <w:p>
      <w:pPr>
        <w:spacing w:before="80" w:after="80" w:line="276"/>
        <w:jc w:val="both"/>
      </w:pPr>
      <w:r>
        <w:rPr>
          <w:rFonts w:ascii="Arial" w:cs="Arial" w:eastAsia="Arial" w:hAnsi="Arial"/>
          <w:sz w:val="22"/>
          <w:szCs w:val="22"/>
        </w:rPr>
        <w:t xml:space="preserve">[Tier A] Meta-analysis of prospective studies found individuals in the highest physical activity tertile have approximately 45% lower AD risk than the lowest tertile, with dose-response relationships observed [Norton14]. The FINGER trial demonstrated that multi-domain lifestyle intervention (exercise, nutrition, cognitive training, vascular monitoring) significantly improved cognitive performance in at-risk older adults over 2 years [Ngandu15]. FINGER was among the first well-powered RCTs of this design; several subsequent trials including MAPT (France) and MIND-AD have explored similar multi-domain approaches with variable results, and the combined evidence supports multi-domain lifestyle intervention as an effective strategy in at-risk populations.</w:t>
      </w:r>
    </w:p>
    <w:p>
      <w:pPr>
        <w:spacing w:before="80" w:after="80" w:line="276"/>
        <w:jc w:val="both"/>
      </w:pPr>
      <w:r>
        <w:rPr>
          <w:rFonts w:ascii="Arial" w:cs="Arial" w:eastAsia="Arial" w:hAnsi="Arial"/>
          <w:sz w:val="22"/>
          <w:szCs w:val="22"/>
        </w:rPr>
        <w:t xml:space="preserve">[Tier B] Physical inactivity is associated with suppression of all four neuroprotective signaling channels simultaneously, with corresponding reductions in hippocampal BDNF expression, DG neurogenesis, and cerebrovascular health. The sedentary aging cascade — inactivity → AMPK under-stimulation → mitochondrial density loss → insulin resistance → sarcopenia → reduced osteocalcin → reduced hippocampal BDNF → DG neurogenesis decline — is documented with sufficient mechanistic depth to treat physical activity as a brain risk factor, not merely a cardiovascular one.</w:t>
      </w:r>
    </w:p>
    <w:p>
      <w:r>
        <w:br w:type="page"/>
      </w:r>
    </w:p>
    <w:p>
      <w:pPr>
        <w:pStyle w:val="Heading1"/>
        <w:spacing w:before="300" w:after="120"/>
      </w:pPr>
      <w:r>
        <w:rPr>
          <w:rFonts w:ascii="Arial" w:cs="Arial" w:eastAsia="Arial" w:hAnsi="Arial"/>
          <w:b/>
          <w:bCs/>
          <w:sz w:val="32"/>
          <w:szCs w:val="32"/>
        </w:rPr>
        <w:t xml:space="preserve">15. Unified Risk Factor Architecture</w:t>
      </w:r>
    </w:p>
    <w:p>
      <w:pPr>
        <w:spacing w:before="80" w:after="80" w:line="276"/>
        <w:jc w:val="both"/>
      </w:pPr>
      <w:r>
        <w:rPr>
          <w:rFonts w:ascii="Arial" w:cs="Arial" w:eastAsia="Arial" w:hAnsi="Arial"/>
          <w:sz w:val="22"/>
          <w:szCs w:val="22"/>
        </w:rPr>
        <w:t xml:space="preserve">The following table maps the established and supported modifiable AD risk factors to their primary mechanisms. The 2024 Lancet Commission (Livingston et al. 2024) attributes approximately 45% of global dementia to 14 modifiable risk factors, adding high midlife LDL cholesterol and untreated vision loss to the prior 12 factors [Livingston24].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80"/>
        <w:gridCol w:w="1680"/>
        <w:gridCol w:w="14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Risk Factor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System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Primary Mechanism(s)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Effect on r or Pathway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Evidence Tier</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Advanced 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Multiple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Glymphatic function declines with aging; neurogenesis decline; DHEA fall; NE/LC degeneration onset (Braak I-II from fourth decade)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k_clear ↓ progressively; k_prod stable or mild ↑</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A (age-AD association); Tier B-C (glymphatic mechanism magnitude)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ApoE4 genotype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Clearance biology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ApoE4 impairs Aβ transport across BBB; reduces hepatic Aβ clearance; promotes LDAM accumulation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k_clear ↓ substantially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Hypertension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Cardiovascular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BBB breakdown via RAAS/AT1R; reduced pulsatile arterial flow affecting glymphatic driving force; NVU damage; pericyte loss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k_clear ↓; BBB ↑ permeability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T2D / insulin resistance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Metabolic-insulin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Brain insulin resistance impairs hippocampal LTP; BACE1 upregulation; ceramide/PP2A cascade; HIF-1α BACE1 activation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k_prod ↑; hippocampal plasticity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Chronic sleep disruption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Glymphatic-sleep</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LC oscillatory clearance window reduced; NREM fragmentation; SWS reduction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k_clear ↓ directly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Physical inactivity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Musculoskeletal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Suppresses brain-protective exercise signaling channels; reduces hippocampal BDNF, neurogenesis, and vascular health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k_clear ↓ indirect; neurogenesis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Hearing loss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Sensory / cognitive 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Reduced sensory input reduces hippocampal activity and cognitive reserve; social isolation as secondary mechanism</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Cognitive reserve ↓</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Smoking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Vascular / oxidative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Endothelial damage; reduced cerebral perfusion; VEGF suppression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BBB ↑ permeability; NVU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Obesity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Metabolic / inflammatory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Adipose-derived IL-6, TNF-α; systemic inflammation activating microglia via peripheral-central axis; BACE1 upregulation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k_prod ↑; k_clear ↓; DIM accumulation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LDL cholesterol (midlife)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Cardiovascular / metabolic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Atherosclerosis → BBB damage; cholesterol crystals activate NLRP3; endothelial dysfunction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k_clear ↓; k_prod ↑ (neuroinflammation)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A-B (Lancet 2024)</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Untreated vision loss (late life)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Sensory / cognitive reserve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Reduced afferent sensory activation → reduced hippocampal and cortical engagement; social isolation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Cognitive reserve ↓</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B (Lancet 2024)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Menopause / E2 loss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Hormonal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AQP4 downregulation; BACE1 upregulation; SWS reduction via ALLO decline; DHEA/cortisol ratio inversion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k_clear ↓; k_prod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B</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Chronic psychological stress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HPA / cortisol</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Cortisol raises BACE1 (rodent/cell culture; human mechanism Tier B-C); LC oscillatory disruption; hippocampal CA3 atrophy via GR</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k_prod ↑ (Tier B-C in humans); k_clear ↓; hippocampal structure ↓</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B-C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Gut dysbiosis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Gut-brain axis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LPS → TLR4 → BACE1; kynurenine excitotoxicity; reduced SCFA anti-inflammatory protection; observational association with amyloid burden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k_prod ↑; neuroinflammation ↑</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 B-C</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TBI</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Structural / glymphatic</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AQP4 mislocalization from structural damage; chronic glymphatic impairment; tau deposition (CTE); LC damage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k_clear ↓ chronically; tau ↑</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Tier A-B</w:t>
            </w:r>
          </w:p>
        </w:tc>
      </w:tr>
    </w:tbl>
    <w:p>
      <w:r>
        <w:br w:type="page"/>
      </w:r>
    </w:p>
    <w:p>
      <w:pPr>
        <w:pStyle w:val="Heading1"/>
        <w:spacing w:before="300" w:after="120"/>
      </w:pPr>
      <w:r>
        <w:rPr>
          <w:rFonts w:ascii="Arial" w:cs="Arial" w:eastAsia="Arial" w:hAnsi="Arial"/>
          <w:b/>
          <w:bCs/>
          <w:sz w:val="32"/>
          <w:szCs w:val="32"/>
        </w:rPr>
        <w:t xml:space="preserve">16. Diagnosis and Biomarkers (Updated 2024–2025)</w:t>
      </w:r>
    </w:p>
    <w:p>
      <w:pPr>
        <w:spacing w:before="80" w:after="80" w:line="276"/>
        <w:jc w:val="both"/>
      </w:pPr>
      <w:r>
        <w:rPr>
          <w:rFonts w:ascii="Arial" w:cs="Arial" w:eastAsia="Arial" w:hAnsi="Arial"/>
          <w:sz w:val="22"/>
          <w:szCs w:val="22"/>
        </w:rPr>
        <w:t xml:space="preserve">The diagnostic landscape for Alzheimer’s disease has changed substantially since 2023. Two developments define this shift: revised NIA-AA diagnostic criteria establishing biological rather than syndromic disease definition, and FDA clearance of the first blood-based diagnostic test. These enable substantially earlier disease detection than was previously available in routine clinical settings.</w:t>
      </w:r>
    </w:p>
    <w:p>
      <w:pPr>
        <w:pStyle w:val="Heading2"/>
        <w:spacing w:before="240" w:after="100"/>
      </w:pPr>
      <w:r>
        <w:rPr>
          <w:rFonts w:ascii="Arial" w:cs="Arial" w:eastAsia="Arial" w:hAnsi="Arial"/>
          <w:b/>
          <w:bCs/>
          <w:sz w:val="28"/>
          <w:szCs w:val="28"/>
        </w:rPr>
        <w:t xml:space="preserve">16.1 The 2024 NIA-AA Revised Diagnostic Criteria</w:t>
      </w:r>
    </w:p>
    <w:p>
      <w:pPr>
        <w:spacing w:before="80" w:after="80" w:line="276"/>
        <w:jc w:val="both"/>
      </w:pPr>
      <w:r>
        <w:rPr>
          <w:rFonts w:ascii="Arial" w:cs="Arial" w:eastAsia="Arial" w:hAnsi="Arial"/>
          <w:sz w:val="22"/>
          <w:szCs w:val="22"/>
        </w:rPr>
        <w:t xml:space="preserve">[Tier A] The Alzheimer’s Association Workgroup published revised criteria in June 2024 (Jack et al., Alzheimers Dement 2024) formalizing AD as a biological process defined by its neuropathologic changes, diagnosable by biomarkers even in cognitively unimpaired individuals [Jack24]. Key elements include:</w:t>
      </w:r>
    </w:p>
    <w:p>
      <w:pPr>
        <w:pStyle w:val="ListParagraph"/>
        <w:numPr>
          <w:ilvl w:val="0"/>
          <w:numId w:val="2"/>
        </w:numPr>
        <w:spacing w:before="60" w:after="60"/>
      </w:pPr>
      <w:r>
        <w:rPr>
          <w:rFonts w:ascii="Arial" w:cs="Arial" w:eastAsia="Arial" w:hAnsi="Arial"/>
          <w:sz w:val="22"/>
          <w:szCs w:val="22"/>
        </w:rPr>
        <w:t xml:space="preserve">AD is defined by its biology, not by the clinical syndrome. Detection of AD neuropathologic change by biomarkers is equivalent to diagnosing the disease, even in the absence of symptoms.</w:t>
      </w:r>
    </w:p>
    <w:p>
      <w:pPr>
        <w:pStyle w:val="ListParagraph"/>
        <w:numPr>
          <w:ilvl w:val="0"/>
          <w:numId w:val="2"/>
        </w:numPr>
        <w:spacing w:before="60" w:after="60"/>
      </w:pPr>
      <w:r>
        <w:rPr>
          <w:rFonts w:ascii="Arial" w:cs="Arial" w:eastAsia="Arial" w:hAnsi="Arial"/>
          <w:sz w:val="22"/>
          <w:szCs w:val="22"/>
        </w:rPr>
        <w:t xml:space="preserve">The disease is recognized as a continuum spanning up to 30 years from first detectable biomarker change to end-stage dementia.</w:t>
      </w:r>
    </w:p>
    <w:p>
      <w:pPr>
        <w:pStyle w:val="ListParagraph"/>
        <w:numPr>
          <w:ilvl w:val="0"/>
          <w:numId w:val="2"/>
        </w:numPr>
        <w:spacing w:before="60" w:after="60"/>
      </w:pPr>
      <w:r>
        <w:rPr>
          <w:rFonts w:ascii="Arial" w:cs="Arial" w:eastAsia="Arial" w:hAnsi="Arial"/>
          <w:sz w:val="22"/>
          <w:szCs w:val="22"/>
        </w:rPr>
        <w:t xml:space="preserve">Core 1 biomarkers (early-changing): amyloid PET, approved CSF assays (Aβ42/40, p-tau181/217/231), and accurate plasma biomarkers (especially plasma p-tau217). Any single abnormal Core 1 biomarker is sufficient for AD diagnosis.</w:t>
      </w:r>
    </w:p>
    <w:p>
      <w:pPr>
        <w:pStyle w:val="ListParagraph"/>
        <w:numPr>
          <w:ilvl w:val="0"/>
          <w:numId w:val="2"/>
        </w:numPr>
        <w:spacing w:before="60" w:after="60"/>
      </w:pPr>
      <w:r>
        <w:rPr>
          <w:rFonts w:ascii="Arial" w:cs="Arial" w:eastAsia="Arial" w:hAnsi="Arial"/>
          <w:sz w:val="22"/>
          <w:szCs w:val="22"/>
        </w:rPr>
        <w:t xml:space="preserve">Core 2 biomarkers (later-changing, prognostic): tau PET and CSF/plasma MTBR-tau243. Core 2 abnormality stages disease severity and increases confidence that AD is contributing to symptoms.</w:t>
      </w:r>
    </w:p>
    <w:p>
      <w:pPr>
        <w:pStyle w:val="ListParagraph"/>
        <w:numPr>
          <w:ilvl w:val="0"/>
          <w:numId w:val="2"/>
        </w:numPr>
        <w:spacing w:before="60" w:after="60"/>
      </w:pPr>
      <w:r>
        <w:rPr>
          <w:rFonts w:ascii="Arial" w:cs="Arial" w:eastAsia="Arial" w:hAnsi="Arial"/>
          <w:sz w:val="22"/>
          <w:szCs w:val="22"/>
        </w:rPr>
        <w:t xml:space="preserve">The expanded biomarker profile is AT1T2NISV: A (amyloid), T1 (secreted phosphorylated tau), T2 (tau tangle pathology), N (neurodegeneration), I (inflammation), V (vascular copathology).</w:t>
      </w:r>
    </w:p>
    <w:p>
      <w:pPr>
        <w:spacing w:before="60" w:after="60"/>
      </w:pPr>
      <w:r>
        <w:rPr>
          <w:rFonts w:ascii="Arial" w:cs="Arial" w:eastAsia="Arial" w:hAnsi="Arial"/>
          <w:sz w:val="22"/>
          <w:szCs w:val="22"/>
        </w:rPr>
        <w:t xml:space="preserve"/>
      </w:r>
    </w:p>
    <w:p>
      <w:pPr>
        <w:pStyle w:val="Heading2"/>
        <w:spacing w:before="240" w:after="100"/>
      </w:pPr>
      <w:r>
        <w:rPr>
          <w:rFonts w:ascii="Arial" w:cs="Arial" w:eastAsia="Arial" w:hAnsi="Arial"/>
          <w:b/>
          <w:bCs/>
          <w:sz w:val="28"/>
          <w:szCs w:val="28"/>
        </w:rPr>
        <w:t xml:space="preserve">16.2 Plasma p-tau217: Blood-Based Diagnosis</w:t>
      </w:r>
    </w:p>
    <w:p>
      <w:pPr>
        <w:spacing w:before="80" w:after="80" w:line="276"/>
        <w:jc w:val="both"/>
      </w:pPr>
      <w:r>
        <w:rPr>
          <w:rFonts w:ascii="Arial" w:cs="Arial" w:eastAsia="Arial" w:hAnsi="Arial"/>
          <w:sz w:val="22"/>
          <w:szCs w:val="22"/>
        </w:rPr>
        <w:t xml:space="preserve">[Tier A] Plasma phosphorylated-tau 217 (p-tau217) has demonstrated high diagnostic accuracy for AD across multiple independent validation cohorts. In a multisite study (n=1,767 participants across five cohorts), plasma p-tau217 measured on the Lumipulse automated platform detected AD pathology with areas under the ROC curve of 0.93–0.96, with diagnostic accuracy of 85–91% in primary and secondary care settings [Palmqvist25]. This performance is comparable to or superior to FDA-approved CSF assays (Aβ42/40 and p-tau181/Aβ42) in head-to-head comparison [Barthel24].</w:t>
      </w:r>
    </w:p>
    <w:p>
      <w:pPr>
        <w:spacing w:before="80" w:after="80" w:line="276"/>
        <w:jc w:val="both"/>
      </w:pPr>
      <w:r>
        <w:rPr>
          <w:rFonts w:ascii="Arial" w:cs="Arial" w:eastAsia="Arial" w:hAnsi="Arial"/>
          <w:sz w:val="22"/>
          <w:szCs w:val="22"/>
        </w:rPr>
        <w:t xml:space="preserve">[Tier A] On May 16, 2025, the FDA granted clearance to the Lumipulse G blood test (plasma pTau217/Aβ42 ratio) for the diagnosis of amyloid pathology in symptomatic patients aged 55 or older [FDA25]. This is the first FDA-cleared blood-based AD diagnostic test. Plasma p-tau217 is incorporated into the 2024 NIA-AA criteria as a Core 1 biomarker [Jack24].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80"/>
        <w:gridCol w:w="268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Biomarker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Clinical Utility</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(2025–2026)</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Plasma p-tau217</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Tau phosphorylation at T217; reflects both amyloid and tangle pathology (Core 1)</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 diagnosis in symptomatic patients; preclinical screening; clinical trial enrollment</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FDA cleared (Lumipulse G, May 2025); AUC 0.93–0.96; commercially available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Plasma Aβ42/Aβ40 ratio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Amyloid plaque formation (Aβ42 decreases as it deposits) (Core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Amyloid pathology screening; combined with p-tau217 in PrecivityAD2 composite test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Clinically validated; part of FDA-cleared composite test</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Plasma GFAP</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Astrocyte reactivity; rises with neurodegeneration and AD pathology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Staging and progression monitoring; elevated before cognitive symptoms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Validated; not FDA-cleared as standalone AD diagnostic</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Plasma NfL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Axonal injury and neurodegeneration (non-specific for AD) (N biomarker)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Monitoring neurodegeneration progression in clinical trials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Validated as neurodegeneration marker; used in trials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Tau PET (flortaucipir, MK-6240)</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Tau tangle burden and distribution; maps to Braak stages (Core 2)</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Staging; treatment selection; primary trial endpoint</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FDA approved; CenTauR scale standardizing cross-tracer comparison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Amyloid PET (florbetapir, florbetaben)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Amyloid plaque burden; Centiloid scale (Core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Confirms diagnosis; required for anti-amyloid treatment candidacy determination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 approved; standard for treatment candidacy</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Neuromelanin-sensitive MRI</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LC neuronal density (indirect)</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Potential preclinical biomarker for Braak I-II pathology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Research only; not clinically validated as standalone AD biomarker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Olfactory testing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 axon integrity in olfactory bulb; detects Braak I-II pathology before amyloid PET positivity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Low-cost, non-invasive screening; potential two-step approach with plasma p-tau217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Research stage; recent human confirmation (2025); not in clinical guidelines</w:t>
            </w:r>
          </w:p>
        </w:tc>
      </w:tr>
    </w:tbl>
    <w:p>
      <w:r>
        <w:br w:type="page"/>
      </w:r>
    </w:p>
    <w:p>
      <w:pPr>
        <w:pStyle w:val="Heading1"/>
        <w:spacing w:before="300" w:after="120"/>
      </w:pPr>
      <w:r>
        <w:rPr>
          <w:rFonts w:ascii="Arial" w:cs="Arial" w:eastAsia="Arial" w:hAnsi="Arial"/>
          <w:b/>
          <w:bCs/>
          <w:sz w:val="32"/>
          <w:szCs w:val="32"/>
        </w:rPr>
        <w:t xml:space="preserve">17. Pharmacology: Current and Emerging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80"/>
        <w:gridCol w:w="1680"/>
        <w:gridCol w:w="16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Drug / Class</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Clinical Evidence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Status / Limitations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Donepezil (AChEI)</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Acetylcholinesterase inhibition → prolongs ACh in synapse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NBM/ACh encoding gate failure (both Ngfr+/mPFC and MS/HPC circuits)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Slows cognitive decline in mild-moderate AD; symptomatic benefit [Tier 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FDA approved; symptomatic benefit only; efficacy declines as NBM neurons die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Rivastigmine (AChEI)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AChE + BuChE inhibition; patch formulation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ACh encoding gate; also used in Lewy body dementia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Comparable to donepezil; patch improves tolerability [Tier 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 approved; same mechanistic limitations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Galantamine (AChEI)</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AChE inhibition + allosteric nAChR potentiation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ACh gate + nicotinic receptor modulation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Comparable symptomatic benefit [Tier 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FDA approved; same disease-modification limitation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Memantine (NMDA antagonist)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Low-affinity voltage-dependent NMDA antagonist; selectively blocks tonic over phasic activation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Aβ-oligomer-driven tonic NMDA excitotoxicity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Symptomatic benefit in moderate-severe AD; additive with AChEIs [Tier 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 approved; symptomatic benefit only; moderate effect size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Lecanemab (anti-Aβ antibody)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Binds soluble Aβ protofibrils (primary toxic oligomeric species)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Amyloid clearance — targets upstream oligomeric species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27% slowing of cognitive decline vs placebo at 18 months (CLARITY AD, n=1,795; CDR-SB); FDA approved [vanDyck23]. ARIA-E: 12.6%; ARIA-H: 17.3%; combined any ARIA: ∼21.5%; predominantly radiologically detected and transient; symptomatic ARIA-E: 2.8%</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FDA approved. ApoE4 homozygotes: efficacy numerically near zero on CDR-SB combined with markedly elevated ARIA risk (ARIA-E 32.6%, ARIA-H 38.3%); not recommended in ApoE4 homozygotes in several clinical guidelines. ARIA risk elevated with anticoagulant use.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Donanemab (anti-Aβ antibody)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Binds N3pG amyloid; high removal rate; treatment cessation planned after plaque clearance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Amyloid plaques and protofibrils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slowing of cognitive decline in the pre-specified low/medium tau subgroup at 18 months (TRAILBLAZER-ALZ 2); overall ITT population showed approximately 23% slowing. FDA approved July 2024 [Sims23]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 approved. ARIA present. Benefit concentrated in low/medium tau burden; limited effect in high tau stage. Subgroup nature of 35% figure should be noted.</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Bepranemab (anti-tau antibody)</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Binds mid-region of tau (aa 235–250); blocks tau seeding and propagation between neurons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Tau propagation; the tau pathology correlated with neuronal loss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Phase 2a TOGETHER trial (CTAD 2024, n=466, 80 weeks): PRIMARY endpoint CDR-SB NOT met in overall population. Secondary endpoint ADAS-Cog14: 21–25% slowing vs placebo. Tau PET: 33–58% slowing in key brain regions. In predefined subgroups (low tau burden / ApoE4 non-carriers, ~50% of cohort): 63–67% tau PET slowing, 29% CDR-SB slowing, ADL benefit. First anti-tau antibody showing tau PET slowing plus secondary cognitive signal. [Tier B]</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Primary CDR-SB endpoint not met in overall population; benefit in subgroups only; no benefit in high tau / ApoE4 carriers; Phase 3 design TBD; E2814 and posdinemab in Phase 2</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BIIB080 / MAPTRx (tau ASO)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Intrathecal antisense oligonucleotide targeting MAPT mRNA; reduces tau protein production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Tau production — upstream of tangle formation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1b (n=46): dose-dependent reductions in CSF total tau and p-tau181; approximately 60% CSF tau reduction from baseline by end of long-term extension (all dose groups); tau PET decreased below baseline at high dose. Favorable trends on CDR-SB, MMSE, FAQ in high-dose groups vs external controls. FDA Fast Track designation April 2, 2025. Phase 2 CELIA trial (NCT05399888, enrolled 416 of ~735 planned, early AD) ongoing; primary endpoint CDR-SB; data readout expected 2026. [Tier 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Intrathecal delivery required; Phase 1b clinical signals were exploratory vs external controls only; CELIA Phase 2 results pending; first tau ASO to demonstrate tau PET reduction in humans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GLP-1 receptor agonists (liraglutide, semaglutide)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Brain GLP-1R activation reduces neuroinflammation, improves insulin sensitivity, supports BDNF</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Metabolic-insulin axis + neuroinflammation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Phase 2 liraglutide: slowed brain glucose metabolism decline in early AD. EVOKE and EVOKE+ Phase 3 trials (semaglutide, n=3,808 combined): primary CDR-SB endpoint NOT met in either trial (topline results November 2025, CTAD December 2025). Epidemiological signal of reduced dementia incidence in T2D GLP-1 users remains unresolved. [Tier B for AD prevention; Tier A for established metabolic benefit]</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EVOKE/EVOKE+ Phase 3 failed primary endpoint. Extension periods discontinued. Mechanistic plausibility remains; monotherapy in symptomatic AD not supported. Further investigation in pre-symptomatic/combination settings may be warranted.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Zuranolone (GABA-A modulator)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Synthetic positive allosteric modulator of GABA-A receptors with allopregnanolone-like pharmacology; promotes and restores SWS architecture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ALLO decline, SWS reduction, glymphatic clearance window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FDA approved for postpartum depression (2023, oral formulation); SWS restoration confirmed; AD-specific RCT absent [Tier B for AD indication]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Note: brexanolone, the IV allopregnanolone analogue, was withdrawn from US approval in 2025. Zuranolone (oral) remains approved. AD prevention trial in perimenopausal women not yet initiated.</w:t>
            </w:r>
          </w:p>
        </w:tc>
      </w:tr>
    </w:tbl>
    <w:p>
      <w:pPr>
        <w:spacing w:before="60" w:after="60"/>
      </w:pPr>
      <w:r>
        <w:rPr>
          <w:rFonts w:ascii="Arial" w:cs="Arial" w:eastAsia="Arial" w:hAnsi="Arial"/>
          <w:sz w:val="22"/>
          <w:szCs w:val="22"/>
        </w:rPr>
        <w:t xml:space="preserve"/>
      </w:r>
    </w:p>
    <w:p>
      <w:pPr>
        <w:spacing w:before="80" w:after="80" w:line="276"/>
        <w:jc w:val="both"/>
      </w:pPr>
      <w:r>
        <w:rPr>
          <w:rFonts w:ascii="Arial" w:cs="Arial" w:eastAsia="Arial" w:hAnsi="Arial"/>
          <w:sz w:val="22"/>
          <w:szCs w:val="22"/>
        </w:rPr>
        <w:t xml:space="preserve">The emergence of tau-targeting therapies (bepranemab, BIIB080, E2814) represents a new therapeutic tier. Amyloid immunotherapy (lecanemab, donanemab) addresses the upstream amyloid accumulation that initiates pathological cascades; tau-targeting therapies address the tau pathology that correlates directly with neuronal loss and clinical decline. Concurrent administration of anti-amyloid and anti-tau therapy, initiated in the pre-symptomatic window identified by plasma p-tau217 screening, is a mechanistically motivated combination strategy without current RCT support for the combination specifically.</w:t>
      </w:r>
    </w:p>
    <w:p>
      <w:r>
        <w:br w:type="page"/>
      </w:r>
    </w:p>
    <w:p>
      <w:pPr>
        <w:pStyle w:val="Heading1"/>
        <w:spacing w:before="300" w:after="120"/>
      </w:pPr>
      <w:r>
        <w:rPr>
          <w:rFonts w:ascii="Arial" w:cs="Arial" w:eastAsia="Arial" w:hAnsi="Arial"/>
          <w:b/>
          <w:bCs/>
          <w:sz w:val="32"/>
          <w:szCs w:val="32"/>
        </w:rPr>
        <w:t xml:space="preserve">18. Cross-System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Mechanism and Shared Pathway</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 ↔ T2D [Tier A-B]</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Brain insulin resistance is a shared molecular mechanism. T2D doubles AD risk; AD brain tissue shows insulin resistance markers. GLP-1 agonists and SGLT2 inhibitors may address both conditions via overlapping mechanisms. Cross-reference: T2D_MetabolicSyndrome paper.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 ↔ Depression [Tier 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Depression is a prodrome of and risk factor for AD. Shared mechanisms include: HPA axis hyperactivation elevating cortisol (upregulates BACE1 and disrupts LC oscillatory clearance function); LC-NE dysfunction (the same LC tau pathology implicated in early AD produces NE dysregulation central to depression and impairs glymphatic clearance); reduced neurogenesis (BDNF deficiency is shared). Depression may accelerate AD via cortisol-driven mechanisms; AD produces depression via LC-NE loss and hippocampal damage.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 ↔ Cardiovascular Disease [Tier 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Hypertension, atherosclerosis, and cardiac output decline compromise NVU function, BBB integrity, and cerebral perfusion. SPRINT MIND demonstrates that blood pressure control reduces MCI/dementia incidence. Mixed dementia (AD + vascular) is the most common presentation over age 75. Cross-reference: CardiovascularRenal paper.</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 ↔ Parkinson’s Disease [Tier 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LC-NE pathology is shared: tau in LC at Braak I-II is the earliest AD change; Lewy bodies in LC appear in prodromal PD. Both share early NE loss, early glymphatic oscillatory pump impairment, and early sleep disruption (REM behavior disorder in PD, SWS loss in AD). Substantia nigra neurodegeneration in PD eventually produces dementia (PDD) via Lewy body pathology overlap. Cross-reference: Parkinson’s paper.</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 ↔ Sleep Disorders / OSA [Tier A]</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Bidirectional relationship: OSA fragments NREM, interrupts LC oscillatory state required for glymphatic pump, and elevates cortisol. AD pathology disrupts sleep architecture, creating a positive feedback loop in which early AD pathology worsens sleep, worsens clearance, and accelerates pathology. CPAP treatment has shown amyloid clearance rate improvement in some studies.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 ↔ Aging / Inflammaging [Tier B-C]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Inflammaging activates NLRP3 in microglia, promotes DIM/LDAM accumulation, and upregulates BACE1. DHEA decline and cortisol increase with age worsen the clearance-production ratio. NAD+ depletion impairs mitochondrial quality in neurons and astrocytes, reducing energy available for active clearance processes. Cross-reference: Aging_Unified paper.</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AD ↔ Gut Dysbiosis [Tier B-C]</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Microbiome composition in AD differs from cognitively normal age-matched controls in observational studies. Reduced SCFA production increases LPS translocation and BACE1 activation. Kynurenine pathway activation adds excitotoxic burden. Germ-free mice colonized with AD microbiota show accelerated amyloid pathology in some experiments. Causal direction in humans has not been established. Cross-reference: MetabolicGut paper.</w:t>
            </w:r>
          </w:p>
        </w:tc>
      </w:tr>
    </w:tbl>
    <w:p>
      <w:r>
        <w:br w:type="page"/>
      </w:r>
    </w:p>
    <w:p>
      <w:pPr>
        <w:pStyle w:val="Heading1"/>
        <w:spacing w:before="300" w:after="120"/>
      </w:pPr>
      <w:r>
        <w:rPr>
          <w:rFonts w:ascii="Arial" w:cs="Arial" w:eastAsia="Arial" w:hAnsi="Arial"/>
          <w:b/>
          <w:bCs/>
          <w:sz w:val="32"/>
          <w:szCs w:val="32"/>
        </w:rPr>
        <w:t xml:space="preserve">19. Testable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5040"/>
        <w:gridCol w:w="360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Prediction</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Discriminating Outcome</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P1</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CPAP treatment in early AD or prodromal AD will increase CSF Aβ42 clearance rate and slow amyloid accumulation on PET, in proportion to OSA severity corrected and CPAP adherence hours.</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Amyloid PET SUVR change; CSF Aβ42 production/clearance ratio; NREM SWS duration by PSG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Degree of SWS improvement following zuranolone treatment will be associated with reduced amyloid accumulation rate in postmenopausal women with early hormonal decline, mediated by glymphatic clearance markers.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SUVR change rate; SWS N3 duration; CSF/plasma ALLO</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P3</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Combined aerobic exercise plus dietary fiber supplementation will produce greater reductions in neuroinflammatory markers (CSF IL-6, YKL-40) and amyloid accumulation rate than aerobic exercise alone in sedentary ApoE4 carriers age 60–75.</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CSF IL-6, YKL-40; amyloid PET; plasma irisin, osteocalcin, BDNF; microbiome composition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Circulating irisin levels in cognitively normal older adults will predict hippocampal volume at 2-year follow-up, controlling for total exercise volume, with CSF BDNF as a mediator.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Hippocampal volume change; CSF BDNF; mediation analysis</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P5</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Intensive blood pressure control will reduce amyloid accumulation rate more in ApoE4 carriers than non-carriers, because ApoE4-driven clearance impairment is additive with hypertension-driven perivascular clearance reduction.</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Amyloid SUVR change; ApoE4 × BP treatment interaction p-value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Early AD patients with lower baseline systemic inflammatory burden (CRP, IL-6, NLR) will show greater cognitive benefit from lecanemab at 18 months than those with higher inflammatory burden.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CDR-SB change; interaction peripheral inflammation × cognitive benefit</w:t>
            </w:r>
          </w:p>
        </w:tc>
      </w:tr>
      <w:tr>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P7</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Olfactory testing combined with plasma p-tau217 will identify preclinical AD with greater sensitivity than either test alone in adults aged 55–70, with olfactory testing capturing Braak I–II LC-onset cases that are p-tau217-negative at that stage.</w:t>
            </w:r>
          </w:p>
        </w:tc>
        <w:tc>
          <w:tcPr>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sz w:val="20"/>
                <w:szCs w:val="20"/>
              </w:rPr>
              <w:t xml:space="preserve">AUC for amyloid PET positivity; sensitivity/specificity for preclinical AD; 2-year cognitive decline prediction</w:t>
            </w:r>
          </w:p>
        </w:tc>
      </w:tr>
    </w:tbl>
    <w:p>
      <w:r>
        <w:br w:type="page"/>
      </w:r>
    </w:p>
    <w:p>
      <w:pPr>
        <w:pStyle w:val="Heading1"/>
        <w:spacing w:before="300" w:after="120"/>
      </w:pPr>
      <w:r>
        <w:rPr>
          <w:rFonts w:ascii="Arial" w:cs="Arial" w:eastAsia="Arial" w:hAnsi="Arial"/>
          <w:b/>
          <w:bCs/>
          <w:sz w:val="32"/>
          <w:szCs w:val="32"/>
        </w:rPr>
        <w:t xml:space="preserve">20. Open Gaps</w:t>
      </w:r>
    </w:p>
    <w:p>
      <w:pPr>
        <w:pStyle w:val="ListParagraph"/>
        <w:numPr>
          <w:ilvl w:val="0"/>
          <w:numId w:val="2"/>
        </w:numPr>
        <w:spacing w:before="60" w:after="60"/>
      </w:pPr>
      <w:r>
        <w:rPr>
          <w:rFonts w:ascii="Arial" w:cs="Arial" w:eastAsia="Arial" w:hAnsi="Arial"/>
          <w:sz w:val="22"/>
          <w:szCs w:val="22"/>
        </w:rPr>
        <w:t xml:space="preserve">Quantitative k_clear(age) trajectory in living humans: The magnitude of age-related glymphatic decline is well-established in rodent models but not yet precisely characterized in humans across the lifespan. A combined LC neuromelanin MRI, sleep PSG, and CSF amyloid kinetics study design would address this directly.</w:t>
      </w:r>
    </w:p>
    <w:p>
      <w:pPr>
        <w:pStyle w:val="ListParagraph"/>
        <w:numPr>
          <w:ilvl w:val="0"/>
          <w:numId w:val="2"/>
        </w:numPr>
        <w:spacing w:before="60" w:after="60"/>
      </w:pPr>
      <w:r>
        <w:rPr>
          <w:rFonts w:ascii="Arial" w:cs="Arial" w:eastAsia="Arial" w:hAnsi="Arial"/>
          <w:sz w:val="22"/>
          <w:szCs w:val="22"/>
        </w:rPr>
        <w:t xml:space="preserve">NE oscillation frequency in AD pathology: The ~0.02 Hz infraslow LC oscillation frequency identified in rodent models (Nedergaard 2025) requires human confirmation and characterization of how it changes with early LC tau pathology and with aging. Whether pharmacological approaches could normalize LC oscillatory function represents a potentially novel therapeutic target.</w:t>
      </w:r>
    </w:p>
    <w:p>
      <w:pPr>
        <w:pStyle w:val="ListParagraph"/>
        <w:numPr>
          <w:ilvl w:val="0"/>
          <w:numId w:val="2"/>
        </w:numPr>
        <w:spacing w:before="60" w:after="60"/>
      </w:pPr>
      <w:r>
        <w:rPr>
          <w:rFonts w:ascii="Arial" w:cs="Arial" w:eastAsia="Arial" w:hAnsi="Arial"/>
          <w:sz w:val="22"/>
          <w:szCs w:val="22"/>
        </w:rPr>
        <w:t xml:space="preserve">AQP4 mislocalization dynamics in living humans: The degree of AQP4 mislocalization at different Braak stages in human brain requires in vivo imaging tools not yet clinically available.</w:t>
      </w:r>
    </w:p>
    <w:p>
      <w:pPr>
        <w:pStyle w:val="ListParagraph"/>
        <w:numPr>
          <w:ilvl w:val="0"/>
          <w:numId w:val="2"/>
        </w:numPr>
        <w:spacing w:before="60" w:after="60"/>
      </w:pPr>
      <w:r>
        <w:rPr>
          <w:rFonts w:ascii="Arial" w:cs="Arial" w:eastAsia="Arial" w:hAnsi="Arial"/>
          <w:sz w:val="22"/>
          <w:szCs w:val="22"/>
        </w:rPr>
        <w:t xml:space="preserve">True DAM vs DIM temporal dynamics in human AD: The relative contribution of neuroprotective true DAM versus pro-inflammatory monocyte-derived DIM populations across disease stages in human tissue requires larger single-cell sequencing datasets with precise Braak stage annotation.</w:t>
      </w:r>
    </w:p>
    <w:p>
      <w:pPr>
        <w:pStyle w:val="ListParagraph"/>
        <w:numPr>
          <w:ilvl w:val="0"/>
          <w:numId w:val="2"/>
        </w:numPr>
        <w:spacing w:before="60" w:after="60"/>
      </w:pPr>
      <w:r>
        <w:rPr>
          <w:rFonts w:ascii="Arial" w:cs="Arial" w:eastAsia="Arial" w:hAnsi="Arial"/>
          <w:sz w:val="22"/>
          <w:szCs w:val="22"/>
        </w:rPr>
        <w:t xml:space="preserve">Galanin antagonism as therapeutic target: Galanin upregulation in the AD basal forebrain is established; no galanin receptor antagonist has advanced to human AD trials. Preclinical evidence is promising; the clinical window for meaningful cholinergic preservation is likely narrow.</w:t>
      </w:r>
    </w:p>
    <w:p>
      <w:pPr>
        <w:pStyle w:val="ListParagraph"/>
        <w:numPr>
          <w:ilvl w:val="0"/>
          <w:numId w:val="2"/>
        </w:numPr>
        <w:spacing w:before="60" w:after="60"/>
      </w:pPr>
      <w:r>
        <w:rPr>
          <w:rFonts w:ascii="Arial" w:cs="Arial" w:eastAsia="Arial" w:hAnsi="Arial"/>
          <w:sz w:val="22"/>
          <w:szCs w:val="22"/>
        </w:rPr>
        <w:t xml:space="preserve">Olfactory testing for preclinical AD: LC olfactory bulb axon loss as a Braak I-II marker requires prospective clinical validation linking olfactory testing scores to subsequent amyloid PET positivity and cognitive decline.</w:t>
      </w:r>
    </w:p>
    <w:p>
      <w:pPr>
        <w:pStyle w:val="ListParagraph"/>
        <w:numPr>
          <w:ilvl w:val="0"/>
          <w:numId w:val="2"/>
        </w:numPr>
        <w:spacing w:before="60" w:after="60"/>
      </w:pPr>
      <w:r>
        <w:rPr>
          <w:rFonts w:ascii="Arial" w:cs="Arial" w:eastAsia="Arial" w:hAnsi="Arial"/>
          <w:sz w:val="22"/>
          <w:szCs w:val="22"/>
        </w:rPr>
        <w:t xml:space="preserve">Causal microbiome mechanism in humans: Gut microbiome associations with AD biomarkers are observational. Causality requires intervention RCTs (dietary fiber, probiotics, FMT) with amyloid PET as a primary endpoint.</w:t>
      </w:r>
    </w:p>
    <w:p>
      <w:pPr>
        <w:pStyle w:val="ListParagraph"/>
        <w:numPr>
          <w:ilvl w:val="0"/>
          <w:numId w:val="2"/>
        </w:numPr>
        <w:spacing w:before="60" w:after="60"/>
      </w:pPr>
      <w:r>
        <w:rPr>
          <w:rFonts w:ascii="Arial" w:cs="Arial" w:eastAsia="Arial" w:hAnsi="Arial"/>
          <w:sz w:val="22"/>
          <w:szCs w:val="22"/>
        </w:rPr>
        <w:t xml:space="preserve">GLP-1 agonist follow-up after EVOKE negative result: The EVOKE and EVOKE+ Phase 3 trials of semaglutide in early-stage symptomatic AD failed to meet the primary CDR-SB endpoint (November 2025). The epidemiological signal of reduced dementia incidence in T2D populations on GLP-1 agonists remains unexplained. Priority questions: whether GLP-1 agonists might benefit earlier pre-symptomatic populations (where the threshold has not yet been crossed), whether combination with anti-amyloid therapy produces additive benefit, and whether the epidemiological signal reflects confounding. The ISAP trial (University of Oxford / Diabetes Trials Unit, five UK sites) is a randomised placebo-controlled proof-of-concept study of oral semaglutide in up to 88 amyloid-positive adults with no or mild cognitive impairment (CDR 0–0.5), assessing tau PET and neuroinflammation endpoints at one year (ISRCTN71283871; protocol: Koychev et al., BMJ Open 2024).</w:t>
      </w:r>
    </w:p>
    <w:p>
      <w:pPr>
        <w:pStyle w:val="ListParagraph"/>
        <w:numPr>
          <w:ilvl w:val="0"/>
          <w:numId w:val="2"/>
        </w:numPr>
        <w:spacing w:before="60" w:after="60"/>
      </w:pPr>
      <w:r>
        <w:rPr>
          <w:rFonts w:ascii="Arial" w:cs="Arial" w:eastAsia="Arial" w:hAnsi="Arial"/>
          <w:sz w:val="22"/>
          <w:szCs w:val="22"/>
        </w:rPr>
        <w:t xml:space="preserve">Multi-domain lifestyle plus anti-amyloid combination: Whether FINGER-type multi-domain lifestyle intervention combined with lecanemab or donanemab produces greater cognitive benefit than immunotherapy alone has not been tested in an RCT.</w:t>
      </w:r>
    </w:p>
    <w:p>
      <w:pPr>
        <w:pStyle w:val="ListParagraph"/>
        <w:numPr>
          <w:ilvl w:val="0"/>
          <w:numId w:val="2"/>
        </w:numPr>
        <w:spacing w:before="60" w:after="60"/>
      </w:pPr>
      <w:r>
        <w:rPr>
          <w:rFonts w:ascii="Arial" w:cs="Arial" w:eastAsia="Arial" w:hAnsi="Arial"/>
          <w:sz w:val="22"/>
          <w:szCs w:val="22"/>
        </w:rPr>
        <w:t xml:space="preserve">Interaction effects between risk factors: Whether ApoE4 plus hypertension, or ApoE4 plus poor sleep, or T2D plus physical inactivity produce synergistic rather than additive AD risk has not been tested in adequately powered studies.</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32"/>
          <w:szCs w:val="32"/>
        </w:rPr>
        <w:t xml:space="preserve">21. Limitations</w:t>
      </w:r>
    </w:p>
    <w:p>
      <w:pPr>
        <w:spacing w:before="80" w:after="80" w:line="276"/>
        <w:jc w:val="both"/>
      </w:pPr>
      <w:r>
        <w:rPr>
          <w:rFonts w:ascii="Arial" w:cs="Arial" w:eastAsia="Arial" w:hAnsi="Arial"/>
          <w:sz w:val="22"/>
          <w:szCs w:val="22"/>
        </w:rPr>
        <w:t xml:space="preserve">This paper is a mechanistic integrative review, not a systematic review or meta-analysis. Risk factor selection and mechanism weighting reflect judgment about biological plausibility and strength of supporting evidence; others may reasonably weight these differently. Evidence tiers are assigned operationally and are not a formal GRADE assessment.</w:t>
      </w:r>
    </w:p>
    <w:p>
      <w:pPr>
        <w:spacing w:before="80" w:after="80" w:line="276"/>
        <w:jc w:val="both"/>
      </w:pPr>
      <w:r>
        <w:rPr>
          <w:rFonts w:ascii="Arial" w:cs="Arial" w:eastAsia="Arial" w:hAnsi="Arial"/>
          <w:sz w:val="22"/>
          <w:szCs w:val="22"/>
        </w:rPr>
        <w:t xml:space="preserve">The multi-system framing requires integrating evidence across neuroscience, metabolism, immunology, cardiovascular medicine, and exercise physiology. In many cases, peripheral-to-central mechanisms rely on animal models or human observational data; intervention RCTs establishing that improving a peripheral system directly and measurably reduces amyloid accumulation or cognitive decline are limited. The biological plausibility case is strong; the interventional evidence base has important gaps flagged in §20.</w:t>
      </w:r>
    </w:p>
    <w:p>
      <w:pPr>
        <w:spacing w:before="80" w:after="80" w:line="276"/>
        <w:jc w:val="both"/>
      </w:pPr>
      <w:r>
        <w:rPr>
          <w:rFonts w:ascii="Arial" w:cs="Arial" w:eastAsia="Arial" w:hAnsi="Arial"/>
          <w:sz w:val="22"/>
          <w:szCs w:val="22"/>
        </w:rPr>
        <w:t xml:space="preserve">The updated glymphatic mechanism (NE oscillatory vasomotion) is based on the Nedergaard group Cell 2025 paper. Independent replication in humans is required before this should be treated as established. The prior model (NE level-dependent interstitial expansion) is not invalidated but is incomplete; both mechanisms likely operate in parallel.</w:t>
      </w:r>
    </w:p>
    <w:p>
      <w:pPr>
        <w:spacing w:before="80" w:after="80" w:line="276"/>
        <w:jc w:val="both"/>
      </w:pPr>
      <w:r>
        <w:rPr>
          <w:rFonts w:ascii="Arial" w:cs="Arial" w:eastAsia="Arial" w:hAnsi="Arial"/>
          <w:sz w:val="22"/>
          <w:szCs w:val="22"/>
        </w:rPr>
        <w:t xml:space="preserve">The microglial state taxonomy (DAM/DIM/LDAM) is based on single-cell sequencing data that is rapidly evolving. The neuroprotective characterization of early true DAM is supported by multiple experimental lines but has not been confirmed in longitudinal human tissue studies across all disease stages.</w:t>
      </w:r>
    </w:p>
    <w:p>
      <w:pPr>
        <w:spacing w:before="80" w:after="80" w:line="276"/>
        <w:jc w:val="both"/>
      </w:pPr>
      <w:r>
        <w:rPr>
          <w:rFonts w:ascii="Arial" w:cs="Arial" w:eastAsia="Arial" w:hAnsi="Arial"/>
          <w:sz w:val="22"/>
          <w:szCs w:val="22"/>
        </w:rPr>
        <w:t xml:space="preserve">This paper focuses mechanistically on Alzheimer’s disease and does not address frontotemporal dementia, Lewy body dementia, or vascular dementia with equivalent depth. The multi-system framework may apply to these conditions with modifications not developed here.</w:t>
      </w:r>
    </w:p>
    <w:p>
      <w:pPr>
        <w:spacing w:before="60" w:after="60"/>
      </w:pPr>
      <w:r>
        <w:rPr>
          <w:rFonts w:ascii="Arial" w:cs="Arial" w:eastAsia="Arial" w:hAnsi="Arial"/>
          <w:sz w:val="22"/>
          <w:szCs w:val="22"/>
        </w:rPr>
        <w:t xml:space="preserve"/>
      </w:r>
    </w:p>
    <w:p>
      <w:pPr>
        <w:pStyle w:val="Heading1"/>
        <w:spacing w:before="300" w:after="120"/>
      </w:pPr>
      <w:r>
        <w:rPr>
          <w:rFonts w:ascii="Arial" w:cs="Arial" w:eastAsia="Arial" w:hAnsi="Arial"/>
          <w:b/>
          <w:bCs/>
          <w:sz w:val="32"/>
          <w:szCs w:val="32"/>
        </w:rPr>
        <w:t xml:space="preserve">22. Conclusion</w:t>
      </w:r>
    </w:p>
    <w:p>
      <w:pPr>
        <w:spacing w:before="80" w:after="80" w:line="276"/>
        <w:jc w:val="both"/>
      </w:pPr>
      <w:r>
        <w:rPr>
          <w:rFonts w:ascii="Arial" w:cs="Arial" w:eastAsia="Arial" w:hAnsi="Arial"/>
          <w:sz w:val="22"/>
          <w:szCs w:val="22"/>
        </w:rPr>
        <w:t xml:space="preserve">Sporadic late-onset Alzheimer’s disease is consistent with a model in which peripheral system failures cumulatively impair the brain’s capacity to maintain amyloid clearance and structural integrity. The amyloid clearance threshold — when the production/clearance ratio crosses 1 — is the downstream expression of convergent failures across metabolic, immune, cardiovascular, gut, hormonal, and musculoskeletal systems. The glymphatic clearance system, operating during NREM sleep through LC oscillatory vasomotion and AQP4 hydraulic channels and now confirmed in living humans, is a critical effector through which multiple peripheral failures converge to determine whether nightly amyloid clearance is adequate.</w:t>
      </w:r>
    </w:p>
    <w:p>
      <w:pPr>
        <w:spacing w:before="80" w:after="80" w:line="276"/>
        <w:jc w:val="both"/>
      </w:pPr>
      <w:r>
        <w:rPr>
          <w:rFonts w:ascii="Arial" w:cs="Arial" w:eastAsia="Arial" w:hAnsi="Arial"/>
          <w:sz w:val="22"/>
          <w:szCs w:val="22"/>
        </w:rPr>
        <w:t xml:space="preserve">The mechanistic picture has four practical implications. First, single-mechanism pharmacological interventions targeting amyloid or tau are unlikely to be sufficient in isolation if the peripheral drivers of clearance failure are not concurrently addressed — a hypothesis consistent with the partial cognitive benefit of lecanemab and donanemab. Second, the timing of intervention matters: hormonal, cardiovascular, and metabolic interventions are more likely to be effective when initiated before clearance failure becomes self-sustaining, consistent with the critical window hypothesis and SPRINT MIND data. Third, the tau-targeting therapeutics now showing early efficacy signals (bepranemab, BIIB080 ASO) address tau pathology — which correlates more directly with neuronal loss and clinical decline than amyloid burden does — and are mechanistically motivated as a complement to anti-amyloid immunotherapy, though no RCT has tested the combination and translational signals remain exploratory. Fourth, plasma p-tau217 is now FDA-cleared and olfactory testing is under prospective validation as an adjunct Braak I–II biomarker; together they represent a candidate minimally invasive screening strategy for identifying individuals in the pre-threshold window, though prospective validation of this combined approach and its integration into non-specialist settings remains to be established.</w:t>
      </w:r>
    </w:p>
    <w:p>
      <w:pPr>
        <w:spacing w:before="80" w:after="80" w:line="276"/>
        <w:jc w:val="both"/>
      </w:pPr>
      <w:r>
        <w:rPr>
          <w:rFonts w:ascii="Arial" w:cs="Arial" w:eastAsia="Arial" w:hAnsi="Arial"/>
          <w:sz w:val="22"/>
          <w:szCs w:val="22"/>
        </w:rPr>
        <w:t xml:space="preserve">The strongest evidence in this paper includes: glymphatic clearance mechanism and human functional confirmation (Tier A); NE oscillatory vasomotion as the specific pump mechanism (Tier A-B, requires human replication); NBM-ACh encoding gate failure and cholinesterase inhibitor rationale (Tier A); T2D-AD metabolic overlap (Tier A for risk association; Tier B for shared molecular mechanism); lecanemab and donanemab clinical efficacy (Tier A); plasma p-tau217 diagnostic accuracy (Tier A). The weakest links include: gut microbiome causal chain (Tier B-C); galanin antagonism as therapeutic target (preclinical only); cortisol-to-BACE1 mechanism in humans (Tier B-C). The multi-system convergence thesis is a Tier C integrative synthesis — individually supported by the evidence in each section, but not yet tested as a unified clinical intervention framework in a single prospective trial.</w:t>
      </w:r>
    </w:p>
    <w:p>
      <w:pPr>
        <w:spacing w:before="60" w:after="60"/>
      </w:pPr>
      <w:r>
        <w:rPr>
          <w:rFonts w:ascii="Arial" w:cs="Arial" w:eastAsia="Arial" w:hAnsi="Arial"/>
          <w:sz w:val="22"/>
          <w:szCs w:val="22"/>
        </w:rPr>
        <w:t xml:space="preserve"/>
      </w:r>
    </w:p>
    <w:p>
      <w:r>
        <w:br w:type="page"/>
      </w:r>
    </w:p>
    <w:p>
      <w:pPr>
        <w:pStyle w:val="Heading1"/>
        <w:spacing w:before="300" w:after="120"/>
      </w:pPr>
      <w:r>
        <w:rPr>
          <w:rFonts w:ascii="Arial" w:cs="Arial" w:eastAsia="Arial" w:hAnsi="Arial"/>
          <w:b/>
          <w:bCs/>
          <w:sz w:val="32"/>
          <w:szCs w:val="32"/>
        </w:rPr>
        <w:t xml:space="preserve">23. References</w:t>
      </w:r>
    </w:p>
    <w:p>
      <w:pPr>
        <w:spacing w:before="60" w:after="60" w:line="260"/>
        <w:jc w:val="both"/>
      </w:pPr>
      <w:r>
        <w:rPr>
          <w:rFonts w:ascii="Arial" w:cs="Arial" w:eastAsia="Arial" w:hAnsi="Arial"/>
          <w:sz w:val="20"/>
          <w:szCs w:val="20"/>
        </w:rPr>
        <w:t xml:space="preserve">[Hardy92] J.A. Hardy &amp; G.A. Higgins, Alzheimer’s disease: the amyloid cascade hypothesis, Science 256 (1992) 184.</w:t>
      </w:r>
    </w:p>
    <w:p>
      <w:pPr>
        <w:spacing w:before="60" w:after="60" w:line="260"/>
        <w:jc w:val="both"/>
      </w:pPr>
      <w:r>
        <w:rPr>
          <w:rFonts w:ascii="Arial" w:cs="Arial" w:eastAsia="Arial" w:hAnsi="Arial"/>
          <w:sz w:val="20"/>
          <w:szCs w:val="20"/>
        </w:rPr>
        <w:t xml:space="preserve">[Selkoe16] D.J. Selkoe &amp; J. Hardy, The amyloid hypothesis of Alzheimer’s disease at 25 years, EMBO Mol Med 8 (2016) 595. [Oligomers as primary toxic species; plaque vs. oligomer distinction]</w:t>
      </w:r>
    </w:p>
    <w:p>
      <w:pPr>
        <w:spacing w:before="60" w:after="60" w:line="260"/>
        <w:jc w:val="both"/>
      </w:pPr>
      <w:r>
        <w:rPr>
          <w:rFonts w:ascii="Arial" w:cs="Arial" w:eastAsia="Arial" w:hAnsi="Arial"/>
          <w:sz w:val="20"/>
          <w:szCs w:val="20"/>
        </w:rPr>
        <w:t xml:space="preserve">[Xie13] L. Xie et al., Sleep drives metabolite clearance from the adult brain, Science 342 (2013) 373. [Glymphatic clearance during NREM; interstitial space expansion in rodent model; foundational mechanism paper]</w:t>
      </w:r>
    </w:p>
    <w:p>
      <w:pPr>
        <w:spacing w:before="60" w:after="60" w:line="260"/>
        <w:jc w:val="both"/>
      </w:pPr>
      <w:r>
        <w:rPr>
          <w:rFonts w:ascii="Arial" w:cs="Arial" w:eastAsia="Arial" w:hAnsi="Arial"/>
          <w:sz w:val="20"/>
          <w:szCs w:val="20"/>
        </w:rPr>
        <w:t xml:space="preserve">[Iliff12] J.J. Iliff et al., A paravascular pathway facilitates CSF flow through the brain parenchyma, Sci Transl Med 4 (2012) 147ra111. [Glymphatic system discovery; AQP4 at astrocyte endfeet; ~70% clearance reduction with AQP4 deletion]</w:t>
      </w:r>
    </w:p>
    <w:p>
      <w:pPr>
        <w:spacing w:before="60" w:after="60" w:line="260"/>
        <w:jc w:val="both"/>
      </w:pPr>
      <w:r>
        <w:rPr>
          <w:rFonts w:ascii="Arial" w:cs="Arial" w:eastAsia="Arial" w:hAnsi="Arial"/>
          <w:sz w:val="20"/>
          <w:szCs w:val="20"/>
        </w:rPr>
        <w:t xml:space="preserve">[Nedergaard25] N.L. Hauglund et al. (Hauglund NL, Andersen M, Tokarska K, Radovanovic T, Kjaerby C, Sørensen FL, Bojarowska Z, Untiet V, Ballestero SB, Kolmos MG, Weikop P, Hirase H, Nedergaard M), Norepinephrine-mediated slow vasomotion drives glymphatic clearance during sleep, Cell 188(3):606–622.e17, February 6, 2025 (epub January 8, 2025). DOI: 10.1016/j.cell.2024.11.027. [NE infraslow oscillations ~0.02 Hz drive vasomotion as primary glymphatic pump mechanism; optogenetic LC stimulation → anti-correlated vasomotion and CSF signal; zolpidem suppresses NE oscillations and glymphatic flow; revises NE-level-only model; rodent study, human replication required]</w:t>
      </w:r>
    </w:p>
    <w:p>
      <w:pPr>
        <w:spacing w:before="60" w:after="60" w:line="260"/>
        <w:jc w:val="both"/>
      </w:pPr>
      <w:r>
        <w:rPr>
          <w:rFonts w:ascii="Arial" w:cs="Arial" w:eastAsia="Arial" w:hAnsi="Arial"/>
          <w:sz w:val="20"/>
          <w:szCs w:val="20"/>
        </w:rPr>
        <w:t xml:space="preserve">[Yamamoto24] E.A. Yamamoto et al. (Yamamoto EA, Bagley JH, Geltzeiler M, Sanusi OR, Dogan A, Liu JJ, Piantino J), The perivascular space is a conduit for cerebrospinal fluid flow in humans: A proof-of-principle report, PNAS 121(42):e2407246121, October 2024. DOI: 10.1073/pnas.2407246121. [First direct MRI visualization of CSF tracer transport within perivascular spaces in living humans; n=5 neurosurgery patients; proof-of-principle, not a population study; gadolinium FLAIR technique; confirms structural basis of glymphatic perivascular pathway in humans]</w:t>
      </w:r>
    </w:p>
    <w:p>
      <w:pPr>
        <w:spacing w:before="60" w:after="60" w:line="260"/>
        <w:jc w:val="both"/>
      </w:pPr>
      <w:r>
        <w:rPr>
          <w:rFonts w:ascii="Arial" w:cs="Arial" w:eastAsia="Arial" w:hAnsi="Arial"/>
          <w:sz w:val="20"/>
          <w:szCs w:val="20"/>
        </w:rPr>
        <w:t xml:space="preserve">[Dagum26] P. Dagum et al., Sleep-active physiological processes enhance overnight glymphatic clearance of Alzheimer’s disease biomarkers into plasma in humans, Nature Communications 17 (January 2026). [Randomized crossover RCT n=39; human-confirmed functional glymphatic clearance of Aβ/tau to plasma overnight]</w:t>
      </w:r>
    </w:p>
    <w:p>
      <w:pPr>
        <w:spacing w:before="60" w:after="60" w:line="260"/>
        <w:jc w:val="both"/>
      </w:pPr>
      <w:r>
        <w:rPr>
          <w:rFonts w:ascii="Arial" w:cs="Arial" w:eastAsia="Arial" w:hAnsi="Arial"/>
          <w:sz w:val="20"/>
          <w:szCs w:val="20"/>
        </w:rPr>
        <w:t xml:space="preserve">[Mawuenyega10] K.G. Mawuenyega et al., Decreased clearance of CNS amyloid-beta in Alzheimer’s disease, Science 330 (2010) 1774. [Human in vivo Aβ SILK kinetics; sporadic AD is primarily a clearance failure, not overproduction]</w:t>
      </w:r>
    </w:p>
    <w:p>
      <w:pPr>
        <w:spacing w:before="60" w:after="60" w:line="260"/>
        <w:jc w:val="both"/>
      </w:pPr>
      <w:r>
        <w:rPr>
          <w:rFonts w:ascii="Arial" w:cs="Arial" w:eastAsia="Arial" w:hAnsi="Arial"/>
          <w:sz w:val="20"/>
          <w:szCs w:val="20"/>
        </w:rPr>
        <w:t xml:space="preserve">[Patterson15] B.W. Patterson et al., Age and amyloid effects on human CNS amyloid-beta kinetics, Ann Neurol 78 (2015) 439–453. [Aβ CSF half-life ~3.8 h at age 30 rising to ~9.4 h at age 80; 2.5-fold slowing over five decades; age-dependent clearance decline]</w:t>
      </w:r>
    </w:p>
    <w:p>
      <w:pPr>
        <w:spacing w:before="60" w:after="60" w:line="260"/>
        <w:jc w:val="both"/>
      </w:pPr>
      <w:r>
        <w:rPr>
          <w:rFonts w:ascii="Arial" w:cs="Arial" w:eastAsia="Arial" w:hAnsi="Arial"/>
          <w:sz w:val="20"/>
          <w:szCs w:val="20"/>
        </w:rPr>
        <w:t xml:space="preserve">[Holth19] J.K. Holth et al., The sleep-wake cycle regulates brain interstitial fluid tau in mice and CSF tau in humans, Science 363 (2019) 880.</w:t>
      </w:r>
    </w:p>
    <w:p>
      <w:pPr>
        <w:spacing w:before="60" w:after="60" w:line="260"/>
        <w:jc w:val="both"/>
      </w:pPr>
      <w:r>
        <w:rPr>
          <w:rFonts w:ascii="Arial" w:cs="Arial" w:eastAsia="Arial" w:hAnsi="Arial"/>
          <w:sz w:val="20"/>
          <w:szCs w:val="20"/>
        </w:rPr>
        <w:t xml:space="preserve">[Kang09] J.E. Kang et al., Amyloid-beta dynamics are regulated by orexin and the sleep-wake cycle, Science 326 (2009) 1005.</w:t>
      </w:r>
    </w:p>
    <w:p>
      <w:pPr>
        <w:spacing w:before="60" w:after="60" w:line="260"/>
        <w:jc w:val="both"/>
      </w:pPr>
      <w:r>
        <w:rPr>
          <w:rFonts w:ascii="Arial" w:cs="Arial" w:eastAsia="Arial" w:hAnsi="Arial"/>
          <w:sz w:val="20"/>
          <w:szCs w:val="20"/>
        </w:rPr>
        <w:t xml:space="preserve">[Lucey21] B.P. Lucey et al., Slow wave sleep disruption increases CSF amyloid-beta levels, Brain 144 (2021) 2104.</w:t>
      </w:r>
    </w:p>
    <w:p>
      <w:pPr>
        <w:spacing w:before="60" w:after="60" w:line="260"/>
        <w:jc w:val="both"/>
      </w:pPr>
      <w:r>
        <w:rPr>
          <w:rFonts w:ascii="Arial" w:cs="Arial" w:eastAsia="Arial" w:hAnsi="Arial"/>
          <w:sz w:val="20"/>
          <w:szCs w:val="20"/>
        </w:rPr>
        <w:t xml:space="preserve">[Rasmussen18] M.K. Rasmussen et al., The glymphatic pathway in neurological disorders, Lancet Neurol 17 (2018) 1016.</w:t>
      </w:r>
    </w:p>
    <w:p>
      <w:pPr>
        <w:spacing w:before="60" w:after="60" w:line="260"/>
        <w:jc w:val="both"/>
      </w:pPr>
      <w:r>
        <w:rPr>
          <w:rFonts w:ascii="Arial" w:cs="Arial" w:eastAsia="Arial" w:hAnsi="Arial"/>
          <w:sz w:val="20"/>
          <w:szCs w:val="20"/>
        </w:rPr>
        <w:t xml:space="preserve">[GlymphTau24] D.M. Lopes, J.A. Wells, D. Ma, L. Wallis, D. Park, S.K. Llewellyn, Z. Ahmed, M.F. Lythgoe, I.F. Harrison, Glymphatic inhibition exacerbates tau propagation in an Alzheimer’s disease model, Alzheimer’s Research &amp; Therapy 16:71, April 5, 2024. DOI: 10.1186/s13195-024-01439-2. [AQP4 inhibition via TGN-020 chronically accelerates phosphorylated tau spread in P301S mouse tau propagation model; causal link between glymphatic dysfunction and tau propagation rate; memory impairment worsened in inhibited group]</w:t>
      </w:r>
    </w:p>
    <w:p>
      <w:pPr>
        <w:spacing w:before="60" w:after="60" w:line="260"/>
        <w:jc w:val="both"/>
      </w:pPr>
      <w:r>
        <w:rPr>
          <w:rFonts w:ascii="Arial" w:cs="Arial" w:eastAsia="Arial" w:hAnsi="Arial"/>
          <w:sz w:val="20"/>
          <w:szCs w:val="20"/>
        </w:rPr>
        <w:t xml:space="preserve">[Lambert13] J.C. Lambert et al., Meta-analysis of 74,046 individuals identifies 11 new susceptibility loci for Alzheimer’s disease, Nat Genet 45 (2013) 1452. [ApoE4 genetic risk; clearance mechanism]</w:t>
      </w:r>
    </w:p>
    <w:p>
      <w:pPr>
        <w:spacing w:before="60" w:after="60" w:line="260"/>
        <w:jc w:val="both"/>
      </w:pPr>
      <w:r>
        <w:rPr>
          <w:rFonts w:ascii="Arial" w:cs="Arial" w:eastAsia="Arial" w:hAnsi="Arial"/>
          <w:sz w:val="20"/>
          <w:szCs w:val="20"/>
        </w:rPr>
        <w:t xml:space="preserve">[Braak95] H. Braak &amp; E. Braak, Staging of AD-related neurofibrillary changes, Neurobiol Aging 16 (1995) 271. [Tau Braak staging I-VI; LC tau as earliest site]</w:t>
      </w:r>
    </w:p>
    <w:p>
      <w:pPr>
        <w:spacing w:before="60" w:after="60" w:line="260"/>
        <w:jc w:val="both"/>
      </w:pPr>
      <w:r>
        <w:rPr>
          <w:rFonts w:ascii="Arial" w:cs="Arial" w:eastAsia="Arial" w:hAnsi="Arial"/>
          <w:sz w:val="20"/>
          <w:szCs w:val="20"/>
        </w:rPr>
        <w:t xml:space="preserve">[vanEgroo24] M. Van Egroo et al., Locus coeruleus degeneration and sleep-dependent memory consolidation changes during the early course of Alzheimer’s disease, Ann Neurol 96 (2024) 1. [LC neuromelanin MRI; LC integrity predicts SWS quality in AD spectrum in humans; single study, replication required]</w:t>
      </w:r>
    </w:p>
    <w:p>
      <w:pPr>
        <w:spacing w:before="60" w:after="60" w:line="260"/>
        <w:jc w:val="both"/>
      </w:pPr>
      <w:r>
        <w:rPr>
          <w:rFonts w:ascii="Arial" w:cs="Arial" w:eastAsia="Arial" w:hAnsi="Arial"/>
          <w:sz w:val="20"/>
          <w:szCs w:val="20"/>
        </w:rPr>
        <w:t xml:space="preserve">[Meyer25_OB] C. Meyer, T. Niedermeier, P.L.C. Feyen et al. (Paeger L, Herms J senior authors), Early Locus Coeruleus noradrenergic axon loss drives olfactory dysfunction in Alzheimer’s disease, Nat Commun 16:7338, August 8, 2025. DOI: 10.1038/s41467-025-62500-8. [LC axon loss in olfactory bulb precedes amyloid plaques; microglia-mediated phagocytosis of LC axons; TSPO-PET signal in OB in prodromal AD patients; post-mortem human OB LC axon degeneration confirmed in early AD; olfactory testing as early Braak I-II biomarker]</w:t>
      </w:r>
    </w:p>
    <w:p>
      <w:pPr>
        <w:spacing w:before="60" w:after="60" w:line="260"/>
        <w:jc w:val="both"/>
      </w:pPr>
      <w:r>
        <w:rPr>
          <w:rFonts w:ascii="Arial" w:cs="Arial" w:eastAsia="Arial" w:hAnsi="Arial"/>
          <w:sz w:val="20"/>
          <w:szCs w:val="20"/>
        </w:rPr>
        <w:t xml:space="preserve">[HuMicA25] R. Martins-Ferreira, J. Calafell-Segura, B. Leal et al. (senior author: E. Ballestar), The Human Microglia Atlas (HuMicA) unravels changes in disease-associated microglia subsets across neurodegenerative conditions, Nature Communications 16:739, January 16, 2025. DOI: 10.1038/s41467-025-56124-1. 90,716 nuclei/cells; nine microglial populations; six conditions: AD, ASD, epilepsy, MS, Lewy body diseases, COVID-19; four DAM subtypes confirmed in human tissue; DIM/LDAM/GPNMB-high classification; M1/M2 binary characterized as oversimplification.</w:t>
      </w:r>
    </w:p>
    <w:p>
      <w:pPr>
        <w:spacing w:before="60" w:after="60" w:line="260"/>
        <w:jc w:val="both"/>
      </w:pPr>
      <w:r>
        <w:rPr>
          <w:rFonts w:ascii="Arial" w:cs="Arial" w:eastAsia="Arial" w:hAnsi="Arial"/>
          <w:sz w:val="20"/>
          <w:szCs w:val="20"/>
        </w:rPr>
        <w:t xml:space="preserve">[Heneka13] M.T. Heneka et al., NLRP3 is activated in Alzheimer’s disease and contributes to pathology in APP/PS1 mice, Nature 493 (2013) 674–678. [NLRP3 inflammasome in AD; IL-1β/caspase-1; confirmed in human MCI/AD brain tissue]</w:t>
      </w:r>
    </w:p>
    <w:p>
      <w:pPr>
        <w:spacing w:before="60" w:after="60" w:line="260"/>
        <w:jc w:val="both"/>
      </w:pPr>
      <w:r>
        <w:rPr>
          <w:rFonts w:ascii="Arial" w:cs="Arial" w:eastAsia="Arial" w:hAnsi="Arial"/>
          <w:sz w:val="20"/>
          <w:szCs w:val="20"/>
        </w:rPr>
        <w:t xml:space="preserve">[Guerreiro13] R. Guerreiro et al., TREM2 variants in Alzheimer’s disease, NEJM 368(2):117–127 (2013). DOI: 10.1056/NEJMoa1211851. [Significant association of R47H with AD; microglial phagocytosis; companion to Jonsson13 in same issue]</w:t>
      </w:r>
    </w:p>
    <w:p>
      <w:pPr>
        <w:spacing w:before="60" w:after="60" w:line="260"/>
        <w:jc w:val="both"/>
      </w:pPr>
      <w:r>
        <w:rPr>
          <w:rFonts w:ascii="Arial" w:cs="Arial" w:eastAsia="Arial" w:hAnsi="Arial"/>
          <w:sz w:val="20"/>
          <w:szCs w:val="20"/>
        </w:rPr>
        <w:t xml:space="preserve">[Jonsson13] T. Jonsson et al., Variant of TREM2 associated with the risk of Alzheimer’s disease, NEJM 368(2):107–116 (2013). DOI: 10.1056/NEJMoa1211103. [R47H OR 2.92, 95% CI 2.09–4.09 in Icelandic cohort; replicated OR 2.90 in combined samples; published in same issue as Guerreiro13]</w:t>
      </w:r>
    </w:p>
    <w:p>
      <w:pPr>
        <w:spacing w:before="60" w:after="60" w:line="260"/>
        <w:jc w:val="both"/>
      </w:pPr>
      <w:r>
        <w:rPr>
          <w:rFonts w:ascii="Arial" w:cs="Arial" w:eastAsia="Arial" w:hAnsi="Arial"/>
          <w:sz w:val="20"/>
          <w:szCs w:val="20"/>
        </w:rPr>
        <w:t xml:space="preserve">[Shi17] Y. Shi &amp; D.M. Holtzman, Interplay between innate immunity and AD: APOE and TREM2 in the spotlight, Nat Rev Immunol 18 (2018) 759.</w:t>
      </w:r>
    </w:p>
    <w:p>
      <w:pPr>
        <w:spacing w:before="60" w:after="60" w:line="260"/>
        <w:jc w:val="both"/>
      </w:pPr>
      <w:r>
        <w:rPr>
          <w:rFonts w:ascii="Arial" w:cs="Arial" w:eastAsia="Arial" w:hAnsi="Arial"/>
          <w:sz w:val="20"/>
          <w:szCs w:val="20"/>
        </w:rPr>
        <w:t xml:space="preserve">[Grudzien07] A. Grudzien et al., Locus coeruleus neurofibrillary degeneration in aging, MCI and early AD, Neurobiol Aging 28 (2007) 327. [LC tau at Braak I-II; earliest AD pathological change in the majority of cases from the fourth to fifth decade]</w:t>
      </w:r>
    </w:p>
    <w:p>
      <w:pPr>
        <w:spacing w:before="60" w:after="60" w:line="260"/>
        <w:jc w:val="both"/>
      </w:pPr>
      <w:r>
        <w:rPr>
          <w:rFonts w:ascii="Arial" w:cs="Arial" w:eastAsia="Arial" w:hAnsi="Arial"/>
          <w:sz w:val="20"/>
          <w:szCs w:val="20"/>
        </w:rPr>
        <w:t xml:space="preserve">[Wilson13] R.S. Wilson et al., Neural reserve, neuronal density in the locus ceruleus, and cognitive decline, Neurology 80 (2013) 1202. [LC neuronal loss 40–80% by end-stage AD]</w:t>
      </w:r>
    </w:p>
    <w:p>
      <w:pPr>
        <w:spacing w:before="60" w:after="60" w:line="260"/>
        <w:jc w:val="both"/>
      </w:pPr>
      <w:r>
        <w:rPr>
          <w:rFonts w:ascii="Arial" w:cs="Arial" w:eastAsia="Arial" w:hAnsi="Arial"/>
          <w:sz w:val="20"/>
          <w:szCs w:val="20"/>
        </w:rPr>
        <w:t xml:space="preserve">[Whitehouse82] P.J. Whitehouse et al., Alzheimer’s disease and senile dementia: loss of neurons in the basal forebrain, Science 215 (1982) 1237.</w:t>
      </w:r>
    </w:p>
    <w:p>
      <w:pPr>
        <w:spacing w:before="60" w:after="60" w:line="260"/>
        <w:jc w:val="both"/>
      </w:pPr>
      <w:r>
        <w:rPr>
          <w:rFonts w:ascii="Arial" w:cs="Arial" w:eastAsia="Arial" w:hAnsi="Arial"/>
          <w:sz w:val="20"/>
          <w:szCs w:val="20"/>
        </w:rPr>
        <w:t xml:space="preserve">[Perry78] E.K. Perry et al., Correlation of cholinergic abnormalities with senile plaques and mental test scores in senile dementia, Br Med J 2(6150):1457–1459, November 25, 1978. DOI: 10.1136/bmj.2.6150.1457. Cite key was Perry82 in error; paper is from 1978.</w:t>
      </w:r>
    </w:p>
    <w:p>
      <w:pPr>
        <w:spacing w:before="60" w:after="60" w:line="260"/>
        <w:jc w:val="both"/>
      </w:pPr>
      <w:r>
        <w:rPr>
          <w:rFonts w:ascii="Arial" w:cs="Arial" w:eastAsia="Arial" w:hAnsi="Arial"/>
          <w:sz w:val="20"/>
          <w:szCs w:val="20"/>
        </w:rPr>
        <w:t xml:space="preserve">[NBM_NatComms24] F. Mei et al. (Mei F, Zhao C, Li S, Xue Z, Zhao Y, Xu Y, Ye R, You H, Yu P, Han X, Carr GV, Weinberger DR, Yang F, Lu B), Ngfr+ cholinergic projection from SI/nBM to mPFC selectively regulates temporal order recognition memory, Nature Communications 15:7342, August 26, 2024. DOI: 10.1038/s41467-024-51707-w. [Circuit dissociation confirmed: NBM Ngfr+/mPFC = temporal order/recency memory; MS/DB/HPC = spatial/novelty/object location memory; Ngfr deletion selectively impairs recency without affecting spatial memory]</w:t>
      </w:r>
    </w:p>
    <w:p>
      <w:pPr>
        <w:spacing w:before="60" w:after="60" w:line="260"/>
        <w:jc w:val="both"/>
      </w:pPr>
      <w:r>
        <w:rPr>
          <w:rFonts w:ascii="Arial" w:cs="Arial" w:eastAsia="Arial" w:hAnsi="Arial"/>
          <w:sz w:val="20"/>
          <w:szCs w:val="20"/>
        </w:rPr>
        <w:t xml:space="preserve">[Reisberg03] B. Reisberg et al., Memantine in moderate-to-severe Alzheimer’s disease, NEJM 348 (2003) 1333.</w:t>
      </w:r>
    </w:p>
    <w:p>
      <w:pPr>
        <w:spacing w:before="60" w:after="60" w:line="260"/>
        <w:jc w:val="both"/>
      </w:pPr>
      <w:r>
        <w:rPr>
          <w:rFonts w:ascii="Arial" w:cs="Arial" w:eastAsia="Arial" w:hAnsi="Arial"/>
          <w:sz w:val="20"/>
          <w:szCs w:val="20"/>
        </w:rPr>
        <w:t xml:space="preserve">[Henderson10] V.W. Henderson &amp; R.A. Brinton, Menopause and mitochondria: windows into estrogen effects on AD risk and therapy, Prog Brain Res 182 (2010) 77.</w:t>
      </w:r>
    </w:p>
    <w:p>
      <w:pPr>
        <w:spacing w:before="60" w:after="60" w:line="260"/>
        <w:jc w:val="both"/>
      </w:pPr>
      <w:r>
        <w:rPr>
          <w:rFonts w:ascii="Arial" w:cs="Arial" w:eastAsia="Arial" w:hAnsi="Arial"/>
          <w:sz w:val="20"/>
          <w:szCs w:val="20"/>
        </w:rPr>
        <w:t xml:space="preserve">[Brinton09] R.D. Brinton, Estrogen-induced plasticity from cells to circuits, Trends Pharmacol Sci 30 (2009) 212.</w:t>
      </w:r>
    </w:p>
    <w:p>
      <w:pPr>
        <w:spacing w:before="60" w:after="60" w:line="260"/>
        <w:jc w:val="both"/>
      </w:pPr>
      <w:r>
        <w:rPr>
          <w:rFonts w:ascii="Arial" w:cs="Arial" w:eastAsia="Arial" w:hAnsi="Arial"/>
          <w:sz w:val="20"/>
          <w:szCs w:val="20"/>
        </w:rPr>
        <w:t xml:space="preserve">[Sherwin12] B.B. Sherwin, Estrogen and cognitive functioning in women, Behav Neurosci 126 (2012) 123. [Critical window hypothesis; HRT timing and AD risk]</w:t>
      </w:r>
    </w:p>
    <w:p>
      <w:pPr>
        <w:spacing w:before="60" w:after="60" w:line="260"/>
        <w:jc w:val="both"/>
      </w:pPr>
      <w:r>
        <w:rPr>
          <w:rFonts w:ascii="Arial" w:cs="Arial" w:eastAsia="Arial" w:hAnsi="Arial"/>
          <w:sz w:val="20"/>
          <w:szCs w:val="20"/>
        </w:rPr>
        <w:t xml:space="preserve">[Vogelgsang19] J. Vogelgsang et al., Psychosocial stress and Alzheimer’s disease, Psychoneuroendocrinology 108 (2019) 260.</w:t>
      </w:r>
    </w:p>
    <w:p>
      <w:pPr>
        <w:spacing w:before="60" w:after="60" w:line="260"/>
        <w:jc w:val="both"/>
      </w:pPr>
      <w:r>
        <w:rPr>
          <w:rFonts w:ascii="Arial" w:cs="Arial" w:eastAsia="Arial" w:hAnsi="Arial"/>
          <w:sz w:val="20"/>
          <w:szCs w:val="20"/>
        </w:rPr>
        <w:t xml:space="preserve">[vanDyck23] C.H. van Dyck et al., Lecanemab in early Alzheimer’s disease, NEJM 388 (2023) 9. [CLARITY AD; 27% CDR-SB slowing; ARIA-E 12.6%, ARIA-H 17.3%, combined any ARIA 21.3%; ApoE4 homozygote subgroup: near-zero efficacy, ARIA-E 32.6%, ARIA-H 38.3%]</w:t>
      </w:r>
    </w:p>
    <w:p>
      <w:pPr>
        <w:spacing w:before="60" w:after="60" w:line="260"/>
        <w:jc w:val="both"/>
      </w:pPr>
      <w:r>
        <w:rPr>
          <w:rFonts w:ascii="Arial" w:cs="Arial" w:eastAsia="Arial" w:hAnsi="Arial"/>
          <w:sz w:val="20"/>
          <w:szCs w:val="20"/>
        </w:rPr>
        <w:t xml:space="preserve">[Sims23] J.R. Sims et al., Donanemab in early symptomatic AD: TRAILBLAZER-ALZ 2, JAMA 330 (2023) 512. [Primary analysis: pre-specified low/medium tau subgroup showed 35% slowing; overall ITT ~23%; FDA approved July 2024]</w:t>
      </w:r>
    </w:p>
    <w:p>
      <w:pPr>
        <w:spacing w:before="60" w:after="60" w:line="260"/>
        <w:jc w:val="both"/>
      </w:pPr>
      <w:r>
        <w:rPr>
          <w:rFonts w:ascii="Arial" w:cs="Arial" w:eastAsia="Arial" w:hAnsi="Arial"/>
          <w:sz w:val="20"/>
          <w:szCs w:val="20"/>
        </w:rPr>
        <w:t xml:space="preserve">[Jack24] C.R. Jack et al., Revised criteria for diagnosis and staging of Alzheimer’s disease: Alzheimer’s Association Workgroup, Alzheimers Dement 20 (2024) 5143–5169. [Biological definition of AD; Core 1/Core 2 biomarkers; plasma p-tau217 as Core 1; disease continuum up to 30 years]</w:t>
      </w:r>
    </w:p>
    <w:p>
      <w:pPr>
        <w:spacing w:before="60" w:after="60" w:line="260"/>
        <w:jc w:val="both"/>
      </w:pPr>
      <w:r>
        <w:rPr>
          <w:rFonts w:ascii="Arial" w:cs="Arial" w:eastAsia="Arial" w:hAnsi="Arial"/>
          <w:sz w:val="20"/>
          <w:szCs w:val="20"/>
        </w:rPr>
        <w:t xml:space="preserve">[Palmqvist25] S. Palmqvist et al., Plasma phospho-tau217 for Alzheimer’s disease diagnosis in primary and secondary care using a fully automated platform, Nature Medicine 31 (2025) 2036–2043. [AUC 0.93–0.96 across five cohorts n=1,767; primary care accuracy 85%]</w:t>
      </w:r>
    </w:p>
    <w:p>
      <w:pPr>
        <w:spacing w:before="60" w:after="60" w:line="260"/>
        <w:jc w:val="both"/>
      </w:pPr>
      <w:r>
        <w:rPr>
          <w:rFonts w:ascii="Arial" w:cs="Arial" w:eastAsia="Arial" w:hAnsi="Arial"/>
          <w:sz w:val="20"/>
          <w:szCs w:val="20"/>
        </w:rPr>
        <w:t xml:space="preserve">[Barthel24] N.R. Barthélemy et al., Highly accurate blood test for Alzheimer’s disease is similar or superior to clinical cerebrospinal fluid tests, Nat Med 30 (2024) 1085–1095. [Head-to-head comparison of plasma %p-tau217 vs FDA-approved CSF assays (Aβ42/40 and p-tau181/Aβ42); plasma equivalent to CSF for amyloid-PET classification (AUC 0.95–0.97 both); plasma superior for tau-PET classification; n=1,422 BioFINDER-2 + n=337 Knight ADRC]</w:t>
      </w:r>
    </w:p>
    <w:p>
      <w:pPr>
        <w:spacing w:before="60" w:after="60" w:line="260"/>
        <w:jc w:val="both"/>
      </w:pPr>
      <w:r>
        <w:rPr>
          <w:rFonts w:ascii="Arial" w:cs="Arial" w:eastAsia="Arial" w:hAnsi="Arial"/>
          <w:sz w:val="20"/>
          <w:szCs w:val="20"/>
        </w:rPr>
        <w:t xml:space="preserve">[FDA25] U.S. Food and Drug Administration, FDA clears first blood test for diagnosing Alzheimer’s disease (Lumipulse G plasma pTau217/Aβ42), Silver Spring, MD (May 16, 2025).</w:t>
      </w:r>
    </w:p>
    <w:p>
      <w:pPr>
        <w:spacing w:before="60" w:after="60" w:line="260"/>
        <w:jc w:val="both"/>
      </w:pPr>
      <w:r>
        <w:rPr>
          <w:rFonts w:ascii="Arial" w:cs="Arial" w:eastAsia="Arial" w:hAnsi="Arial"/>
          <w:sz w:val="20"/>
          <w:szCs w:val="20"/>
        </w:rPr>
        <w:t xml:space="preserve">[Livingston24] G. Livingston et al., Dementia prevention, intervention, and care: 2024 report of the Lancet standing Commission, Lancet 404 (2024) 572–628. [14 modifiable risk factors; ~45% of global dementia potentially preventable; new factors: high midlife LDL, untreated vision loss]</w:t>
      </w:r>
    </w:p>
    <w:p>
      <w:pPr>
        <w:spacing w:before="60" w:after="60" w:line="260"/>
        <w:jc w:val="both"/>
      </w:pPr>
      <w:r>
        <w:rPr>
          <w:rFonts w:ascii="Arial" w:cs="Arial" w:eastAsia="Arial" w:hAnsi="Arial"/>
          <w:sz w:val="20"/>
          <w:szCs w:val="20"/>
        </w:rPr>
        <w:t xml:space="preserve">[Dumitru25] I. Dumitru, M. Paterlini, M. Zamboni et al. (senior author: Jonas Frisén), Identification of proliferating neural progenitors in the adult human hippocampus, Science 389(6755):58–63, July 3, 2025. DOI: 10.1126/science.adu9575. Proliferating progenitor cells confirmed in adult human dentate gyrus via snRNA-seq and Ki67/ML labeling; substantial individual variation in progenitor density. Counter-commentary in same issue (Quiniou &amp; Jessberger, Science 389:30–31) argues data better supports declining neurogenesis; controversy not resolved.</w:t>
      </w:r>
    </w:p>
    <w:p>
      <w:pPr>
        <w:spacing w:before="60" w:after="60" w:line="260"/>
        <w:jc w:val="both"/>
      </w:pPr>
      <w:r>
        <w:rPr>
          <w:rFonts w:ascii="Arial" w:cs="Arial" w:eastAsia="Arial" w:hAnsi="Arial"/>
          <w:sz w:val="20"/>
          <w:szCs w:val="20"/>
        </w:rPr>
        <w:t xml:space="preserve">[Biessels15] G.J. Biessels et al., Dementia and cognitive decline in type 2 diabetes and prediabetes, Lancet Neurol 14 (2015) 807.</w:t>
      </w:r>
    </w:p>
    <w:p>
      <w:pPr>
        <w:spacing w:before="60" w:after="60" w:line="260"/>
        <w:jc w:val="both"/>
      </w:pPr>
      <w:r>
        <w:rPr>
          <w:rFonts w:ascii="Arial" w:cs="Arial" w:eastAsia="Arial" w:hAnsi="Arial"/>
          <w:sz w:val="20"/>
          <w:szCs w:val="20"/>
        </w:rPr>
        <w:t xml:space="preserve">[Craft12] S. Craft et al., Intranasal insulin therapy for Alzheimer disease and amnestic MCI, Arch Neurol 69 (2012) 29.</w:t>
      </w:r>
    </w:p>
    <w:p>
      <w:pPr>
        <w:spacing w:before="60" w:after="60" w:line="260"/>
        <w:jc w:val="both"/>
      </w:pPr>
      <w:r>
        <w:rPr>
          <w:rFonts w:ascii="Arial" w:cs="Arial" w:eastAsia="Arial" w:hAnsi="Arial"/>
          <w:sz w:val="20"/>
          <w:szCs w:val="20"/>
        </w:rPr>
        <w:t xml:space="preserve">[DeLaMonte12] S.M. de la Monte, Brain insulin resistance and deficiency as therapeutic targets in AD, Curr Alzheimer Res 9 (2012) 35.</w:t>
      </w:r>
    </w:p>
    <w:p>
      <w:pPr>
        <w:spacing w:before="60" w:after="60" w:line="260"/>
        <w:jc w:val="both"/>
      </w:pPr>
      <w:r>
        <w:rPr>
          <w:rFonts w:ascii="Arial" w:cs="Arial" w:eastAsia="Arial" w:hAnsi="Arial"/>
          <w:sz w:val="20"/>
          <w:szCs w:val="20"/>
        </w:rPr>
        <w:t xml:space="preserve">[Gorelick11] P.B. Gorelick et al., Vascular contributions to cognitive impairment and dementia, Stroke 42 (2011) 2672.</w:t>
      </w:r>
    </w:p>
    <w:p>
      <w:pPr>
        <w:spacing w:before="60" w:after="60" w:line="260"/>
        <w:jc w:val="both"/>
      </w:pPr>
      <w:r>
        <w:rPr>
          <w:rFonts w:ascii="Arial" w:cs="Arial" w:eastAsia="Arial" w:hAnsi="Arial"/>
          <w:sz w:val="20"/>
          <w:szCs w:val="20"/>
        </w:rPr>
        <w:t xml:space="preserve">[SPRINTMIND19] SPRINT MIND Investigators, Effect of intensive vs standard blood pressure control on probable dementia, JAMA 321 (2019) 553.</w:t>
      </w:r>
    </w:p>
    <w:p>
      <w:pPr>
        <w:spacing w:before="60" w:after="60" w:line="260"/>
        <w:jc w:val="both"/>
      </w:pPr>
      <w:r>
        <w:rPr>
          <w:rFonts w:ascii="Arial" w:cs="Arial" w:eastAsia="Arial" w:hAnsi="Arial"/>
          <w:sz w:val="20"/>
          <w:szCs w:val="20"/>
        </w:rPr>
        <w:t xml:space="preserve">[Norton14] S. Norton et al., Potential for primary prevention of Alzheimer’s disease: an analysis of population-based data, Lancet Neurol 13 (2014) 788. [Epidemiological modeling of modifiable risk factor contributions; physical activity tertile comparisons]</w:t>
      </w:r>
    </w:p>
    <w:p>
      <w:pPr>
        <w:spacing w:before="60" w:after="60" w:line="260"/>
        <w:jc w:val="both"/>
      </w:pPr>
      <w:r>
        <w:rPr>
          <w:rFonts w:ascii="Arial" w:cs="Arial" w:eastAsia="Arial" w:hAnsi="Arial"/>
          <w:sz w:val="20"/>
          <w:szCs w:val="20"/>
        </w:rPr>
        <w:t xml:space="preserve">[Ngandu15] T. Ngandu et al., A 2-year multidomain intervention of diet, exercise, cognitive training, and vascular risk monitoring versus control to prevent cognitive decline in at-risk elderly people (FINGER): a randomised controlled trial, Lancet 385 (2015) 2255.</w:t>
      </w:r>
    </w:p>
    <w:p>
      <w:pPr>
        <w:spacing w:before="60" w:after="60" w:line="260"/>
        <w:jc w:val="both"/>
      </w:pPr>
      <w:r>
        <w:rPr>
          <w:rFonts w:ascii="Arial" w:cs="Arial" w:eastAsia="Arial" w:hAnsi="Arial"/>
          <w:sz w:val="20"/>
          <w:szCs w:val="20"/>
        </w:rPr>
        <w:t xml:space="preserve">[Hillman08] C.H. Hillman, K.I. Erickson &amp; A.F. Kramer, Be smart, exercise your heart, Nat Rev Neurosci 9 (2008) 58.</w:t>
      </w:r>
    </w:p>
    <w:p>
      <w:pPr>
        <w:spacing w:before="60" w:after="60" w:line="260"/>
        <w:jc w:val="both"/>
      </w:pPr>
      <w:r>
        <w:rPr>
          <w:rFonts w:ascii="Arial" w:cs="Arial" w:eastAsia="Arial" w:hAnsi="Arial"/>
          <w:sz w:val="20"/>
          <w:szCs w:val="20"/>
        </w:rPr>
        <w:t xml:space="preserve">[Cattaneo17] A. Cattaneo et al., Association of brain amyloidosis with pro-inflammatory gut bacterial taxa in cognitively impaired elderly, Neurobiol Aging 49 (2017) 60.</w:t>
      </w:r>
    </w:p>
    <w:p>
      <w:pPr>
        <w:spacing w:before="60" w:after="60" w:line="260"/>
        <w:jc w:val="both"/>
      </w:pPr>
      <w:r>
        <w:rPr>
          <w:rFonts w:ascii="Arial" w:cs="Arial" w:eastAsia="Arial" w:hAnsi="Arial"/>
          <w:sz w:val="20"/>
          <w:szCs w:val="20"/>
        </w:rPr>
        <w:t xml:space="preserve">[Vogt17] N.M. Vogt et al., Gut microbiome alterations in Alzheimer’s disease, Sci Rep 7 (2017) 13537.</w:t>
      </w:r>
    </w:p>
    <w:p>
      <w:pPr>
        <w:spacing w:before="60" w:after="60" w:line="260"/>
        <w:jc w:val="both"/>
      </w:pPr>
      <w:r>
        <w:rPr>
          <w:rFonts w:ascii="Arial" w:cs="Arial" w:eastAsia="Arial" w:hAnsi="Arial"/>
          <w:sz w:val="20"/>
          <w:szCs w:val="20"/>
        </w:rPr>
        <w:t xml:space="preserve">[Bhatt20] D. Bhatt et al., AQP4 mislocalization in astrocyte endfeet impairs glymphatic function: aging, TBI, and Alzheimer’s disease, Glia 68 (2020). [AQP4 mislocalization mechanism; tau-mediated AQP4 displacement from endfeet]</w:t>
      </w:r>
    </w:p>
    <w:p>
      <w:pPr>
        <w:spacing w:before="60" w:after="60" w:line="260"/>
        <w:jc w:val="both"/>
      </w:pPr>
      <w:r>
        <w:rPr>
          <w:rFonts w:ascii="Arial" w:cs="Arial" w:eastAsia="Arial" w:hAnsi="Arial"/>
          <w:sz w:val="20"/>
          <w:szCs w:val="20"/>
        </w:rPr>
        <w:t xml:space="preserve">[EVOKE25] Novo Nordisk. EVOKE Phase 3 trials did not demonstrate a statistically significant reduction in Alzheimer’s disease progression (topline results). Company press release, November 24, 2025. Not peer-reviewed; no full peer-reviewed trial publication available at time of writing. Results presented at CTAD conference, San Diego, December 1–4, 2025 (Cummings JL et al.). [EVOKE NCT04777396, EVOKE+ NCT04777409; combined n=3,808; oral semaglutide 14 mg vs placebo; primary CDR-SB endpoint not met in either trial; biomarker improvements observed; 1-year extension periods discontinued]</w:t>
      </w:r>
    </w:p>
    <w:p>
      <w:pPr>
        <w:spacing w:before="60" w:after="60"/>
      </w:pPr>
      <w:r>
        <w:rPr>
          <w:rFonts w:ascii="Arial" w:cs="Arial" w:eastAsia="Arial" w:hAnsi="Arial"/>
          <w:sz w:val="22"/>
          <w:szCs w:val="22"/>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2026-03-18T00:09:18.238Z</dcterms:created>
  <dcterms:modified xsi:type="dcterms:W3CDTF">2026-03-18T00:09:18.239Z</dcterms:modified>
</cp:coreProperties>
</file>

<file path=docProps/custom.xml><?xml version="1.0" encoding="utf-8"?>
<Properties xmlns="http://schemas.openxmlformats.org/officeDocument/2006/custom-properties" xmlns:vt="http://schemas.openxmlformats.org/officeDocument/2006/docPropsVTypes"/>
</file>