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0"/>
          <w:szCs w:val="40"/>
        </w:rPr>
        <w:t xml:space="preserve">Why Cancer Returns</w:t>
      </w:r>
    </w:p>
    <w:p>
      <w:pPr>
        <w:jc w:val="center"/>
      </w:pPr>
      <w:r>
        <w:rPr>
          <w:i/>
          <w:iCs/>
          <w:sz w:val="28"/>
          <w:szCs w:val="28"/>
        </w:rPr>
        <w:t xml:space="preserve">The Incomplete Treatment Map and What a Full Surveillance Architecture Requires</w:t>
      </w:r>
    </w:p>
    <w:p>
      <w:r>
        <w:t xml:space="preserve"/>
      </w:r>
    </w:p>
    <w:p>
      <w:pPr>
        <w:jc w:val="center"/>
      </w:pPr>
      <w:r>
        <w:rPr>
          <w:i/>
          <w:iCs/>
          <w:sz w:val="22"/>
          <w:szCs w:val="22"/>
        </w:rPr>
        <w:t xml:space="preserve">Recurrence as Adaptive Selection on an Incompletely Corrected System · Upstream Targets Nobody Manages</w:t>
      </w:r>
    </w:p>
    <w:p>
      <w:pPr>
        <w:jc w:val="center"/>
      </w:pPr>
      <w:r>
        <w:rPr>
          <w:i/>
          <w:iCs/>
          <w:sz w:val="22"/>
          <w:szCs w:val="22"/>
        </w:rPr>
        <w:t xml:space="preserve">Non-Redundant Combination Logic · The Monitoring Gap · What Cascade-Complete Intervention Requires</w:t>
      </w:r>
    </w:p>
    <w:p>
      <w:r>
        <w:t xml:space="preserve"/>
      </w:r>
    </w:p>
    <w:p>
      <w:pPr>
        <w:jc w:val="center"/>
      </w:pPr>
      <w:r>
        <w:rPr>
          <w:b/>
          <w:bCs/>
          <w:sz w:val="24"/>
          <w:szCs w:val="24"/>
        </w:rPr>
        <w:t xml:space="preserve">M. Finnegan</w:t>
      </w:r>
    </w:p>
    <w:p>
      <w:pPr>
        <w:jc w:val="center"/>
      </w:pPr>
      <w:r>
        <w:rPr>
          <w:i/>
          <w:iCs/>
          <w:sz w:val="20"/>
          <w:szCs w:val="20"/>
        </w:rPr>
        <w:t xml:space="preserve">Independent Researcher, Lewes, DE, USA</w:t>
      </w:r>
    </w:p>
    <w:p>
      <w:pPr>
        <w:jc w:val="center"/>
      </w:pPr>
      <w:r>
        <w:rPr>
          <w:sz w:val="20"/>
          <w:szCs w:val="20"/>
        </w:rPr>
        <w:t xml:space="preserve">ORCID: 0009-0009-4921-7722  ·  sykopompos@gmail.com</w:t>
      </w:r>
    </w:p>
    <w:p>
      <w:pPr>
        <w:jc w:val="center"/>
      </w:pPr>
      <w:r>
        <w:rPr>
          <w:i/>
          <w:iCs/>
          <w:sz w:val="18"/>
          <w:szCs w:val="18"/>
        </w:rPr>
        <w:t xml:space="preserve">Preprint — March 2026 · Not yet peer reviewed</w:t>
      </w:r>
    </w:p>
    <w:p>
      <w:r>
        <w:t xml:space="preserve"/>
      </w:r>
    </w:p>
    <w:p>
      <w:pPr>
        <w:pStyle w:val="Heading2"/>
      </w:pPr>
      <w:r>
        <w:rPr>
          <w:b/>
          <w:bCs/>
        </w:rPr>
        <w:t xml:space="preserve">Abstract</w:t>
      </w:r>
    </w:p>
    <w:p>
      <w:pPr>
        <w:spacing w:after="160"/>
      </w:pPr>
      <w:r>
        <w:t xml:space="preserve">Cancer recurrence is substantially mechanistically predictable. It follows from adaptive selection operating on failure cascades that current treatment addresses at one or two nodes while leaving the others intact. This paper maps each standard-of-care intervention against the full surveillance architecture established in Cancer as Surveillance Failure (v1.9) and identifies, for each intervention, the nodes left intact, the predictable failure mode, and what the architecture identifies as missing. Five upstream targets are characterised that current oncology does not manage as primary endpoints: the HPA/cortisol axis, IDO activation state (kynurenine:tryptophan ratio), sympathetic/parasympathetic balance (HRV), mTOR-driven metabolic competition in the tumor microenvironment, and sleep/circadian immune amplitude. A monitoring gap is defined: standard oncology measures downstream tumor output while the upstream parameters that determine whether immune surveillance can operate go untracked. Non-redundant combinations are identified where each component addresses what the other cannot. A cascade-complete intervention architecture is described requiring coordination across oncology, neuroendocrinology, autonomic medicine, sleep medicine, and exercise medicine. Seven prospective trial designs are derived directly from the architecture, each with specified endpoints, stratification criteria, and predicted subgroup effects.</w:t>
      </w:r>
    </w:p>
    <w:p>
      <w:r>
        <w:t xml:space="preserve"/>
      </w:r>
    </w:p>
    <w:p>
      <w:r>
        <w:rPr>
          <w:b/>
          <w:bCs/>
        </w:rPr>
        <w:t xml:space="preserve">Keywords: </w:t>
      </w:r>
      <w:r>
        <w:t xml:space="preserve">cancer recurrence; immune checkpoint blockade; IDO inhibition; HPA axis; sympathetic nervous system; HRV; circadian immunity; exercise oncology; systems oncology; treatment resistance</w:t>
      </w:r>
    </w:p>
    <w:p>
      <w:r>
        <w:t xml:space="preserve"/>
      </w:r>
    </w:p>
    <w:p>
      <w:pPr>
        <w:pStyle w:val="Heading2"/>
      </w:pPr>
      <w:r>
        <w:rPr>
          <w:b/>
          <w:bCs/>
        </w:rPr>
        <w:t xml:space="preserve">Methods and Scope</w:t>
      </w:r>
    </w:p>
    <w:p>
      <w:pPr>
        <w:spacing w:after="160"/>
      </w:pPr>
      <w:r>
        <w:t xml:space="preserve">This paper presents a novel analytical framework applied to cancer recurrence and treatment resistance. The central contribution is structural: a systematic mapping of each current standard-of-care intervention against a unified surveillance architecture, identifying for each the nodes left intact, the predictable failure mode, and the upstream parameters that current oncology does not manage as primary endpoints. Seven prospective trial designs are derived directly from this architecture, each with specified patient populations, endpoints, stratification criteria, feasibility tiers, and predicted subgroup effects. This is a companion paper to Cancer as Surveillance Failure (v1.9), which establishes the underlying architecture. Literature was identified through targeted searches of PubMed and Google Scholar focusing on: cancer recurrence mechanisms, beta-blocker and cancer outcomes, IDO inhibitor trials (ECHO-301/KEYNOTE-252), ICB resistance mechanisms, exercise and immune infiltrate, cortisol and cancer prognosis, OSA and cancer outcomes, and metformin and cancer survival. Evidence is categorised using the same three-tier system as the companion paper (Tier A: replicated, mechanistically confirmed; Tier B: mechanistically supported; Tier C: integrative synthesis). The cascade-complete architecture in §6 is a target map derived from established biology, not a treatment protocol. No new experimental data are reported. This paper is written in the first person throughout; the use of ‘we’ in any quoted literature reflects the original source.</w:t>
      </w:r>
    </w:p>
    <w:p>
      <w:r>
        <w:t xml:space="preserve"/>
      </w:r>
    </w:p>
    <w:p>
      <w:r>
        <w:t xml:space="preserve"/>
      </w:r>
    </w:p>
    <w:p>
      <w:pPr>
        <w:pStyle w:val="Heading1"/>
      </w:pPr>
      <w:r>
        <w:rPr>
          <w:b/>
          <w:bCs/>
        </w:rPr>
        <w:t xml:space="preserve">§1 — Recurrence Is Predictable: Adaptive Selection on an Incompletely Corrected System</w:t>
      </w:r>
    </w:p>
    <w:p>
      <w:pPr>
        <w:spacing w:after="160"/>
      </w:pPr>
      <w:r>
        <w:t xml:space="preserve">Much of cancer recurrence is substantially mechanistically predictable — not simply a matter of chance. It follows as a predictable outcome of adaptive selection operating on a failure cascade that was addressed at one or two nodes while the others remained intact. When oncology removes a tumor, kills dividing cells, blocks an oncogene, or restores an immune checkpoint, it does not restore the surveillance architecture. It removes the most visible expression of the failure while leaving the permissive conditions in place. Tumor evolution continues under the new selection pressure, and the clone that survives the intervention is by definition the one best adapted to evade whatever was applied.</w:t>
      </w:r>
    </w:p>
    <w:p>
      <w:pPr>
        <w:spacing w:after="160"/>
      </w:pPr>
      <w:r>
        <w:t xml:space="preserve">The recurrence timeline encodes the mechanism. Hormone-receptor-positive breast cancer recurring 10–15 years after adjuvant endocrine therapy is not a new cancer — it is a dormant clone that survived under anti-estrogen pressure and re-emerged when surveillance conditions permitted [1]. Castration-resistant prostate cancer emerging within 18–24 months of ADT monotherapy is not treatment failure in the conventional sense — it is AR amplification and AR-V7 splice variant selection under androgen deprivation pressure, exactly as the mechanism predicts [2]. MSI-stable colorectal cancer failing ICB is not ICB failure — it is the structural consequence of a TMB below the recognition threshold; the surveillance gate was never triggered; restoring it did nothing [3].</w:t>
      </w:r>
    </w:p>
    <w:p>
      <w:pPr>
        <w:spacing w:after="160"/>
      </w:pPr>
      <w:r>
        <w:t xml:space="preserve">Each recurrence pattern has a mechanistic reading. The reading requires knowing the full architecture, not just the node that was treated.</w:t>
      </w:r>
    </w:p>
    <w:p>
      <w:pPr>
        <w:spacing w:after="160"/>
      </w:pPr>
      <w:r>
        <w:t xml:space="preserve">This framing is compatible with, and complementary to, the clonal evolution literature. McGranahan and Swanton [21] and the TRACERx consortium [22] have established that tumors are genetically heterogeneous, evolving under Darwinian selection pressure, with branched clonal architecture generating subpopulations with distinct mutational profiles. Under that framework, recurrence reflects the outgrowth of pre-existing resistant subclones that survived treatment. The cascade architecture presented here operates one level upstream: it describes the system-level permissive conditions — immune surveillance capacity, HPA state, IDO activation, sympathetic dominance, metabolic TME — that determine which clones face meaningful selection pressure and which survive in an environment that allows continued proliferation. Clonal heterogeneity explains the molecular identity of the recurrent clone; the cascade architecture explains why the environment remained permissive for it to emerge. Both are necessary; neither is complete without the other.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Recurrence is adaptive selection on an incompletely corrected system. The tumor does not “come back” — the failure state was never fully corrected.</w:t>
            </w:r>
          </w:p>
          <w:p>
            <w:pPr>
              <w:spacing w:after="80"/>
            </w:pPr>
            <w:r>
              <w:rPr>
                <w:sz w:val="20"/>
                <w:szCs w:val="20"/>
              </w:rPr>
              <w:t xml:space="preserve">The dormant clone, the drug-resistant subpopulation, the immune-cold microenvironment — all are predictable from the architecture.</w:t>
            </w:r>
          </w:p>
          <w:p>
            <w:pPr>
              <w:spacing w:after="80"/>
            </w:pPr>
            <w:r>
              <w:rPr>
                <w:sz w:val="20"/>
                <w:szCs w:val="20"/>
              </w:rPr>
              <w:t xml:space="preserve">Understanding recurrence requires mapping what was corrected and what was not, not just cataloguing the molecular profile of the recurrent tumor.</w:t>
            </w:r>
          </w:p>
        </w:tc>
      </w:tr>
    </w:tbl>
    <w:p>
      <w:r>
        <w:t xml:space="preserve"/>
      </w:r>
    </w:p>
    <w:p>
      <w:pPr>
        <w:pStyle w:val="Heading1"/>
      </w:pPr>
      <w:r>
        <w:rPr>
          <w:b/>
          <w:bCs/>
        </w:rPr>
        <w:t xml:space="preserve">§2 — The Incomplete Treatment Map</w:t>
      </w:r>
    </w:p>
    <w:p>
      <w:pPr>
        <w:spacing w:after="160"/>
      </w:pPr>
      <w:r>
        <w:t xml:space="preserve">The table below maps every current standard-of-care intervention against the full surveillance architecture from the companion paper (Cancer as Surveillance Failure, v1.9). For each intervention: what node it addresses, what nodes it leaves intact, the predictable failure mode, and what the architecture says is missing. This is the core of the argument: the failure modes are not surprises — they are the direct consequence of treating one node of a multi-node cascade.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2200"/>
        <w:gridCol w:w="1960"/>
      </w:tblGrid>
      <w:tr>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Intervention</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Node addressed</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Nodes left intact (upstream)</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Predictable failure mode</w:t>
            </w:r>
          </w:p>
        </w:tc>
        <w:tc>
          <w:tcPr>
            <w:tcW w:type="dxa" w:w="1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What the architecture says is missing</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Surgery / debulking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Removes primary tumor mass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Suppressor architecture not restored</w:t>
            </w:r>
          </w:p>
          <w:p>
            <w:pPr>
              <w:spacing w:after="60"/>
            </w:pPr>
            <w:r>
              <w:t xml:space="preserve">TME permissiveness unchanged</w:t>
            </w:r>
          </w:p>
          <w:p>
            <w:pPr>
              <w:spacing w:after="60"/>
            </w:pPr>
            <w:r>
              <w:t xml:space="preserve">Cortisol/HPA not addressed</w:t>
            </w:r>
          </w:p>
          <w:p>
            <w:pPr>
              <w:spacing w:after="60"/>
            </w:pPr>
            <w:r>
              <w:t xml:space="preserve">Sympathetic innervation of remaining tissue intact</w:t>
            </w:r>
          </w:p>
          <w:p>
            <w:pPr>
              <w:spacing w:after="60"/>
            </w:pPr>
            <w:r>
              <w:t xml:space="preserve">IDO/kynurenine not addressed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Microscopic residual disease in permissive TME</w:t>
            </w:r>
          </w:p>
          <w:p>
            <w:pPr>
              <w:spacing w:after="60"/>
            </w:pPr>
            <w:r>
              <w:t xml:space="preserve">Circulating tumor cells (CTCs) already in transit</w:t>
            </w:r>
          </w:p>
          <w:p>
            <w:pPr>
              <w:spacing w:after="60"/>
            </w:pPr>
            <w:r>
              <w:t xml:space="preserve">Systemic stress response to surgery → NE spike → transient pro-metastatic window</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Perioperative β-blocker to block surgical NE spike; pre- and post-operative immune surveillance assessment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Chemotherapy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Kills rapidly dividing cells (non-selective)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Suppressor architecture not restored</w:t>
            </w:r>
          </w:p>
          <w:p>
            <w:pPr>
              <w:spacing w:after="60"/>
            </w:pPr>
            <w:r>
              <w:t xml:space="preserve">Quiescent cancer stem cells survive</w:t>
            </w:r>
          </w:p>
          <w:p>
            <w:pPr>
              <w:spacing w:after="60"/>
            </w:pPr>
            <w:r>
              <w:t xml:space="preserve">TME immunosuppression intact</w:t>
            </w:r>
          </w:p>
          <w:p>
            <w:pPr>
              <w:spacing w:after="60"/>
            </w:pPr>
            <w:r>
              <w:t xml:space="preserve">HPA/cortisol dysregulation worsened (treatment stress)</w:t>
            </w:r>
          </w:p>
          <w:p>
            <w:pPr>
              <w:spacing w:after="60"/>
            </w:pPr>
            <w:r>
              <w:t xml:space="preserve">Microbiome disrupted → IDO ↑ [27]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Resistant clone selection</w:t>
            </w:r>
          </w:p>
          <w:p>
            <w:pPr>
              <w:spacing w:after="60"/>
            </w:pPr>
            <w:r>
              <w:t xml:space="preserve">Cancer stem cell re-seeding</w:t>
            </w:r>
          </w:p>
          <w:p>
            <w:pPr>
              <w:spacing w:after="60"/>
            </w:pPr>
            <w:r>
              <w:t xml:space="preserve">Post-chemo immunosuppression (NK and CTL depleted)</w:t>
            </w:r>
          </w:p>
          <w:p>
            <w:pPr>
              <w:spacing w:after="60"/>
            </w:pPr>
            <w:r>
              <w:t xml:space="preserve">HPA dysregulation → cortisol chronically elevated post-treatment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Immune surveillance monitoring throughout; HPA support; microbiome protection; exercise to counteract chemo-induced immune suppression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Immune checkpoint blockade (ICB)</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Restores immune activation gate (PD-1/PD-L1)</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Requires TMB &gt; TMB_c (cold tumors cannot respond)</w:t>
            </w:r>
          </w:p>
          <w:p>
            <w:pPr>
              <w:spacing w:after="60"/>
            </w:pPr>
            <w:r>
              <w:t xml:space="preserve">Cortisol-mediated NK/CTL suppression not addressed</w:t>
            </w:r>
          </w:p>
          <w:p>
            <w:pPr>
              <w:spacing w:after="60"/>
            </w:pPr>
            <w:r>
              <w:t xml:space="preserve">IDO/kynurenine TME immunosuppression not addressed</w:t>
            </w:r>
          </w:p>
          <w:p>
            <w:pPr>
              <w:spacing w:after="60"/>
            </w:pPr>
            <w:r>
              <w:t xml:space="preserve">Sympathetic DIM polarization not addressed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~80% non-responder rate (cold tumors, TMB &lt; TMB_c)</w:t>
            </w:r>
          </w:p>
          <w:p>
            <w:pPr>
              <w:spacing w:after="60"/>
            </w:pPr>
            <w:r>
              <w:t xml:space="preserve">Primary resistance: immune-excluded or immune-desert tumors</w:t>
            </w:r>
          </w:p>
          <w:p>
            <w:pPr>
              <w:spacing w:after="60"/>
            </w:pPr>
            <w:r>
              <w:t xml:space="preserve">Acquired resistance: antigen loss, MHC-I downregulation, alternative checkpoints (LAG-3, TIM-3, TIGIT)</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Pre-ICB cortisol normalization; HRV-guided sympathetic balance; IDO inhibition to address kynurenine immunosuppression in TME; exercise to warm cold tumors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Anti-estrogen therapy (tamoxifen, AIs)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Removes E2 proliferative drive through ERα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Suppressor architecture not restored (PTEN, p53 still lost)</w:t>
            </w:r>
          </w:p>
          <w:p>
            <w:pPr>
              <w:spacing w:after="60"/>
            </w:pPr>
            <w:r>
              <w:t xml:space="preserve">PI3K/AKT/mTOR downstream of ERα intact in many cases</w:t>
            </w:r>
          </w:p>
          <w:p>
            <w:pPr>
              <w:spacing w:after="60"/>
            </w:pPr>
            <w:r>
              <w:t xml:space="preserve">Bone loss from E2 deprivation not addressed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ESR1 mutations conferring ligand-independent ERα activity (acquired resistance)</w:t>
            </w:r>
          </w:p>
          <w:p>
            <w:pPr>
              <w:spacing w:after="60"/>
            </w:pPr>
            <w:r>
              <w:t xml:space="preserve">PI3K pathway escape (PIK3CA mutation, PTEN loss)</w:t>
            </w:r>
          </w:p>
          <w:p>
            <w:pPr>
              <w:spacing w:after="60"/>
            </w:pPr>
            <w:r>
              <w:t xml:space="preserve">Late recurrence (10–15 yr) from dormant clone re-emergence when systemic conditions permissive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CDK4/6 inhibition downstream; PI3K/mTOR inhibition when PTEN-null co-occurs; long-term systemic surveillance monitoring for late recurrence window</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Androgen deprivation therapy (ADT)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Removes androgen drive through AR (castrate T levels)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AR amplification pathway intact</w:t>
            </w:r>
          </w:p>
          <w:p>
            <w:pPr>
              <w:spacing w:after="60"/>
            </w:pPr>
            <w:r>
              <w:t xml:space="preserve">Intratumoral androgen synthesis possible</w:t>
            </w:r>
          </w:p>
          <w:p>
            <w:pPr>
              <w:spacing w:after="60"/>
            </w:pPr>
            <w:r>
              <w:t xml:space="preserve">AR-V7 (ligand-independent splice variant) not blocked by ADT</w:t>
            </w:r>
          </w:p>
          <w:p>
            <w:pPr>
              <w:spacing w:after="60"/>
            </w:pPr>
            <w:r>
              <w:t xml:space="preserve">Bone loss, metabolic syndrome, cognitive effects not addressed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CRPC emergence (18–24 months median with ADT monotherapy; substantially delayed with triplet combinations, e.g. ARASENS 2022 [18]): AR amplification, AR-V7, intratumoral androgen synthesis</w:t>
            </w:r>
          </w:p>
          <w:p>
            <w:pPr>
              <w:spacing w:after="60"/>
            </w:pPr>
            <w:r>
              <w:t xml:space="preserve">Metabolic syndrome from ADT → insulin resistance → IGF-1/mTOR activation → AR-independent proliferation</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AR-V7 monitoring before second-line; enzalutamide for CRPC; mTOR/PI3K monitoring for AR-independent escape; metabolic syndrome prevention during ADT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Targeted therapy (KRAS, EGFR, HER2)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Blocks specific oncogene or receptor driving proliferation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Parallel pathways intact (RAS has multiple effectors)</w:t>
            </w:r>
          </w:p>
          <w:p>
            <w:pPr>
              <w:spacing w:after="60"/>
            </w:pPr>
            <w:r>
              <w:t xml:space="preserve">Feedback reactivation of blocked pathway</w:t>
            </w:r>
          </w:p>
          <w:p>
            <w:pPr>
              <w:spacing w:after="60"/>
            </w:pPr>
            <w:r>
              <w:t xml:space="preserve">Tumor heterogeneity: resistant subclone pre-exists at low frequency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On-target resistance: secondary mutation in target (T790M in EGFR)</w:t>
            </w:r>
          </w:p>
          <w:p>
            <w:pPr>
              <w:spacing w:after="60"/>
            </w:pPr>
            <w:r>
              <w:t xml:space="preserve">Off-target bypass: PI3K/mTOR activation, MET amplification, KRAS secondary mutation</w:t>
            </w:r>
          </w:p>
          <w:p>
            <w:pPr>
              <w:spacing w:after="60"/>
            </w:pPr>
            <w:r>
              <w:t xml:space="preserve">Clonal evolution selects resistant subclone within 12–18 months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Liquid biopsy monitoring for resistance mutations; combination with downstream mTOR inhibition to close bypass routes; immune surveillance monitoring throughout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Psycho-oncology / stress reduction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Reduces psychological distress; quality of life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Cortisol pathway engaged but not systematically measured</w:t>
            </w:r>
          </w:p>
          <w:p>
            <w:pPr>
              <w:spacing w:after="60"/>
            </w:pPr>
            <w:r>
              <w:t xml:space="preserve">NK cytotoxicity not directly assessed</w:t>
            </w:r>
          </w:p>
          <w:p>
            <w:pPr>
              <w:spacing w:after="60"/>
            </w:pPr>
            <w:r>
              <w:t xml:space="preserve">HPA brake function not monitored</w:t>
            </w:r>
          </w:p>
          <w:p>
            <w:pPr>
              <w:spacing w:after="60"/>
            </w:pPr>
            <w:r>
              <w:t xml:space="preserve">Exercise not integrated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Inconsistent survival benefit in trials: the mechanism is real but the intervention is not targeted to the mechanistic parameters (cortisol AUC, HRV, NK cytotoxicity)</w:t>
            </w:r>
          </w:p>
          <w:p>
            <w:pPr>
              <w:spacing w:after="60"/>
            </w:pPr>
            <w:r>
              <w:t xml:space="preserve">Effect size obscured by not measuring what is actually being changed</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Cortisol diurnal slope + HRV + NK cytotoxicity as primary endpoints in psycho-oncology trials; combine with exercise to maximize HPA normalization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Exercise prescription (when given)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Fitness, fatigue reduction, quality of life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Four immune surveillance channels activated (NK mobilization, HPA normalization, AMPK/mTOR, cholinergic reflex) but not monitored</w:t>
            </w:r>
          </w:p>
          <w:p>
            <w:pPr>
              <w:spacing w:after="60"/>
            </w:pPr>
            <w:r>
              <w:t xml:space="preserve">Rarely integrated with immune assessment or treatment timing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Under-dosed (too low intensity to meaningfully activate AMPK or NK mobilization)</w:t>
            </w:r>
          </w:p>
          <w:p>
            <w:pPr>
              <w:spacing w:after="60"/>
            </w:pPr>
            <w:r>
              <w:t xml:space="preserve">Not timed to treatment cycles for maximum immune support; CHALLENGE RCT (n=889 colon cancer) shows disease-free survival benefit post-chemotherapy [17]</w:t>
            </w:r>
          </w:p>
          <w:p>
            <w:pPr>
              <w:spacing w:after="60"/>
            </w:pPr>
            <w:r>
              <w:t xml:space="preserve">Benefit not measured mechanistically so effect size underestimated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Structured exercise as immune support intervention with dose-response monitoring; NK cytotoxicity and cortisol as outcome measures; timing relative to ICB for pre-sensitization</w:t>
            </w:r>
          </w:p>
        </w:tc>
      </w:tr>
    </w:tbl>
    <w:p>
      <w:r>
        <w:t xml:space="preserve"/>
      </w:r>
    </w:p>
    <w:p>
      <w:pPr>
        <w:spacing w:after="120"/>
      </w:pPr>
      <w:r>
        <w:rPr>
          <w:i/>
          <w:iCs/>
        </w:rPr>
        <w:t xml:space="preserve">Table 1. The incomplete treatment map: each current standard-of-care intervention, the node it addresses, the nodes left intact, the predictable failure mode, and what the surveillance architecture identifies as missing. Failure modes are not surprises — they are structural consequences of treating one node of a multi-node cascade.</w:t>
      </w:r>
    </w:p>
    <w:p>
      <w:r>
        <w:t xml:space="preserve"/>
      </w:r>
    </w:p>
    <w:p>
      <w:pPr>
        <w:pStyle w:val="Heading1"/>
      </w:pPr>
      <w:r>
        <w:rPr>
          <w:b/>
          <w:bCs/>
        </w:rPr>
        <w:t xml:space="preserve">§3 — The Upstream Targets Nobody Manages as Primary</w:t>
      </w:r>
    </w:p>
    <w:p>
      <w:pPr>
        <w:spacing w:after="160"/>
      </w:pPr>
      <w:r>
        <w:t xml:space="preserve">The companion paper (§5–7) established that five system-level parameters directly determine immune surveillance capacity in the tumor microenvironment and in the brain: the HPA/cortisol axis, IDO activation state, sympathetic/parasympathetic balance, mTOR metabolic competition, and sleep/circadian immune amplitude. None of these are managed as primary oncology targets. All of them are managed — if at all — as secondary concerns by specialists who do not communicate with the treating oncologist and who are not using these parameters as oncology endpoints.</w:t>
      </w:r>
    </w:p>
    <w:p>
      <w:pPr>
        <w:pStyle w:val="Heading2"/>
      </w:pPr>
      <w:r>
        <w:rPr>
          <w:b/>
          <w:bCs/>
        </w:rPr>
        <w:t xml:space="preserve">§3.1 The HPA/Cortisol Axis</w:t>
      </w:r>
    </w:p>
    <w:p>
      <w:pPr>
        <w:spacing w:after="160"/>
      </w:pPr>
      <w:r>
        <w:t xml:space="preserve">Cortisol is a dual immune checkpoint suppressor. It suppresses NK cell cytotoxicity (perforin and granzyme B expression reduced), cytotoxic T-cell activity (IL-2 production and proliferation reduced), and antigen presentation (dendritic cell maturation impaired) simultaneously via glucocorticoid receptor signaling [12,26]. These are the same effectors that ICB is trying to activate. A patient with chronically elevated cortisol receiving ICB is operating against the cortisol-mediated suppression simultaneously — the gate has been nominally restored but a separate suppressive force is holding it partially closed.</w:t>
      </w:r>
    </w:p>
    <w:p>
      <w:pPr>
        <w:spacing w:after="160"/>
      </w:pPr>
      <w:r>
        <w:t xml:space="preserve">The HPA brake failure loop (established in §5.3 of the companion paper) makes this self-reinforcing: chronic cortisol → hippocampal damage → subiculum GR downregulation → HPA negative feedback weakens → more cortisol. This loop may run independently of tumor biology once established — the components are characterised individually, but whether tumour removal interrupts it in cancer patients has not been directly demonstrated. Tier B inference from mechanism; downgraded from a definitive claim. Hippocampal health support via exercise-driven DG neurogenesis [4] is mechanistically indicated but not yet formally tested in oncology as a primary endpoint.</w:t>
      </w:r>
    </w:p>
    <w:p>
      <w:pPr>
        <w:spacing w:after="160"/>
      </w:pPr>
      <w:r>
        <w:t xml:space="preserve">Clinical consequence: the architecture predicts that cortisol diurnal slope assessment before ICB initiation should improve response rates — a prospectively testable hypothesis. Patients with a flat diurnal slope (blunted morning peak, elevated evening cortisol) have structurally impaired immune surveillance capacity regardless of their TMB or PD-L1 status. ICB in that context is restoring a gate that is being held closed by a mechanism the treatment does not address.</w:t>
      </w:r>
    </w:p>
    <w:p>
      <w:pPr>
        <w:pStyle w:val="Heading2"/>
      </w:pPr>
      <w:r>
        <w:rPr>
          <w:b/>
          <w:bCs/>
        </w:rPr>
        <w:t xml:space="preserve">§3.2 IDO Activation State</w:t>
      </w:r>
    </w:p>
    <w:p>
      <w:pPr>
        <w:spacing w:after="160"/>
      </w:pPr>
      <w:r>
        <w:t xml:space="preserve">IDO (indoleamine 2,3-dioxygenase) is one of the most potent immune checkpoint mechanisms in the tumor microenvironment — and currently one of the most underutilized targets in the clinic. Tumor cells, tumor-associated macrophages, and dendritic cells under inflammatory cytokine stimulation all upregulate IDO1, which converts tryptophan to kynurenine. This depletes tryptophan — which T cells require for proliferation — and produces kynurenine, which directly suppresses T-cell activation and promotes Treg induction [11]. The result: T cells in an IDO-high TME cannot respond to neoantigens even if they can recognize them.</w:t>
      </w:r>
    </w:p>
    <w:p>
      <w:pPr>
        <w:spacing w:after="160"/>
      </w:pPr>
      <w:r>
        <w:t xml:space="preserve">IDO inhibition (epacadostat) failed in a Phase III trial in combination with pembrolizumab (ECHO-301/KEYNOTE-252) [5]. The failure was widely interpreted as IDO not being a valid target. The architectural reading is different: the trial was not stratified by IDO activation state (kynurenine:tryptophan ratio), which means it combined IDO-high and IDO-low patients indiscriminately. IDO inhibition is only mechanistically relevant in IDO-high tumors. This is the same category error as giving ICB without TMB stratification — treating all patients as if they share the same failure mode. Alternative explanations for the ECHO-301 failure deserve acknowledgment: epacadostat had known pharmacokinetic and pharmacodynamic limitations, with evidence of inadequate target coverage in vivo at the doses used; there may have been off-target immunosuppressive effects from IDO inhibition on regulatory T cells; and the pembrolizumab arm overperformed historical expectations, potentially obscuring modest additive effects. The K:T stratification hypothesis is the most parsimonious explanation if IDO is a genuine tumour-immune evasion mechanism, but it remains unconfirmed in the absence of the K:T subgroup analysis from ECHO-301 data.</w:t>
      </w:r>
    </w:p>
    <w:p>
      <w:pPr>
        <w:spacing w:after="160"/>
      </w:pPr>
      <w:r>
        <w:t xml:space="preserve">The IDO/kynurenine pathway also drives the brain cascade (QUIN-mediated NMDA excitotoxicity and 5-HT depletion, companion paper §5.2). K:T ratio monitoring thus serves two purposes simultaneously: it tracks TME immunosuppression and brain cascade risk in a single measurement.</w:t>
      </w:r>
    </w:p>
    <w:p>
      <w:pPr>
        <w:pStyle w:val="Heading2"/>
      </w:pPr>
      <w:r>
        <w:rPr>
          <w:b/>
          <w:bCs/>
        </w:rPr>
        <w:t xml:space="preserve">§3.3 Sympathetic/Parasympathetic Balance</w:t>
      </w:r>
    </w:p>
    <w:p>
      <w:pPr>
        <w:spacing w:after="160"/>
      </w:pPr>
      <w:r>
        <w:t xml:space="preserve">The sympathetic-parasympathetic balance in the tumor microenvironment determines macrophage polarization, NK cell activity, and angiogenic signaling simultaneously. NE/β-AR drives DIM (pro-tumorigenic) macrophage polarization, VEGF upregulation, and Bcl-2-mediated anoikis resistance [10]. ACh/α7-nAChR drives the cholinergic anti-inflammatory reflex, suppresses TNF-α and IDO activation, and supports anti-tumor macrophage phenotypes. HRV is the non-invasive real-time proxy for this balance.</w:t>
      </w:r>
    </w:p>
    <w:p>
      <w:pPr>
        <w:spacing w:after="160"/>
      </w:pPr>
      <w:r>
        <w:t xml:space="preserve">No oncology protocol currently monitors HRV as a treatment parameter. No oncology protocol adjusts treatment sequencing based on autonomic balance. The beta-blocker data (heterogeneous retrospective) is the closest the field has come to engaging with this axis, and it is not yet at prospective trial stage. Meanwhile, the mechanism is well-characterized and the measurement tool (HRV) is cheaper and less invasive than any biomarker currently used in routine oncology monitoring.</w:t>
      </w:r>
    </w:p>
    <w:p>
      <w:pPr>
        <w:pStyle w:val="Heading2"/>
      </w:pPr>
      <w:r>
        <w:rPr>
          <w:b/>
          <w:bCs/>
        </w:rPr>
        <w:t xml:space="preserve">§3.4 mTOR Metabolic Competition</w:t>
      </w:r>
    </w:p>
    <w:p>
      <w:pPr>
        <w:spacing w:after="160"/>
      </w:pPr>
      <w:r>
        <w:t xml:space="preserve">The Warburg effect is not simply a metabolic curiosity — it is an immune evasion mechanism. Constitutively active mTOR in tumor cells drives high-rate aerobic glycolysis [14,15], producing a lactate-acidified microenvironment. NK cells and T cells are functionally impaired at low pH; their glycolytic metabolism is outcompeted by the tumor’s constitutive mTOR-driven glucose consumption. The result is a metabolically hostile zone that suppresses the very effectors immune surveillance requires.</w:t>
      </w:r>
    </w:p>
    <w:p>
      <w:pPr>
        <w:spacing w:after="160"/>
      </w:pPr>
      <w:r>
        <w:t xml:space="preserve">AMPK activation (via exercise, metformin, or caloric restriction) suppresses mTOR and reverses the metabolic competition asymmetry [13]. Metformin — already in oncology use for its AMPK activation in diabetic cancer patients — has shown survival associations in several cancer types [6], though the mechanistic attribution remains contested. The architecture suggests the relevant pathway is not simply glucose lowering but AMPK-mediated mTOR suppression reducing the metabolic advantage of tumor cells in the TME. This is testable by measuring TME pH, NK cytotoxicity, and T-cell metabolic fitness in metformin vs. non-metformin patients with matched disease characteristics.</w:t>
      </w:r>
    </w:p>
    <w:p>
      <w:pPr>
        <w:pStyle w:val="Heading2"/>
      </w:pPr>
      <w:r>
        <w:rPr>
          <w:b/>
          <w:bCs/>
        </w:rPr>
        <w:t xml:space="preserve">§3.5 Sleep and Circadian Immune Amplitude</w:t>
      </w:r>
    </w:p>
    <w:p>
      <w:pPr>
        <w:spacing w:after="160"/>
      </w:pPr>
      <w:r>
        <w:t xml:space="preserve">The circadian immune amplitude — the day/night oscillation in NK cytotoxicity and T-cell trafficking — is the most completely ignored axis in current oncology. NK cell cytotoxicity peaks during the day; T-cell trafficking and proliferation peak overnight under melatonin entrainment [24,25]. Cancer patients with untreated obstructive sleep apnea, chronic sleep fragmentation from HPA dysregulation, or shift-work history are losing a nightly surveillance peak that is currently invisible to standard monitoring [16].</w:t>
      </w:r>
    </w:p>
    <w:p>
      <w:pPr>
        <w:spacing w:after="160"/>
      </w:pPr>
      <w:r>
        <w:t xml:space="preserve">The NE_tonic mechanism connects this directly to the tumor: tumor-driven LC activation (via IL-1β and CRH) elevates NE_tonic → delays melatonin onset → reduces overnight NK activation → reduces circadian surveillance amplitude. The tumor is actively suppressing its own overnight surveillance through the autonomic-pineal axis — and no oncology protocol screens for this, monitors it, or treats it as a primary endpoint.</w:t>
      </w:r>
    </w:p>
    <w:p>
      <w:pPr>
        <w:spacing w:after="160"/>
      </w:pPr>
      <w:r>
        <w:t xml:space="preserve">Chronotherapy — timing immune-activating interventions (ICB administration, exercise, NK-stimulating agents) to the circadian peak of effector activity — has preclinical support and is an open clinical gap. The architecture predicts that treating OSA in cancer patients would improve immune surveillance capacity and justifies prospective evaluation as an oncological co-intervention rather than solely a quality-of-life measure.</w:t>
      </w:r>
    </w:p>
    <w:p>
      <w:r>
        <w:t xml:space="preserve"/>
      </w:r>
    </w:p>
    <w:p>
      <w:pPr>
        <w:pStyle w:val="Heading1"/>
      </w:pPr>
      <w:r>
        <w:rPr>
          <w:b/>
          <w:bCs/>
        </w:rPr>
        <w:t xml:space="preserve">§4 — The Monitoring Gap: Measuring Downstream While the Upstream Goes Untracked</w:t>
      </w:r>
    </w:p>
    <w:p>
      <w:pPr>
        <w:spacing w:after="160"/>
      </w:pPr>
      <w:r>
        <w:t xml:space="preserve">Standard oncology monitoring tracks tumor response (imaging, tumor markers) and treatment toxicity (blood counts, organ function panels). It does not track the upstream system parameters that determine whether immune surveillance is operating, whether the TME is permissive or hostile, or whether the cascade conditions that permitted initiation have been corrected. The monitoring architecture is inverted: it is measuring the output of the failure cascade while the inputs go untracked.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Parameter</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What it indicates</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Current monitoring status</w:t>
            </w:r>
          </w:p>
        </w:tc>
        <w:tc>
          <w:tcPr>
            <w:tcW w:type="dxa" w:w="2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Clinical consequence of the gap</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Tumor markers (CEA, PSA, CA-125, CA 19-9)</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Tumor burden / recurrence (downstream output)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Routine; well-established</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Recurrence already established by the time marker rises; upstream surveillance failure is not captured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Imaging (CT, PET, MRI)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Tumor anatomical response (downstream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Routine; cycle-based scheduling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Permissive microenvironment invisible to imaging; circulating tumor cells not captured; between-cycle surveillance failure window unmonitored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Cortisol diurnal slope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HPA integrity; NK + CTL suppression load; hippocampal brake function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Not standard; occasional in psycho-oncology research only</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Patients with flat diurnal slope receiving ICB have structurally impaired surveillance capacity; not identified, not addressed. Flat cortisol slope independently predicts earlier mortality in breast cancer (n=104, 7-year follow-up) [23].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Kynurenine:tryptophan (K:T) ratio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IDO activation; T-cell suppression in TME; 5-HT substrate depletion; QUIN arm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Not standard in oncology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IDO-high patients receiving ICB are operating against kynurenine-mediated T-cell suppression that ICB does not address; not identified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HRV (heart rate variability)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Real-time sympathetic/parasympathetic balance; cholinergic anti-inflammatory reflex capacity; β-AR pro-tumorigenic signaling state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Not standard in oncology</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Sympathetically dominant patients (low HRV) have NE-driven DIM macrophage polarization, VEGF upregulation, and reduced cholinergic anti-inflammatory tone; invisible to treatment planning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NK cell cytotoxicity (functional)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Innate surveillance operational capacity — declines before NK number falls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NK number occasionally measured; functional cytotoxicity rarely assessed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Cytotoxicity impairment from cortisol, inactivity, or sleep disruption invisible to standard NK count; surveillance deficit not identified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Circadian immune amplitude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Magnitude of overnight NK and T-cell surveillance peak; melatonin-dependent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Not measured clinically</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Patients with OSA, shift-work history, or tumor-driven NE_tonic elevation lose nightly surveillance peak; currently invisible to oncology. DC circadian trafficking governs CD8+ T cell anti-tumour responses; ICB more effective when synchronised with DC circadian function [24,25].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Liquid biopsy (ctDNA)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Minimal residual disease; emerging resistance mutations; clonal dynamics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Increasingly used; FDA-cleared for select applications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Best current approach to early recurrence detection; still downstream output — does not capture the upstream conditions that will drive recurrence</w:t>
            </w:r>
          </w:p>
        </w:tc>
      </w:tr>
    </w:tbl>
    <w:p>
      <w:r>
        <w:t xml:space="preserve"/>
      </w:r>
    </w:p>
    <w:p>
      <w:pPr>
        <w:spacing w:after="120"/>
      </w:pPr>
      <w:r>
        <w:rPr>
          <w:i/>
          <w:iCs/>
        </w:rPr>
        <w:t xml:space="preserve">Table 2. Current vs. needed monitoring parameters. Standard oncology monitors downstream tumor output. The upstream system parameters that determine whether surveillance is operating, whether the TME is permissive, and whether the conditions for recurrence persist are not currently tracked.</w:t>
      </w:r>
    </w:p>
    <w:p>
      <w:r>
        <w:t xml:space="preserve"/>
      </w:r>
    </w:p>
    <w:p>
      <w:pPr>
        <w:pStyle w:val="Heading1"/>
      </w:pPr>
      <w:r>
        <w:rPr>
          <w:b/>
          <w:bCs/>
        </w:rPr>
        <w:t xml:space="preserve">§5 — Non-Redundant Combination Logic</w:t>
      </w:r>
    </w:p>
    <w:p>
      <w:pPr>
        <w:spacing w:after="160"/>
      </w:pPr>
      <w:r>
        <w:t xml:space="preserve">The most important combinations in oncology are not those that add more of the same mechanism — they are those that address different nodes of the same cascade. The distinction is between additive combinations (two drugs hitting the same pathway — often just more toxicity) and non-redundant combinations (two interventions addressing different cascade nodes, each of which is necessary for the other to work optimally). The architecture identifies the non-redundant combinations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600"/>
        <w:gridCol w:w="2400"/>
        <w:gridCol w:w="1460"/>
      </w:tblGrid>
      <w:tr>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Combination</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Nodes addressed</w:t>
            </w:r>
          </w:p>
        </w:tc>
        <w:tc>
          <w:tcPr>
            <w:tcW w:type="dxa" w:w="2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Why non-redundant (mechanistic)</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Evidence status</w:t>
            </w:r>
          </w:p>
        </w:tc>
        <w:tc>
          <w:tcPr>
            <w:tcW w:type="dxa" w:w="14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Priority</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Exercise + ICB</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NK mobilization + HPA normalization + AMPK/mTOR + cholinergic reflex (exercise); immune gate restoration (ICB)</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Exercise addresses four upstream nodes that determine TME permissiveness (NK cytotoxicity, cortisol suppression, metabolic competition, IDO-reducing cholinergic tone). ICB restores the immune gate. Neither alone addresses what the other addresses.</w:t>
            </w:r>
          </w:p>
          <w:p>
            <w:pPr>
              <w:spacing w:after="60"/>
            </w:pPr>
            <w:r>
              <w:t xml:space="preserve">Exercise may “warm” cold tumors by reducing cortisol-mediated NK suppression + improving metabolic conditions for T-cell function → increasing effective TMB response even without changing TMB itself.</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Preclinical: exercise increases tumor immune infiltrate and ICB efficacy in multiple mouse models (Tier B)</w:t>
            </w:r>
          </w:p>
          <w:p>
            <w:pPr>
              <w:spacing w:after="60"/>
            </w:pPr>
            <w:r>
              <w:t xml:space="preserve">Human observational: physically active cancer patients show better ICB outcomes (confounded)</w:t>
            </w:r>
          </w:p>
          <w:p>
            <w:pPr>
              <w:spacing w:after="60"/>
            </w:pPr>
            <w:r>
              <w:t xml:space="preserve">RCT with immune infiltrate primary endpoint: not yet done</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Highest priority for prospective trial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Cortisol normalization + ICB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HPA/NK suppression removal (cortisol intervention); immune gate restoration (ICB)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Cortisol suppresses NK cytotoxicity and CTL activity via GR. ICB restores the immune checkpoint gate. If cortisol-mediated suppression is active, the restored gate is operating against active suppression.</w:t>
            </w:r>
          </w:p>
          <w:p>
            <w:pPr>
              <w:spacing w:after="60"/>
            </w:pPr>
            <w:r>
              <w:t xml:space="preserve">Cortisol normalization via exercise, sleep improvement, or stress reduction is mechanistically upstream of ICB efficacy — it removes a suppressive force that ICB does not 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Pre-ICB cortisol normalization not tested as a trial arm</w:t>
            </w:r>
          </w:p>
          <w:p>
            <w:pPr>
              <w:spacing w:after="60"/>
            </w:pPr>
            <w:r>
              <w:t xml:space="preserve">HPA normalization measured as ICB outcome modifier: not done</w:t>
            </w:r>
          </w:p>
          <w:p>
            <w:pPr>
              <w:spacing w:after="60"/>
            </w:pPr>
            <w:r>
              <w:t xml:space="preserve">Mechanistically well-grounded (Tier B); prospective evidence absent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High priority</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IDO inhibition + ICB (stratified)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Kynurenine TME suppression (IDO inhibitor); immune gate (ICB)</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IDO inhibition removes kynurenine-mediated T-cell suppression from the TME. ICB restores the PD-1 checkpoint gate. In IDO-high tumors, T cells present in the TME are being suppressed by two independent mechanisms simultaneously; removing one without the other is insufficient.</w:t>
            </w:r>
          </w:p>
          <w:p>
            <w:pPr>
              <w:spacing w:after="60"/>
            </w:pPr>
            <w:r>
              <w:t xml:space="preserve">ECHO-301 failure is most parsimoniously explained by lack of K:T ratio stratification — though this remains unconfirmed without the K:T subgroup analysis.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ECHO-301/KEYNOTE-252: failed without stratification [5]</w:t>
            </w:r>
          </w:p>
          <w:p>
            <w:pPr>
              <w:spacing w:after="60"/>
            </w:pPr>
            <w:r>
              <w:t xml:space="preserve">Retrospective analysis of K:T-high subgroup in ECHO-301: not published</w:t>
            </w:r>
          </w:p>
          <w:p>
            <w:pPr>
              <w:spacing w:after="60"/>
            </w:pPr>
            <w:r>
              <w:t xml:space="preserve">Tier B mechanism; Tier C for stratified efficacy (not tested)</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High priority with K:T stratification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Sleep restoration + any immune intervention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Circadian immune amplitude restoration; NE_tonic normalization (sleep); immune intervention target node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Sleep restoration (OSA treatment, sleep hygiene, NE_tonic reduction) restores the nightly NK activation peak and microglial pruning function. Any immune intervention applied on top of a restored circadian immune amplitude is operating in a more permissive surveillance environment.</w:t>
            </w:r>
          </w:p>
          <w:p>
            <w:pPr>
              <w:spacing w:after="60"/>
            </w:pPr>
            <w:r>
              <w:t xml:space="preserve">Untreated OSA during cancer treatment is suppressing a nightly NK surveillance peak; treating it is removing an active immune suppressor.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OSA treatment as cancer outcome modifier: not systematically studied</w:t>
            </w:r>
          </w:p>
          <w:p>
            <w:pPr>
              <w:spacing w:after="60"/>
            </w:pPr>
            <w:r>
              <w:t xml:space="preserve">Melatonin + tamoxifen improved outcomes in tamoxifen-refractory metastatic breast cancer (phase II RCT [7]); NK/circadian amplitude mechanism is Tier B from preclinical literature</w:t>
            </w:r>
          </w:p>
          <w:p>
            <w:pPr>
              <w:spacing w:after="60"/>
            </w:pPr>
            <w:r>
              <w:t xml:space="preserve">Sleep restoration as ICB pre-sensitizer: not tested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High priority; low barrier to implement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Metformin + ICB</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AMPK/mTOR metabolic competition (metformin); immune gate (ICB)</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Metformin activates AMPK → suppresses mTOR → reduces tumor metabolic dominance → improves TME pH → NK and T cells less metabolically impaired.</w:t>
            </w:r>
          </w:p>
          <w:p>
            <w:pPr>
              <w:spacing w:after="60"/>
            </w:pPr>
            <w:r>
              <w:t xml:space="preserve">ICB restores the gate. Metformin may improve the metabolic conditions under which T cells can operate once the gate is restored.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Retrospective: metformin associated with improved ICB outcomes in diabetic cancer patients (confounded) [6]</w:t>
            </w:r>
          </w:p>
          <w:p>
            <w:pPr>
              <w:spacing w:after="60"/>
            </w:pPr>
            <w:r>
              <w:t xml:space="preserve">MIMETISM trial (metformin + pembrolizumab): ongoing</w:t>
            </w:r>
          </w:p>
          <w:p>
            <w:pPr>
              <w:spacing w:after="60"/>
            </w:pPr>
            <w:r>
              <w:t xml:space="preserve">Mechanistically Tier B; clinical Tier B/C</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Medium-high; trial ongoing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Beta-blocker + ICB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Sympathetic/β-AR pro-tumorigenic signaling (beta-blocker); immune gate (ICB)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Beta-blockade reduces NE → β-AR → DIM macrophage polarization. Shifting the TME macrophage population toward less immunosuppressive phenotypes may improve the TME context in which ICB operates.</w:t>
            </w:r>
          </w:p>
          <w:p>
            <w:pPr>
              <w:spacing w:after="60"/>
            </w:pPr>
            <w:r>
              <w:t xml:space="preserve">Beta-blockade also reduces anoikis resistance (Bcl-2 ↓) and VEGF ↓, which reduces the tumor’s ability to establish new metastatic foci during treatment.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Phase II RCT: propranolol reduces mesenchymal gene expression in breast cancer tumors (Haldar 2020 [19]). COMPIT pilot RCT: perioperative propranolol + etodolac significantly improves 5-year disease-free survival in colorectal cancer (Ricon-Becker 2023 [20]). Heterogeneous retrospective data across cancer types [8].</w:t>
            </w:r>
          </w:p>
          <w:p>
            <w:pPr>
              <w:spacing w:after="60"/>
            </w:pPr>
            <w:r>
              <w:t xml:space="preserve">Beta-blocker + ICB: not formally tested in prospective RCT</w:t>
            </w:r>
          </w:p>
          <w:p>
            <w:pPr>
              <w:spacing w:after="60"/>
            </w:pPr>
            <w:r>
              <w:t xml:space="preserve">Mechanistically Tier B; combination Tier C</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Medium; warrants trial design</w:t>
            </w:r>
          </w:p>
        </w:tc>
      </w:tr>
    </w:tbl>
    <w:p>
      <w:r>
        <w:t xml:space="preserve"/>
      </w:r>
    </w:p>
    <w:p>
      <w:pPr>
        <w:spacing w:after="120"/>
      </w:pPr>
      <w:r>
        <w:rPr>
          <w:i/>
          <w:iCs/>
        </w:rPr>
        <w:t xml:space="preserve">Table 3. Non-redundant combinations: interventions addressing different cascade nodes whose combination is mechanistically synergistic. Each addresses what the other does not. The exercise + ICB combination has the strongest mechanistic case and the largest gap between mechanistic support and prospective evidence.</w:t>
      </w:r>
    </w:p>
    <w:p>
      <w:r>
        <w:t xml:space="preserve"/>
      </w:r>
    </w:p>
    <w:p>
      <w:pPr>
        <w:pStyle w:val="Heading1"/>
      </w:pPr>
      <w:r>
        <w:rPr>
          <w:b/>
          <w:bCs/>
        </w:rPr>
        <w:t xml:space="preserve">§6 — What Cascade-Complete Intervention Requires</w:t>
      </w:r>
    </w:p>
    <w:p>
      <w:pPr>
        <w:spacing w:after="160"/>
      </w:pPr>
      <w:r>
        <w:t xml:space="preserve">A treatment program that addresses the full failure cascade requires coordinating five specialties around a shared target map. Currently those specialties manage their domains in isolation: oncology manages the tumor; psychiatry or psychology manages psychological distress; endocrinology manages hormonal consequences of treatment; sleep medicine manages obstructive sleep apnea (if the patient is referred); physiotherapy prescribes exercise (if the patient is referred). Nobody is managing the cascade.</w:t>
      </w:r>
    </w:p>
    <w:p>
      <w:pPr>
        <w:spacing w:after="160"/>
      </w:pPr>
      <w:r>
        <w:t xml:space="preserve">The cascade-complete target map is not a new therapy. Every intervention it requires already exists. What does not exist is the architecture for deploying them together, in sequence, with shared monitoring endpoints. The figure below is that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2000"/>
        <w:gridCol w:w="1660"/>
      </w:tblGrid>
      <w:tr>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Cascade node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Target parameter</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Intervention</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Monitoring endpoint</w:t>
            </w:r>
          </w:p>
        </w:tc>
        <w:tc>
          <w:tcPr>
            <w:tcW w:type="dxa" w:w="16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Responsible specialty (current)</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HPA / Cortisol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Cortisol diurnal slope; hippocampal HPA brake function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Exercise (DG neurogenesis restoration → HPA brake); sleep quality; psychological support (CBT/MBSR); cortisol-lowering agents in extreme cases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Cortisol AUC; cortisol diurnal slope; NK cytotoxicity (indirect)</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Psycho-oncology; oncology (not integrated)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IDO / Kynurenine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K:T ratio; QUIN:KYNA 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Cholinergic reflex activation (exercise, vagal tone); IDO inhibitors (epacadostat, linrodostat) when K:T elevated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K:T ratio; QUIN:KYNA ratio; T-cell proliferation index</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Nobody (K:T not in standard oncology)</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Sympathetic / Parasympathetic balance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HRV; β-AR signaling state in TME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Exercise (HRV improvement); beta-blockers (propranolol — prospective trial pending); vagal nerve stimulation (experimental); HRV-guided stress reduction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HRV (SDNN, RMSSD); NE levels; DIM macrophage fraction in biopsy (research)</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Cardiology (HRV); nobody in TME context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mTOR metabolic competition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TME pH; AMPK:mTOR ratio; NK and T-cell metabolic fitness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Exercise (AMPK activation); metformin (AMPK, especially in insulin-resistant patients); caloric restriction / intermittent fasting (Tier B/C)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Blood lactate (exercise proxy); HOMA-IR; NK cytotoxicity in metabolic context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Endocrinology (metformin for T2D); exercise medicine (if referred)</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Sleep / Circadian immune amplitude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Circadian immune amplitude; melatonin level; OSA AHI</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OSA treatment (CPAP, GLP-1 agonists for obesity-driven OSA); sleep hygiene; NE_tonic normalization (via exercise and cortisol reduction); melatonin (timing-specific)</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PSG / overnight oximetry; melatonin level; NK cytotoxicity at daytime peak vs overnight nadir (differential)</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Sleep medicine (if referred); nobody in oncology context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Tumor immune gate (checkpoint)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TMB; immune infiltrate (CD8+ TIL, NK); PD-L1 expression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ICB (pembrolizumab, nivolumab, atezolizumab); LAG-3, TIM-3, TIGIT inhibitors for acquired resistance; CAR-T for selected tumors; bispecific antibodies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TMB; immune infiltrate; ctDNA for minimal residual disease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Oncology (primary management)</w:t>
            </w:r>
          </w:p>
        </w:tc>
      </w:tr>
    </w:tbl>
    <w:p>
      <w:r>
        <w:t xml:space="preserve"/>
      </w:r>
    </w:p>
    <w:p>
      <w:pPr>
        <w:spacing w:after="120"/>
      </w:pPr>
      <w:r>
        <w:rPr>
          <w:i/>
          <w:iCs/>
        </w:rPr>
        <w:t xml:space="preserve">Table 4. Cascade-complete intervention architecture. Each row is a cascade node, its target parameter, the available intervention, the monitoring endpoint, and the specialty currently responsible (or not). The coordination gap is visible in the last column: the upstream nodes have fragmented or absent specialty ownership in the oncology context.</w:t>
      </w:r>
    </w:p>
    <w:p>
      <w:r>
        <w:t xml:space="preserve"/>
      </w:r>
    </w:p>
    <w:p>
      <w:pPr>
        <w:pStyle w:val="Heading2"/>
      </w:pPr>
      <w:r>
        <w:rPr>
          <w:b/>
          <w:bCs/>
        </w:rPr>
        <w:t xml:space="preserve">§6.1 Implementation Barriers</w:t>
      </w:r>
    </w:p>
    <w:p>
      <w:pPr>
        <w:spacing w:after="160"/>
      </w:pPr>
      <w:r>
        <w:t xml:space="preserve">The cascade-complete architecture described above does not currently exist for structural reasons beyond institutional inertia. Several barriers are worth naming explicitly. First, reimbursement: none of the upstream interventions — cortisol monitoring, HRV tracking, IDO inhibition, structured exercise as immune support — are reimbursed as oncology endpoints; they sit in separate billing categories across separate specialties. Second, trial infrastructure: multi-modal lifestyle and pharmacological combinations are difficult to randomise and power; FDA and EMA clearance pathways are designed for single-agent or fixed-combination drugs, not for “prescription exercise plus cortisol monitoring plus beta-blocker plus ICB.” Third, pharmaceutical incentives: off-patent drugs like propranolol and metformin, which feature prominently in the non-redundant combination logic, generate no commercial development incentive. The Ricon-Becker COMPIT trial was explicitly noted by its authors to face this barrier. None of these are arguments against the architecture — they are the specific infrastructure problems that would need to be solved to test it. Academic medical centres with integrated supportive care programmes are the most likely early implementation sites.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The cascade-complete program is not oncology plus wellness. It is a structured intervention architecture where each component addresses a different node of a cascade</w:t>
            </w:r>
          </w:p>
          <w:p>
            <w:pPr>
              <w:spacing w:after="80"/>
            </w:pPr>
            <w:r>
              <w:rPr>
                <w:sz w:val="20"/>
                <w:szCs w:val="20"/>
              </w:rPr>
              <w:t xml:space="preserve">that standard treatment leaves largely intact. Exercise is not prescribed for fitness — it addresses HPA normalization, AMPK/mTOR metabolic competition, NK</w:t>
            </w:r>
          </w:p>
          <w:p>
            <w:pPr>
              <w:spacing w:after="80"/>
            </w:pPr>
            <w:r>
              <w:rPr>
                <w:sz w:val="20"/>
                <w:szCs w:val="20"/>
              </w:rPr>
              <w:t xml:space="preserve">mobilization, and cholinergic anti-inflammatory tone simultaneously. Sleep restoration is not prescribed for quality of life — it restores circadian immune</w:t>
            </w:r>
          </w:p>
          <w:p>
            <w:pPr>
              <w:spacing w:after="80"/>
            </w:pPr>
            <w:r>
              <w:rPr>
                <w:sz w:val="20"/>
                <w:szCs w:val="20"/>
              </w:rPr>
              <w:t xml:space="preserve">amplitude and NE_tonic normalization that the tumor has been suppressing. Cortisol monitoring is not psycho-oncology — it is immune surveillance capacity</w:t>
            </w:r>
          </w:p>
          <w:p>
            <w:pPr>
              <w:spacing w:after="80"/>
            </w:pPr>
            <w:r>
              <w:rPr>
                <w:sz w:val="20"/>
                <w:szCs w:val="20"/>
              </w:rPr>
              <w:t xml:space="preserve">monitoring that predicts whether ICB can work. The architecture already exists. The coordination infrastructure does not.</w:t>
            </w:r>
          </w:p>
        </w:tc>
      </w:tr>
    </w:tbl>
    <w:p>
      <w:r>
        <w:t xml:space="preserve"/>
      </w:r>
    </w:p>
    <w:p>
      <w:pPr>
        <w:pStyle w:val="Heading1"/>
      </w:pPr>
      <w:r>
        <w:rPr>
          <w:b/>
          <w:bCs/>
        </w:rPr>
        <w:t xml:space="preserve">§7 — Open Gaps and Testable Predictions</w:t>
      </w:r>
    </w:p>
    <w:p>
      <w:pPr>
        <w:pStyle w:val="Heading2"/>
      </w:pPr>
      <w:r>
        <w:rPr>
          <w:b/>
          <w:bCs/>
        </w:rPr>
        <w:t xml:space="preserve">§7.1 Priority Trials the Architecture Predicts</w:t>
      </w:r>
    </w:p>
    <w:p>
      <w:pPr>
        <w:spacing w:after="160"/>
      </w:pPr>
      <w:r>
        <w:t xml:space="preserve">The following trials are directly generated by the cascade architecture. They are not exploratory — each has a mechanistic basis that specifies the expected result, the direction of effect, and the patient subgroup in which the effect should be largest. Trials are labelled by feasibility tier: Near-term = deployable with existing infrastructure and assays; Medium-term = requires assay standardisation or new stratification frameworks; Aspirational = requires multi-site coordination and serial multi-parameter collection.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3000"/>
        <w:gridCol w:w="4260"/>
      </w:tblGrid>
      <w:tr>
        <w:tc>
          <w:tcPr>
            <w:tcW w:type="dxa" w:w="3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Name</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Design</w:t>
            </w:r>
          </w:p>
        </w:tc>
        <w:tc>
          <w:tcPr>
            <w:tcW w:type="dxa" w:w="42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Predicted result and subgroup</w:t>
            </w:r>
          </w:p>
        </w:tc>
      </w:tr>
      <w:tr>
        <w:tc>
          <w:tcPr>
            <w:tcW w:type="dxa" w:w="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P1</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Exercise as ICB pre-sensitizer (Near-term)</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Structured exercise program (12 weeks, moderate-high intensity) before ICB initiation vs. ICB alone in TMB-intermediate patients (5–15 mut/Mb)</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Higher immune infiltrate (CD8+ TIL, NK density) in exercise arm; higher ICB response rate; lower cortisol AUC; higher HRV. Effect largest in patients with lowest baseline NK cytotoxicity.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P2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Cortisol normalization + ICB (Near-term)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Pre-ICB cortisol normalization program (exercise + CBT/MBSR, 8 weeks) vs. immediate ICB in patients with flat cortisol diurnal slope (morning/evening ratio &lt;1.5)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Higher ICB response rate in normalization arm; mechanism tracked via NK cytotoxicity recovery as intermediate endpoint.</w:t>
            </w:r>
          </w:p>
        </w:tc>
      </w:tr>
      <w:tr>
        <w:tc>
          <w:tcPr>
            <w:tcW w:type="dxa" w:w="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K:T-stratified IDO inhibition + ICB (Medium-term)</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Epacadostat or linrodostat + pembrolizumab in K:T-high patients (≥1.5× normal) vs. pembrolizumab alone</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Response rate improvement in K:T-high subgroup; no difference in K:T-normal subgroup. This is the ECHO-301 post-hoc design that was never run.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P4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OSA treatment as immune intervention (Near-term)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CPAP initiation in cancer patients with untreated OSA vs. no-CPAP control; primary endpoint NK cytotoxicity at 3 and 6 months; secondary endpoint immune infiltrate at 6 months biopsy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NK cytotoxicity improvement with CPAP; daytime NK cytotoxicity:overnight nadir ratio improvement; correlates with melatonin level restoration.</w:t>
            </w:r>
          </w:p>
        </w:tc>
      </w:tr>
      <w:tr>
        <w:tc>
          <w:tcPr>
            <w:tcW w:type="dxa" w:w="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P5</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Metformin + ICB, metabolic stratification (Medium-term)</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Metformin + ICB vs. ICB alone in non-diabetic cancer patients; stratify by insulin resistance index (HOMA-IR) at baseline</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Response rate improvement in HOMA-IR-elevated subgroup; mechanism via AMPK-mediated NK cytotoxicity improvement in metabolically hostile TME.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P6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Comprehensive upstream monitoring panel (Aspirational)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Prospective cohort study: TMB + K:T ratio + cortisol diurnal slope + HRV + NK cytotoxicity measured at baseline and q3 months in cancer patients receiving standard of care; primary endpoint recurrence-free survival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Upstream panel predicts recurrence before tumor markers rise; cortisol slope and NK cytotoxicity are independent predictors of recurrence beyond standard prognostic factors.</w:t>
            </w:r>
          </w:p>
        </w:tc>
      </w:tr>
      <w:tr>
        <w:tc>
          <w:tcPr>
            <w:tcW w:type="dxa" w:w="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P7</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Perioperative β-blockade (Near-term, Phase III)</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Propranolol perioperatively (7 days pre- through 30 days post-surgery) in high-risk solid tumors (melanoma, breast, colon) vs. placebo; primary endpoint metastasis-free survival at 5 years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Phase II RCT (Haldar 2020) showed preoperative propranolol reduced mesenchymal gene expression in breast cancer [19]. The COMPIT pilot RCT (Ricon-Becker 2023) showed significant 5-year DFS improvement in colorectal cancer [20]. Effect largest in patients with high perioperative sympathetic activity; powered Phase III trial warranted.</w:t>
            </w:r>
          </w:p>
        </w:tc>
      </w:tr>
    </w:tbl>
    <w:p>
      <w:r>
        <w:t xml:space="preserve"/>
      </w:r>
    </w:p>
    <w:p>
      <w:pPr>
        <w:pStyle w:val="Heading2"/>
      </w:pPr>
      <w:r>
        <w:rPr>
          <w:b/>
          <w:bCs/>
        </w:rPr>
        <w:t xml:space="preserve">§7.2 Open Mechanistic Gaps</w:t>
      </w:r>
    </w:p>
    <w:p>
      <w:pPr>
        <w:pStyle w:val="ListParagraph"/>
        <w:numPr>
          <w:ilvl w:val="0"/>
          <w:numId w:val="2"/>
        </w:numPr>
      </w:pPr>
      <w:r>
        <w:t xml:space="preserve">The quantitative weight of each exercise channel (NK mobilization, HPA normalization, AMPK/mTOR, cholinergic reflex) on immune infiltrate outcome is not characterized. Exercise dose-response for each channel independently is unknown.</w:t>
      </w:r>
    </w:p>
    <w:p>
      <w:pPr>
        <w:pStyle w:val="ListParagraph"/>
        <w:numPr>
          <w:ilvl w:val="0"/>
          <w:numId w:val="2"/>
        </w:numPr>
      </w:pPr>
      <w:r>
        <w:t xml:space="preserve">The K:T threshold for IDO-driven ICB resistance has not been formally established. The ECHO-301 K:T subgroup data has not been published; that analysis would substantially clarify whether K:T stratification rescues IDO inhibitor efficacy.</w:t>
      </w:r>
    </w:p>
    <w:p>
      <w:pPr>
        <w:pStyle w:val="ListParagraph"/>
        <w:numPr>
          <w:ilvl w:val="0"/>
          <w:numId w:val="2"/>
        </w:numPr>
      </w:pPr>
      <w:r>
        <w:t xml:space="preserve">Circadian immune amplitude measurement has no standardized clinical protocol. The relevant assay (NK cytotoxicity at circadian peak vs. nadir) is not part of any clinical workflow.</w:t>
      </w:r>
    </w:p>
    <w:p>
      <w:pPr>
        <w:pStyle w:val="ListParagraph"/>
        <w:numPr>
          <w:ilvl w:val="0"/>
          <w:numId w:val="2"/>
        </w:numPr>
      </w:pPr>
      <w:r>
        <w:t xml:space="preserve">The NE_tonic / melatonin / NK activation chain in cancer patients specifically has not been measured as a connected cascade. Each link has been studied independently; the quantitative cascade from tumor-driven LC activation to NK suppression has not been traced in human subjects.</w:t>
      </w:r>
    </w:p>
    <w:p>
      <w:pPr>
        <w:pStyle w:val="ListParagraph"/>
        <w:numPr>
          <w:ilvl w:val="0"/>
          <w:numId w:val="2"/>
        </w:numPr>
      </w:pPr>
      <w:r>
        <w:t xml:space="preserve">The perioperative NE spike magnitude and its effect on CTC survival is documented in animal models [9]; prospective human measurement in the perioperative window with concurrent CTC quantification has not been done.</w:t>
      </w:r>
    </w:p>
    <w:p>
      <w:pPr>
        <w:pStyle w:val="ListParagraph"/>
        <w:numPr>
          <w:ilvl w:val="0"/>
          <w:numId w:val="2"/>
        </w:numPr>
      </w:pPr>
      <w:r>
        <w:t xml:space="preserve">Cascade-complete vs. standard treatment: no trial has enrolled patients to receive the full upstream intervention package (exercise + cortisol monitoring + HRV-guided autonomic intervention + OSA treatment + metabolic monitoring) alongside standard oncology, powered for survival outcomes.</w:t>
      </w:r>
    </w:p>
    <w:p>
      <w:r>
        <w:t xml:space="preserve"/>
      </w:r>
    </w:p>
    <w:p>
      <w:pPr>
        <w:pStyle w:val="Heading1"/>
      </w:pPr>
      <w:r>
        <w:rPr>
          <w:b/>
          <w:bCs/>
        </w:rPr>
        <w:t xml:space="preserve">Acknowledgments</w:t>
      </w:r>
    </w:p>
    <w:p>
      <w:pPr>
        <w:spacing w:after="160"/>
      </w:pPr>
      <w:r>
        <w:t xml:space="preserve">This work originated as part of an independent project to build a biologically accurate cross-system simulation of the brain and body. The problem that motivated it is the same problem this paper addresses: most biological research is siloed, and a system that models the whole requires the connections that siloed literature does not provide. These papers are an attempt to make those connections explicit. The biological claims are derived entirely from the published primary literature cited in the references; the contribution is the synthesis. Research files associated with this project are publicly available at github.com/Sykopompos/Research-stuff. Tools used: Claude.ai for writing and research synthesis; citation verification cross-checked against primary literature throughout. AI-generated content is verified independently against primary sources — claims that do not hold up are corrected or cut.</w:t>
      </w:r>
    </w:p>
    <w:p>
      <w:r>
        <w:t xml:space="preserve"/>
      </w:r>
    </w:p>
    <w:p>
      <w:pPr>
        <w:pStyle w:val="Heading1"/>
      </w:pPr>
      <w:r>
        <w:rPr>
          <w:b/>
          <w:bCs/>
        </w:rPr>
        <w:t xml:space="preserve">§8 — References</w:t>
      </w:r>
    </w:p>
    <w:p>
      <w:pPr>
        <w:spacing w:after="60"/>
      </w:pPr>
      <w:r>
        <w:rPr>
          <w:sz w:val="18"/>
          <w:szCs w:val="18"/>
        </w:rPr>
        <w:t xml:space="preserve">[1] K. Pan et al. 20-year risks of breast-cancer recurrence after stopping endocrine therapy at 5 years. NEJM 377 (2017) 1836–1846.</w:t>
      </w:r>
    </w:p>
    <w:p>
      <w:pPr>
        <w:spacing w:after="60"/>
      </w:pPr>
      <w:r>
        <w:rPr>
          <w:sz w:val="18"/>
          <w:szCs w:val="18"/>
        </w:rPr>
        <w:t xml:space="preserve">[2] K. Fizazi et al. Enzalutamide with standard first-line therapy in metastatic prostate cancer. NEJM 381 (2019) 1311–1323.</w:t>
      </w:r>
    </w:p>
    <w:p>
      <w:pPr>
        <w:spacing w:after="60"/>
      </w:pPr>
      <w:r>
        <w:rPr>
          <w:sz w:val="18"/>
          <w:szCs w:val="18"/>
        </w:rPr>
        <w:t xml:space="preserve">[3] M. Yarchoan et al. Tumor mutational burden and response to PD-1 blockade. NEJM Evid 1 (2022) EVIDoa2200070.</w:t>
      </w:r>
    </w:p>
    <w:p>
      <w:pPr>
        <w:spacing w:after="60"/>
      </w:pPr>
      <w:r>
        <w:rPr>
          <w:sz w:val="18"/>
          <w:szCs w:val="18"/>
        </w:rPr>
        <w:t xml:space="preserve">[4] C.W. Cotman and N.C. Berchtold. Exercise: a behavioral intervention to enhance brain health and plasticity. Trends Neurosci 25 (2002) 295–301. [Exercise-driven hippocampal neurogenesis via BDNF; foundational reference for exercise → DG neurogenesis → HPA brake restoration]</w:t>
      </w:r>
    </w:p>
    <w:p>
      <w:pPr>
        <w:spacing w:after="60"/>
      </w:pPr>
      <w:r>
        <w:rPr>
          <w:sz w:val="18"/>
          <w:szCs w:val="18"/>
        </w:rPr>
        <w:t xml:space="preserve">[5] G.V. Long et al. Epacadostat plus pembrolizumab versus placebo plus pembrolizumab in patients with unresectable or metastatic melanoma (ECHO-301/KEYNOTE-252): a phase 3, randomised, double-blind study. Lancet Oncol 20 (2019) 1083–1097.</w:t>
      </w:r>
    </w:p>
    <w:p>
      <w:pPr>
        <w:spacing w:after="60"/>
      </w:pPr>
      <w:r>
        <w:rPr>
          <w:sz w:val="18"/>
          <w:szCs w:val="18"/>
        </w:rPr>
        <w:t xml:space="preserve">[6] M. Laleh et al. Metformin effects on recurrence and overall survival in cancer patients with type 2 diabetes. Sci Rep 12 (2022) 8156.</w:t>
      </w:r>
    </w:p>
    <w:p>
      <w:pPr>
        <w:spacing w:after="60"/>
      </w:pPr>
      <w:r>
        <w:rPr>
          <w:sz w:val="18"/>
          <w:szCs w:val="18"/>
        </w:rPr>
        <w:t xml:space="preserve">[7] P. Lissoni et al. Modulation of cancer endocrine therapy by melatonin: a phase II study of tamoxifen plus melatonin in metastatic breast cancer patients progressing under tamoxifen alone. Br J Cancer 71 (1995) 854–856.</w:t>
      </w:r>
    </w:p>
    <w:p>
      <w:pPr>
        <w:spacing w:after="60"/>
      </w:pPr>
      <w:r>
        <w:rPr>
          <w:sz w:val="18"/>
          <w:szCs w:val="18"/>
        </w:rPr>
        <w:t xml:space="preserve">[8] N. Botteri et al. β-blockers and breast cancer survival: a meta-analysis. JNCI 105 (2013) 1497–1505.</w:t>
      </w:r>
    </w:p>
    <w:p>
      <w:pPr>
        <w:spacing w:after="60"/>
      </w:pPr>
      <w:r>
        <w:rPr>
          <w:sz w:val="18"/>
          <w:szCs w:val="18"/>
        </w:rPr>
        <w:t xml:space="preserve">[9] E. Neeman and S. Ben-Eliyahu. Surgery and stress promote cancer metastasis: new outlooks on perioperative mediating mechanisms and immune involvement. Brain Behav Immun 30 Suppl (2013) S32–S40. [Perioperative NE spike and CTC survival in animal models; catecholamines facilitate pro-metastatic processes]</w:t>
      </w:r>
    </w:p>
    <w:p>
      <w:pPr>
        <w:spacing w:after="60"/>
      </w:pPr>
      <w:r>
        <w:rPr>
          <w:sz w:val="18"/>
          <w:szCs w:val="18"/>
        </w:rPr>
        <w:t xml:space="preserve">[10] S.W. Cole et al. Sympathetic nervous system regulation of the tumour microenvironment. Nat Rev Cancer 15 (2015) 563–572.</w:t>
      </w:r>
    </w:p>
    <w:p>
      <w:pPr>
        <w:spacing w:after="60"/>
      </w:pPr>
      <w:r>
        <w:rPr>
          <w:sz w:val="18"/>
          <w:szCs w:val="18"/>
        </w:rPr>
        <w:t xml:space="preserve">[11] M. Platten et al. Tryptophan metabolism as a common therapeutic target in cancer, neurodegeneration and beyond. Nat Rev Drug Discov 18 (2019) 379–401.</w:t>
      </w:r>
    </w:p>
    <w:p>
      <w:pPr>
        <w:spacing w:after="60"/>
      </w:pPr>
      <w:r>
        <w:rPr>
          <w:sz w:val="18"/>
          <w:szCs w:val="18"/>
        </w:rPr>
        <w:t xml:space="preserve">[12] S.K. Lutgendorf et al. Social influences on clinical outcomes of patients with ovarian cancer. J Clin Oncol 30 (2012) 2885–2893.</w:t>
      </w:r>
    </w:p>
    <w:p>
      <w:pPr>
        <w:spacing w:after="60"/>
      </w:pPr>
      <w:r>
        <w:rPr>
          <w:sz w:val="18"/>
          <w:szCs w:val="18"/>
        </w:rPr>
        <w:t xml:space="preserve">[13] L. Pedersen &amp; B.K. Pedersen. Exercise as medicine. Scand J Med Sci Sports 25 (2015) 1–72.</w:t>
      </w:r>
    </w:p>
    <w:p>
      <w:pPr>
        <w:spacing w:after="60"/>
      </w:pPr>
      <w:r>
        <w:rPr>
          <w:sz w:val="18"/>
          <w:szCs w:val="18"/>
        </w:rPr>
        <w:t xml:space="preserve">[14] D. Hanahan. Hallmarks of cancer: new dimensions. Cancer Discov 12 (2022) 31–46.</w:t>
      </w:r>
    </w:p>
    <w:p>
      <w:pPr>
        <w:spacing w:after="60"/>
      </w:pPr>
      <w:r>
        <w:rPr>
          <w:sz w:val="18"/>
          <w:szCs w:val="18"/>
        </w:rPr>
        <w:t xml:space="preserve">[15] M. Laplante &amp; D.M. Sabatini. mTOR signaling in growth control and disease. Cell 149 (2012) 274–293.</w:t>
      </w:r>
    </w:p>
    <w:p>
      <w:pPr>
        <w:spacing w:after="60"/>
      </w:pPr>
      <w:r>
        <w:rPr>
          <w:sz w:val="18"/>
          <w:szCs w:val="18"/>
        </w:rPr>
        <w:t xml:space="preserve">[16] J.E. Bower. Cancer-related fatigue — mechanisms, risk factors, and treatments. Nat Rev Clin Oncol 11 (2014) 597–609.</w:t>
      </w:r>
    </w:p>
    <w:p>
      <w:pPr>
        <w:spacing w:after="60"/>
      </w:pPr>
      <w:r>
        <w:rPr>
          <w:sz w:val="18"/>
          <w:szCs w:val="18"/>
        </w:rPr>
        <w:t xml:space="preserve">[17] K.S. Courneya et al. (CHALLENGE) Exercise and disease-free survival in stage II/III colon cancer: a randomized trial. JAMA Oncol 9 (2023) doi:10.1001/jamaoncol.2023.1126.</w:t>
      </w:r>
    </w:p>
    <w:p>
      <w:pPr>
        <w:spacing w:after="60"/>
      </w:pPr>
      <w:r>
        <w:rPr>
          <w:sz w:val="18"/>
          <w:szCs w:val="18"/>
        </w:rPr>
        <w:t xml:space="preserve">[18] M.D. Smith et al. (ARASENS) Darolutamide and survival in metastatic, castration-sensitive prostate cancer. NEJM 386 (2022) 1132–1142.</w:t>
      </w:r>
    </w:p>
    <w:p>
      <w:pPr>
        <w:spacing w:after="60"/>
      </w:pPr>
      <w:r>
        <w:rPr>
          <w:sz w:val="18"/>
          <w:szCs w:val="18"/>
        </w:rPr>
        <w:t xml:space="preserve">[19] R. Haldar et al. Preoperative β-blockade with propranolol reduces biomarkers of metastasis in breast cancer: a Phase II randomized trial. Clin Cancer Res 26 (2020) 1803–1813. [n=60 triple-blind RCT; propranolol downregulated mesenchymal gene expression, improved NK cell and dendritic cell recruitment]</w:t>
      </w:r>
    </w:p>
    <w:p>
      <w:pPr>
        <w:spacing w:after="60"/>
      </w:pPr>
      <w:r>
        <w:rPr>
          <w:sz w:val="18"/>
          <w:szCs w:val="18"/>
        </w:rPr>
        <w:t xml:space="preserve">[20] I. Ricon-Becker et al. (COMPIT trial) Perioperative propranolol and etodolac: pilot RCT, 5-year disease-free survival improvement in colorectal cancer. Eur J Surg Oncol 49 (2023) 426–432.</w:t>
      </w:r>
    </w:p>
    <w:p>
      <w:pPr>
        <w:spacing w:after="60"/>
      </w:pPr>
      <w:r>
        <w:rPr>
          <w:sz w:val="18"/>
          <w:szCs w:val="18"/>
        </w:rPr>
        <w:t xml:space="preserve">[21] N. McGranahan and C. Swanton. Clonal heterogeneity and tumor evolution: past, present, and the future. Cell 168 (2017) 613–628.</w:t>
      </w:r>
    </w:p>
    <w:p>
      <w:pPr>
        <w:spacing w:after="60"/>
      </w:pPr>
      <w:r>
        <w:rPr>
          <w:sz w:val="18"/>
          <w:szCs w:val="18"/>
        </w:rPr>
        <w:t xml:space="preserve">[22] M. Jamal-Hanjani et al. (TRACERx) Tracking the evolution of non-small-cell lung cancer. NEJM 376 (2017) 2109–2121.</w:t>
      </w:r>
    </w:p>
    <w:p>
      <w:pPr>
        <w:spacing w:after="60"/>
      </w:pPr>
      <w:r>
        <w:rPr>
          <w:sz w:val="18"/>
          <w:szCs w:val="18"/>
        </w:rPr>
        <w:t xml:space="preserve">[23] S.E. Sephton et al. Diurnal cortisol rhythm as a predictor of breast cancer survival. JNCI 92 (2000) 994–1000.</w:t>
      </w:r>
    </w:p>
    <w:p>
      <w:pPr>
        <w:spacing w:after="60"/>
      </w:pPr>
      <w:r>
        <w:rPr>
          <w:sz w:val="18"/>
          <w:szCs w:val="18"/>
        </w:rPr>
        <w:t xml:space="preserve">[24] C. Wang et al. (Scheiermann lab) Dendritic cells direct circadian anti-tumour immune responses. Nature 614 (2023) 136–143.</w:t>
      </w:r>
    </w:p>
    <w:p>
      <w:pPr>
        <w:spacing w:after="60"/>
      </w:pPr>
      <w:r>
        <w:rPr>
          <w:sz w:val="18"/>
          <w:szCs w:val="18"/>
        </w:rPr>
        <w:t xml:space="preserve">[25] R. Pick et al. Time-of-day-dependent trafficking and function of leukocyte subsets. Trends Immunol 40 (2019) 524–537.</w:t>
      </w:r>
    </w:p>
    <w:p>
      <w:pPr>
        <w:spacing w:after="60"/>
      </w:pPr>
      <w:r>
        <w:rPr>
          <w:sz w:val="18"/>
          <w:szCs w:val="18"/>
        </w:rPr>
        <w:t xml:space="preserve">[26] D.A. Padgett and R. Glaser. How stress influences the immune response. Trends Immunol 24 (2003) 444–448. [Glucocorticoid receptor signaling; cortisol mechanism of NK and T-cell suppression]</w:t>
      </w:r>
    </w:p>
    <w:p>
      <w:pPr>
        <w:spacing w:after="60"/>
      </w:pPr>
      <w:r>
        <w:rPr>
          <w:sz w:val="18"/>
          <w:szCs w:val="18"/>
        </w:rPr>
        <w:t xml:space="preserve">[27] B. Routy et al. Gut microbiome influences efficacy of PD-1-based immunotherapy against epithelial tumors. Science 359 (2018) 91–97. [Antibiotic-induced dysbiosis reduces ICB efficacy; microbiome modulates anti-tumor immunity]</w:t>
      </w:r>
    </w:p>
    <w:p>
      <w:r>
        <w:t xml:space="preserve"/>
      </w:r>
    </w:p>
    <w:p>
      <w:pPr>
        <w:jc w:val="center"/>
      </w:pPr>
      <w:r>
        <w:rPr>
          <w:i/>
          <w:iCs/>
          <w:sz w:val="18"/>
          <w:szCs w:val="18"/>
        </w:rPr>
        <w:t xml:space="preserve">v1.2 — March 2026 — 27 references. Companion to Cancer as Surveillance Failure v1.9. Table 3 ECHO-301 claim softened to match body text; [7] Lissoni table description corrected; incomplete treatment map, monitoring gap, non-redundant combination logic, cascade-complete architecture, seven trial designs with feasibility tiers; all 27 references cited inline; clinical imperative language reframed as prospective predictions.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3D6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2026-03-16T21:23:27.315Z</dcterms:created>
  <dcterms:modified xsi:type="dcterms:W3CDTF">2026-03-16T21:23:27.316Z</dcterms:modified>
</cp:coreProperties>
</file>

<file path=docProps/custom.xml><?xml version="1.0" encoding="utf-8"?>
<Properties xmlns="http://schemas.openxmlformats.org/officeDocument/2006/custom-properties" xmlns:vt="http://schemas.openxmlformats.org/officeDocument/2006/docPropsVTypes"/>
</file>