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C3E6B"/>
          <w:sz w:val="52"/>
          <w:szCs w:val="52"/>
        </w:rPr>
        <w:t xml:space="preserve">The Major Non-Alzheimer’s Dementias:</w:t>
      </w:r>
    </w:p>
    <w:p>
      <w:pPr>
        <w:spacing w:before="0" w:after="200"/>
        <w:jc w:val="center"/>
      </w:pPr>
      <w:r>
        <w:rPr>
          <w:rFonts w:ascii="Arial" w:cs="Arial" w:eastAsia="Arial" w:hAnsi="Arial"/>
          <w:b/>
          <w:bCs/>
          <w:color w:val="2C3E6B"/>
          <w:sz w:val="36"/>
          <w:szCs w:val="36"/>
        </w:rPr>
        <w:t xml:space="preserve">Vascular, Lewy Body, and Frontotemporal Dementia</w:t>
      </w:r>
    </w:p>
    <w:p>
      <w:pPr>
        <w:spacing w:before="0" w:after="80"/>
        <w:jc w:val="center"/>
      </w:pPr>
      <w:r>
        <w:rPr>
          <w:rFonts w:ascii="Arial" w:cs="Arial" w:eastAsia="Arial" w:hAnsi="Arial"/>
          <w:i/>
          <w:iCs/>
          <w:color w:val="555555"/>
          <w:sz w:val="24"/>
          <w:szCs w:val="24"/>
        </w:rPr>
        <w:t xml:space="preserve">Mechanism · Cross-Systems Architecture · Hormonal Dynamics · Sleep and Glymphatic · Gut-Brain Axis · Exercise Channels</w:t>
      </w:r>
    </w:p>
    <w:p>
      <w:pPr>
        <w:spacing w:before="80" w:after="80"/>
      </w:pPr>
      <w:r>
        <w:rPr>
          <w:sz w:val="22"/>
          <w:szCs w:val="22"/>
        </w:rPr>
        <w:t xml:space="preserve"/>
      </w:r>
    </w:p>
    <w:p>
      <w:pPr>
        <w:spacing w:before="0" w:after="60"/>
        <w:jc w:val="center"/>
      </w:pPr>
      <w:r>
        <w:rPr>
          <w:rFonts w:ascii="Arial" w:cs="Arial" w:eastAsia="Arial" w:hAnsi="Arial"/>
          <w:sz w:val="22"/>
          <w:szCs w:val="22"/>
        </w:rPr>
        <w:t xml:space="preserve">M. Finnegan · ORCID: 0009-0009-4921-7722</w:t>
      </w:r>
    </w:p>
    <w:p>
      <w:pPr>
        <w:spacing w:before="0" w:after="60"/>
        <w:jc w:val="center"/>
      </w:pPr>
      <w:r>
        <w:rPr>
          <w:rFonts w:ascii="Arial" w:cs="Arial" w:eastAsia="Arial" w:hAnsi="Arial"/>
          <w:color w:val="888888"/>
          <w:sz w:val="22"/>
          <w:szCs w:val="22"/>
        </w:rPr>
        <w:t xml:space="preserve">v1.5 — March 2026 · Preprint · Not yet peer reviewed</w:t>
      </w:r>
    </w:p>
    <w:p>
      <w:r>
        <w:br w:type="page"/>
      </w:r>
    </w:p>
    <w:p>
      <w:pPr>
        <w:pStyle w:val="Heading1"/>
        <w:spacing w:before="300" w:after="120"/>
      </w:pPr>
      <w:r>
        <w:rPr>
          <w:rFonts w:ascii="Arial" w:cs="Arial" w:eastAsia="Arial" w:hAnsi="Arial"/>
          <w:b/>
          <w:bCs/>
          <w:sz w:val="32"/>
          <w:szCs w:val="32"/>
        </w:rPr>
        <w:t xml:space="preserve">Abstract</w:t>
      </w:r>
    </w:p>
    <w:p>
      <w:pPr>
        <w:spacing w:before="80" w:after="80" w:line="276"/>
        <w:jc w:val="both"/>
      </w:pPr>
      <w:r>
        <w:rPr>
          <w:rFonts w:ascii="Arial" w:cs="Arial" w:eastAsia="Arial" w:hAnsi="Arial"/>
          <w:sz w:val="22"/>
          <w:szCs w:val="22"/>
        </w:rPr>
        <w:t xml:space="preserve">Alzheimer’s disease accounts for roughly 60–70% of dementia diagnoses, but three other major syndromes — vascular dementia (VaD), Lewy body disease (DLB/PDD), and frontotemporal dementia (FTD) — together account for most of the remainder and represent mechanistically distinct failure modes. This paper provides full cross-system mechanistic treatment of these three conditions as a companion to the Alzheimer’s Disease paper in this series. Vascular dementia fails through direct neurovascular unit injury — the endothelial repair capacity (k_endo) and pericyte integrity thresholds from cardiovascular medicine apply directly; the 2023 LACI-2 trial and 2024 PlGF biomarker work represent the most important recent advances. Lewy body disease shares the locus coeruleus depletion axis with AD; new 2024–2025 biological staging frameworks (NSD-ISS) define the disease biologically, but alpha-synuclein SAA positivity is found in only approximately 68% of clinically diagnosed DLB cases, revealing substantial pathological heterogeneity that must inform trial design. Frontotemporal dementia is primarily cell-intrinsic and genetically driven; the most important advance since 2023 is the identification of cryptic HDGFL2 as the first fluid biomarker of TDP-43 loss-of-function detectable presymptomatically, and the discovery that TDP-43 mislocalisation disrupts KCNQ2 potassium channel splicing to produce neuronal hyperexcitability. The hormonal, sleep-glymphatic, gut-brain, and exercise architectures apply to all three conditions but with different mechanistic primacy: primary in VaD (cardiovascular and hormonal), central in DLB (LC-glymphatic chain and gut-first propagation), and adjunctive in FTD. Mixed pathology is the rule after age 75.</w:t>
      </w:r>
    </w:p>
    <w:p>
      <w:r>
        <w:br w:type="page"/>
      </w:r>
    </w:p>
    <w:p>
      <w:pPr>
        <w:pStyle w:val="Heading1"/>
        <w:spacing w:before="300" w:after="120"/>
      </w:pPr>
      <w:r>
        <w:rPr>
          <w:rFonts w:ascii="Arial" w:cs="Arial" w:eastAsia="Arial" w:hAnsi="Arial"/>
          <w:b/>
          <w:bCs/>
          <w:sz w:val="32"/>
          <w:szCs w:val="32"/>
        </w:rPr>
        <w:t xml:space="preserve">1. Introduction and Scope</w:t>
      </w:r>
    </w:p>
    <w:p>
      <w:pPr>
        <w:spacing w:before="80" w:after="80" w:line="276"/>
        <w:jc w:val="both"/>
      </w:pPr>
      <w:r>
        <w:rPr>
          <w:rFonts w:ascii="Arial" w:cs="Arial" w:eastAsia="Arial" w:hAnsi="Arial"/>
          <w:sz w:val="22"/>
          <w:szCs w:val="22"/>
        </w:rPr>
        <w:t xml:space="preserve">Dementia is not a single disease. It is a syndrome — a final common pathway of sufficient cognitive decline to impair daily function — that can result from multiple distinct pathological processes. Alzheimer’s disease dominates the epidemiology, accounting for approximately 60–70% of diagnoses in community samples, but this figure conflates clinical diagnosis with neuropathology: autopsy studies consistently show that fewer than 50% of dementia cases in individuals over age 75 have ‘pure’ AD pathology. The majority have mixed pathology — AD plus cerebrovascular disease being the most common combination, followed by AD plus Lewy body pathology.</w:t>
      </w:r>
    </w:p>
    <w:p>
      <w:pPr>
        <w:spacing w:before="80" w:after="80" w:line="276"/>
        <w:jc w:val="both"/>
      </w:pPr>
      <w:r>
        <w:rPr>
          <w:rFonts w:ascii="Arial" w:cs="Arial" w:eastAsia="Arial" w:hAnsi="Arial"/>
          <w:sz w:val="22"/>
          <w:szCs w:val="22"/>
        </w:rPr>
        <w:t xml:space="preserve">The three conditions examined here present distinct mechanistic challenges. Vascular dementia (VaD) is the most amenable to prevention via established risk factor management yet paradoxically the most underserved in drug development, with no approved disease-modifying therapy beyond cardiovascular risk reduction. Lewy body disease — encompassing dementia with Lewy bodies (DLB) and Parkinson’s disease dementia (PDD) — shares key biological machinery with AD but requires substantially different clinical management, including recognition of life-threatening neuroleptic sensitivity. Frontotemporal dementia (FTD) is the most common dementia in individuals under 60, is strongly genetic in a large fraction of cases, and represents a mechanistically different class of failure whose most promising therapeutics — progranulin replacement, ASO-based gene silencing — are largely irrelevant to AD.</w:t>
      </w:r>
    </w:p>
    <w:p>
      <w:pPr>
        <w:spacing w:before="80" w:after="80" w:line="276"/>
        <w:jc w:val="both"/>
      </w:pPr>
      <w:r>
        <w:rPr>
          <w:rFonts w:ascii="Arial" w:cs="Arial" w:eastAsia="Arial" w:hAnsi="Arial"/>
          <w:sz w:val="22"/>
          <w:szCs w:val="22"/>
        </w:rPr>
        <w:t xml:space="preserve">This paper applies the same cross-systems analytical framework used in the companion Alzheimer’s Disease paper. Each condition is examined across: the primary failure mechanism; the cardiovascular and neurovascular interface; the hormonal architecture and sex differences; the sleep and glymphatic contribution; the gut-brain axis; the exercise and musculoskeletal signalling channels; the neurochemistry of failure; and the current state of biomarker development and therapeutic pipeline. New findings from 2023–2025 are incorporated and flagged throughout.</w:t>
      </w:r>
    </w:p>
    <w:p>
      <w:pPr>
        <w:pStyle w:val="Heading1"/>
        <w:spacing w:before="300" w:after="120"/>
      </w:pPr>
      <w:r>
        <w:rPr>
          <w:rFonts w:ascii="Arial" w:cs="Arial" w:eastAsia="Arial" w:hAnsi="Arial"/>
          <w:b/>
          <w:bCs/>
          <w:sz w:val="32"/>
          <w:szCs w:val="32"/>
        </w:rPr>
        <w:t xml:space="preserve">2. Approach to the Literature</w:t>
      </w:r>
    </w:p>
    <w:p>
      <w:pPr>
        <w:spacing w:before="80" w:after="80" w:line="276"/>
        <w:jc w:val="both"/>
      </w:pPr>
      <w:r>
        <w:rPr>
          <w:rFonts w:ascii="Arial" w:cs="Arial" w:eastAsia="Arial" w:hAnsi="Arial"/>
          <w:sz w:val="22"/>
          <w:szCs w:val="22"/>
        </w:rPr>
        <w:t xml:space="preserve">This paper is a mechanistic integrative review. Literature was identified through structured PubMed and Google Scholar searches, targeted review of major dementia consortium outputs (Lewy Body Dementia Association, FTD Disorders Registry, VCID consortia), and review of major conference outputs from CTAD (December 2025) and AAN (2024–2025). Evidence tiers: Tier A — replicated in humans with mechanistic confirmation; Tier B — mechanistically supported with human correlates, requiring further replication; Tier C — integrative synthesis where individual components are supported but the combined claim exceeds any single study. Tier assignments are operational, not formal GRADE assessments. The evidence base for all three conditions is substantially thinner than for AD, and this is explicitly acknowledged at each stage.</w:t>
      </w:r>
    </w:p>
    <w:p>
      <w:pPr>
        <w:pStyle w:val="Heading1"/>
        <w:spacing w:before="300" w:after="120"/>
      </w:pPr>
      <w:r>
        <w:rPr>
          <w:rFonts w:ascii="Arial" w:cs="Arial" w:eastAsia="Arial" w:hAnsi="Arial"/>
          <w:b/>
          <w:bCs/>
          <w:sz w:val="32"/>
          <w:szCs w:val="32"/>
        </w:rPr>
        <w:t xml:space="preserve">3. Vascular Dementia and Vascular Cognitive Impairment</w:t>
      </w:r>
    </w:p>
    <w:p>
      <w:pPr>
        <w:pStyle w:val="Heading2"/>
        <w:spacing w:before="240" w:after="100"/>
      </w:pPr>
      <w:r>
        <w:rPr>
          <w:rFonts w:ascii="Arial" w:cs="Arial" w:eastAsia="Arial" w:hAnsi="Arial"/>
          <w:b/>
          <w:bCs/>
          <w:sz w:val="28"/>
          <w:szCs w:val="28"/>
        </w:rPr>
        <w:t xml:space="preserve">3.1 Definition and Classification</w:t>
      </w:r>
    </w:p>
    <w:p>
      <w:pPr>
        <w:spacing w:before="80" w:after="80" w:line="276"/>
        <w:jc w:val="both"/>
      </w:pPr>
      <w:r>
        <w:rPr>
          <w:rFonts w:ascii="Arial" w:cs="Arial" w:eastAsia="Arial" w:hAnsi="Arial"/>
          <w:sz w:val="22"/>
          <w:szCs w:val="22"/>
        </w:rPr>
        <w:t xml:space="preserve">Vascular dementia (VaD) is the second most common cause of dementia after AD, accounting for approximately 15–20% of cases in Western populations and historically higher rates in East Asian populations. The broader category of vascular cognitive impairment (VCI) encompasses the full spectrum from mild vascular cognitive impairment through VaD. Classification has historically been inconsistent; the NINDS-CSN harmonisation criteria (Hachinski et al., 2006) and subsequent STRIVE imaging standards have improved comparability across cohorts.</w:t>
      </w:r>
    </w:p>
    <w:p>
      <w:pPr>
        <w:spacing w:before="80" w:after="80" w:line="276"/>
        <w:jc w:val="both"/>
      </w:pPr>
      <w:r>
        <w:rPr>
          <w:rFonts w:ascii="Arial" w:cs="Arial" w:eastAsia="Arial" w:hAnsi="Arial"/>
          <w:sz w:val="22"/>
          <w:szCs w:val="22"/>
        </w:rPr>
        <w:t xml:space="preserve">VaD encompasses multiple subtypes: post-stroke dementia following a single strategic infarct (thalamus, caudate, angular gyrus) or multiple cortical infarcts; subcortical ischaemic vascular dementia (SIVD) from small vessel disease affecting deep white matter and basal ganglia; cerebral amyloid angiopathy (CAA) from amyloid deposition in vessel walls producing lobar microbleeds and cortical superficial siderosis; and mixed dementia combining vascular and AD pathology. SIVD with white matter hyperintensities (WMH) is the most common subtype encountered clinically. A critical recognition: cerebrovascular disease is not merely comorbid with AD — it actively contributes to AD pathology accumulation by impairing the convective clearance mechanisms that depend on arterial pulsatility and glymphatic flow, making VaD and AD more mechanistically intertwined than clinically distinct.</w:t>
      </w:r>
    </w:p>
    <w:p>
      <w:pPr>
        <w:pStyle w:val="Heading2"/>
        <w:spacing w:before="240" w:after="100"/>
      </w:pPr>
      <w:r>
        <w:rPr>
          <w:rFonts w:ascii="Arial" w:cs="Arial" w:eastAsia="Arial" w:hAnsi="Arial"/>
          <w:b/>
          <w:bCs/>
          <w:sz w:val="28"/>
          <w:szCs w:val="28"/>
        </w:rPr>
        <w:t xml:space="preserve">3.2 Primary Failure Mode: NVU Injury and the k_endo Threshold</w:t>
      </w:r>
    </w:p>
    <w:p>
      <w:pPr>
        <w:spacing w:before="80" w:after="80" w:line="276"/>
        <w:jc w:val="both"/>
      </w:pPr>
      <w:r>
        <w:rPr>
          <w:rFonts w:ascii="Arial" w:cs="Arial" w:eastAsia="Arial" w:hAnsi="Arial"/>
          <w:sz w:val="22"/>
          <w:szCs w:val="22"/>
        </w:rPr>
        <w:t xml:space="preserve">[Tier A] The fundamental lesion in VaD is injury to the neurovascular unit (NVU) — the functional complex of neurons, astrocytes, pericytes, and endothelial cells that maintains the blood-brain barrier, regulates cerebral blood flow, and couples metabolic demand to perfusion. Unlike AD, where the primary failure is clearance-threshold crossing, VaD involves direct structural injury to the NVU through ischaemia, vessel stenosis, lacunar infarction, and white matter rarefaction. Two mechanistically distinct thresholds define the vascular contribution to dementia, analogous to the k_endo and k_cardiac thresholds in the systemic cardiovascular system.</w:t>
      </w:r>
    </w:p>
    <w:p>
      <w:pPr>
        <w:spacing w:before="80" w:after="80" w:line="276"/>
        <w:jc w:val="both"/>
      </w:pPr>
      <w:r>
        <w:rPr>
          <w:rFonts w:ascii="Arial" w:cs="Arial" w:eastAsia="Arial" w:hAnsi="Arial"/>
          <w:sz w:val="22"/>
          <w:szCs w:val="22"/>
        </w:rPr>
        <w:t xml:space="preserve">[Tier A] The endothelial repair capacity threshold (k_endo): the net ability of the cerebrovascular endothelium to maintain NO production, tight junction integrity, and barrier function. In the cerebral microvasculature, eNOS activity depends on BH4 (tetrahydrobiopterin) availability. Under oxidative stress BH4 is depleted and eNOS uncouples, producing superoxide instead of NO — converting the primary endothelial protective enzyme into an oxidative stress amplifier. The self-reinforcing cycle is: oxidative stress depletes BH4 → uncoupled eNOS produces superoxide → further BH4 depletion → less NO → tight junction protein degradation (ZO-1, occludin, claudin-5) → BBB permeability increase.</w:t>
      </w:r>
    </w:p>
    <w:p>
      <w:pPr>
        <w:spacing w:before="80" w:after="80" w:line="276"/>
        <w:jc w:val="both"/>
      </w:pPr>
      <w:r>
        <w:rPr>
          <w:rFonts w:ascii="Arial" w:cs="Arial" w:eastAsia="Arial" w:hAnsi="Arial"/>
          <w:sz w:val="22"/>
          <w:szCs w:val="22"/>
        </w:rPr>
        <w:t xml:space="preserve">Hypertension accelerates this via angiotensin II AT1R activation on brain endothelial cells, upregulating NADPH oxidase and reducing eNOS-dependent NO. Once eNOS uncoupling begins it self-sustains: the oxidative products of uncoupled eNOS further deplete BH4, deepening the uncoupling. This is the mechanistic reason why treating hypertension alone — without addressing the underlying endothelial oxidative state — does not fully reverse established NVU injury [Pantoni10, ZlokovicBV].</w:t>
      </w:r>
    </w:p>
    <w:p>
      <w:pPr>
        <w:spacing w:before="80" w:after="80" w:line="276"/>
        <w:jc w:val="both"/>
      </w:pPr>
      <w:r>
        <w:rPr>
          <w:rFonts w:ascii="Arial" w:cs="Arial" w:eastAsia="Arial" w:hAnsi="Arial"/>
          <w:sz w:val="22"/>
          <w:szCs w:val="22"/>
        </w:rPr>
        <w:t xml:space="preserve">[Tier A] The pericyte integrity threshold: pericytes are among the first NVU cells to degenerate in response to amyloid accumulation around vessels and in response to chronic hypertension. Pericyte loss reduces support for tight junctions and increases BBB permeability, allowing plasma proteins including fibrinogen (activating TLR4 and NLRP3 on microglia), thrombin, and albumin to enter the parenchyma, triggering neuroinflammation. CSF PDGFR-β elevation — a pericyte injury marker — is detectable in MCI and correlates prospectively with BBB breakdown and cognitive decline (Nation et al., Nat Med 2019) [Montagne20]. The combination of eNOS uncoupling and pericyte loss produces a BBB failing simultaneously from both sides — a dual vulnerability that makes NVU failure self-accelerating above a cumulative damage threshold.</w:t>
      </w:r>
    </w:p>
    <w:p>
      <w:pPr>
        <w:spacing w:before="80" w:after="80" w:line="276"/>
        <w:jc w:val="both"/>
      </w:pPr>
      <w:r>
        <w:rPr>
          <w:rFonts w:ascii="Arial" w:cs="Arial" w:eastAsia="Arial" w:hAnsi="Arial"/>
          <w:sz w:val="22"/>
          <w:szCs w:val="22"/>
        </w:rPr>
        <w:t xml:space="preserve">[Tier B] White matter hyperintensities on T2/FLAIR MRI represent the most accessible imaging biomarker of cerebrovascular disease burden. WMH volume predicts cognitive decline, dementia conversion, and mortality independently of cortical atrophy. Mechanistically, WMH are heterogeneous: chronic hypoperfusion, axonal injury, demyelination (oligodendrocyte vulnerability to ischaemia), and glial scarring contribute in variable proportions. A 2025 plasma proteomics advance: oligodendrocyte myelin glycoprotein (OMG) and neuronal pentraxin receptor (NPTXR) in plasma are associated with WMH volume in CADASIL and age-related SVD cohorts, suggesting myelin and synaptic biomarkers may track disease progression before imaging changes become apparent [VCID25].</w:t>
      </w:r>
    </w:p>
    <w:p>
      <w:pPr>
        <w:spacing w:before="80" w:after="80" w:line="276"/>
        <w:jc w:val="both"/>
      </w:pPr>
      <w:r>
        <w:rPr>
          <w:rFonts w:ascii="Arial" w:cs="Arial" w:eastAsia="Arial" w:hAnsi="Arial"/>
          <w:sz w:val="22"/>
          <w:szCs w:val="22"/>
        </w:rPr>
        <w:t xml:space="preserve">[Tier B] Cerebral hypoperfusion precedes cognitive decline by years in longitudinal imaging studies. Reduced cerebral blood flow impairs neuronal energy supply and, critically, impairs the convective clearance of metabolic waste products including amyloid-β. Arterial pulsatility — generated by systolic cardiac output transmission into the cerebrovascular bed — is the primary mechanical driver of glymphatic CSF influx through perivascular spaces. Vascular stiffening from atherosclerosis and hypertension dampens this pulsatility, reducing the driving force for perivascular exchange. This is how VaD accelerates amyloid accumulation: both conditions converge at the shared bottleneck of glymphatic clearance capacity.</w:t>
      </w:r>
    </w:p>
    <w:p>
      <w:pPr>
        <w:pStyle w:val="Heading2"/>
        <w:spacing w:before="240" w:after="100"/>
      </w:pPr>
      <w:r>
        <w:rPr>
          <w:rFonts w:ascii="Arial" w:cs="Arial" w:eastAsia="Arial" w:hAnsi="Arial"/>
          <w:b/>
          <w:bCs/>
          <w:sz w:val="28"/>
          <w:szCs w:val="28"/>
        </w:rPr>
        <w:t xml:space="preserve">3.3 Genetic Architecture: CADASIL and Related Monogenic Forms</w:t>
      </w:r>
    </w:p>
    <w:p>
      <w:pPr>
        <w:spacing w:before="80" w:after="80" w:line="276"/>
        <w:jc w:val="both"/>
      </w:pPr>
      <w:r>
        <w:rPr>
          <w:rFonts w:ascii="Arial" w:cs="Arial" w:eastAsia="Arial" w:hAnsi="Arial"/>
          <w:sz w:val="22"/>
          <w:szCs w:val="22"/>
        </w:rPr>
        <w:t xml:space="preserve">[Tier A] Cerebral autosomal dominant arteriopathy with subcortical infarcts and leukoencephalopathy (CADASIL) is the most common monogenic cause of hereditary stroke and vascular dementia. Caused by pathogenic NOTCH3 variants affecting cysteine residue counts in EGF-like repeats of the NOTCH3 extracellular domain (N3ECD), this leads to N3ECD accumulation in vessel walls, smooth muscle cell degeneration, and arteriopathy of small penetrating arteries. CADASIL typically presents in the 30s–40s with migraine with aura, followed by recurrent subcortical ischaemic events and progressive cognitive decline. Diagnostic gold standard: skin biopsy showing granular osmiophilic material (GOM) on electron microscopy or NOTCH3 gene sequencing; plasma N3ECD is emerging as a disease-activity blood biomarker.</w:t>
      </w:r>
    </w:p>
    <w:p>
      <w:pPr>
        <w:spacing w:before="80" w:after="80" w:line="276"/>
        <w:jc w:val="both"/>
      </w:pPr>
      <w:r>
        <w:rPr>
          <w:rFonts w:ascii="Arial" w:cs="Arial" w:eastAsia="Arial" w:hAnsi="Arial"/>
          <w:sz w:val="22"/>
          <w:szCs w:val="22"/>
        </w:rPr>
        <w:t xml:space="preserve">[Tier B] CARASIL (HTRA1 mutations, autosomal recessive), hereditary cerebral haemorrhage with amyloidosis-Dutch type (APP mutations), COL4A1/COL4A2 mutations (collagen IV basement membrane deficiency), and Fabry disease (GLA mutations, α-galactosidase A deficiency with glycosphingolipid accumulation in vessel walls) are additional monogenic causes of heritable cerebrovascular dementia. Each is rare but provides clean human models of specific vascular failure modes; enzyme replacement therapy in Fabry disease and HTRA1-pathway targeting in CARASIL are informing the broader SVD therapeutic field.</w:t>
      </w:r>
    </w:p>
    <w:p>
      <w:pPr>
        <w:pStyle w:val="Heading2"/>
        <w:spacing w:before="240" w:after="100"/>
      </w:pPr>
      <w:r>
        <w:rPr>
          <w:rFonts w:ascii="Arial" w:cs="Arial" w:eastAsia="Arial" w:hAnsi="Arial"/>
          <w:b/>
          <w:bCs/>
          <w:sz w:val="28"/>
          <w:szCs w:val="28"/>
        </w:rPr>
        <w:t xml:space="preserve">3.4 Cardiovascular System Interface: Full Risk Architecture</w:t>
      </w:r>
    </w:p>
    <w:p>
      <w:pPr>
        <w:spacing w:before="80" w:after="80" w:line="276"/>
        <w:jc w:val="both"/>
      </w:pPr>
      <w:r>
        <w:rPr>
          <w:rFonts w:ascii="Arial" w:cs="Arial" w:eastAsia="Arial" w:hAnsi="Arial"/>
          <w:sz w:val="22"/>
          <w:szCs w:val="22"/>
        </w:rPr>
        <w:t xml:space="preserve">[Tier A] The peripheral risk factor architecture for VaD overlaps almost completely with AD: hypertension is the strongest modifiable risk factor (~20% population-attributable fraction); type 2 diabetes confers ~2-fold increased VaD risk; dyslipidaemia, smoking, atrial fibrillation, OSA, and physical inactivity are all established. In VaD the mechanistic pathways are more direct than in AD: hypertension causes arterial stiffening, reduced cerebral autoregulation, small vessel damage, and lacunar infarction through well-characterised haemodynamic and structural mechanisms.</w:t>
      </w:r>
    </w:p>
    <w:p>
      <w:pPr>
        <w:spacing w:before="80" w:after="80" w:line="276"/>
        <w:jc w:val="both"/>
      </w:pPr>
      <w:r>
        <w:rPr>
          <w:rFonts w:ascii="Arial" w:cs="Arial" w:eastAsia="Arial" w:hAnsi="Arial"/>
          <w:sz w:val="22"/>
          <w:szCs w:val="22"/>
        </w:rPr>
        <w:t xml:space="preserve">[Tier A] The baroreflex architecture links cardiac output directly to cerebral perfusion: carotid sinus and aortic arch baroreceptors detect MAP via CN IX/X afferents to NTS → CVLM → RVLM, modifying cardiac and renal sympathetic tone simultaneously. Baroreflex gain reduction — an early feature of chronic hypertension — permits greater MAP variability, directly increasing cerebrovascular wall stress. Atrial fibrillation impairs baroreflex by producing irregular cardiac output and confers approximately 1.3–1.4-fold increased dementia risk after controlling for stroke in the most rigorous stroke-adjusted meta-analyses (stroke-independent HR 1.28, 95% CI 1.17–1.41 in one pooled analysis; 1.4, 1.1–1.7 in another), suggesting mechanisms beyond embolic infarction: chronic cerebral hypoperfusion from reduced cardiac output and shared neuroinflammatory pathways via sustained RAAS activation [VaD24].</w:t>
      </w:r>
    </w:p>
    <w:p>
      <w:pPr>
        <w:spacing w:before="80" w:after="80" w:line="276"/>
        <w:jc w:val="both"/>
      </w:pPr>
      <w:r>
        <w:rPr>
          <w:rFonts w:ascii="Arial" w:cs="Arial" w:eastAsia="Arial" w:hAnsi="Arial"/>
          <w:sz w:val="22"/>
          <w:szCs w:val="22"/>
        </w:rPr>
        <w:t xml:space="preserve">[Tier A] SPRINT MIND demonstrated that intensive systolic BP control (target &lt;120 vs standard &lt;140 mmHg) did not significantly reduce the primary dementia endpoint (HR 0.83, 95% CI 0.67–1.04, p=0.10; trial terminated early for cardiovascular benefit, likely underpowered for the dementia endpoint) but significantly reduced MCI (HR 0.81, p=0.01) and the composite MCI-or-dementia endpoint (HR 0.85, p=0.006). The WMH substudy showed significantly less white matter hyperintensity accumulation in the intensive arm, providing direct mechanistic support for the vascular pathway [SPRINTMIND19].</w:t>
      </w:r>
    </w:p>
    <w:p>
      <w:pPr>
        <w:spacing w:before="80" w:after="80" w:line="276"/>
        <w:jc w:val="both"/>
      </w:pPr>
      <w:r>
        <w:rPr>
          <w:rFonts w:ascii="Arial" w:cs="Arial" w:eastAsia="Arial" w:hAnsi="Arial"/>
          <w:sz w:val="22"/>
          <w:szCs w:val="22"/>
        </w:rPr>
        <w:t xml:space="preserve">[Tier B] The LACI-2 trial (JAMA Neurology 2023) randomised participants with symptomatic cerebral SVD to isosorbide mononitrate (a NO donor targeting eNOS-independent NO pathway), cilostazol (a PDE III inhibitor with anti-platelet and cerebrovascular effects), both, or neither. Both were safe and tolerable in combination. Not powered for cognitive endpoints but established safety for mechanism-based combination targeting of eNOS-independent vasodilation and platelet reactivity in lacunar SVD. These are the first mechanism-targeted SVD interventions beyond BP control [LACI2_23].</w:t>
      </w:r>
    </w:p>
    <w:p>
      <w:pPr>
        <w:pStyle w:val="Heading2"/>
        <w:spacing w:before="240" w:after="100"/>
      </w:pPr>
      <w:r>
        <w:rPr>
          <w:rFonts w:ascii="Arial" w:cs="Arial" w:eastAsia="Arial" w:hAnsi="Arial"/>
          <w:b/>
          <w:bCs/>
          <w:sz w:val="28"/>
          <w:szCs w:val="28"/>
        </w:rPr>
        <w:t xml:space="preserve">3.5 Hormonal Architecture in VaD</w:t>
      </w:r>
    </w:p>
    <w:p>
      <w:pPr>
        <w:spacing w:before="80" w:after="80" w:line="276"/>
        <w:jc w:val="both"/>
      </w:pPr>
      <w:r>
        <w:rPr>
          <w:rFonts w:ascii="Arial" w:cs="Arial" w:eastAsia="Arial" w:hAnsi="Arial"/>
          <w:sz w:val="22"/>
          <w:szCs w:val="22"/>
        </w:rPr>
        <w:t xml:space="preserve">[Tier B] Estradiol (E2) maintains eNOS activity in cerebral endothelial cells via ERα — the same mechanism protecting the systemic endothelium. E2 upregulates BH4 synthesis, reduces NADPH oxidase activity, and maintains tight junction protein expression (ZO-1, claudin-5). E2 withdrawal at menopause accelerates eNOS uncoupling and BBB degradation, contributing to higher VaD incidence in women after age 75. Postmenopausal women show faster WMH progression on serial MRI than age-matched men in observational studies, with the effect attenuated in HRT users — consistent with the critical window hypothesis [Henderson10].</w:t>
      </w:r>
    </w:p>
    <w:p>
      <w:pPr>
        <w:spacing w:before="80" w:after="80" w:line="276"/>
        <w:jc w:val="both"/>
      </w:pPr>
      <w:r>
        <w:rPr>
          <w:rFonts w:ascii="Arial" w:cs="Arial" w:eastAsia="Arial" w:hAnsi="Arial"/>
          <w:sz w:val="22"/>
          <w:szCs w:val="22"/>
        </w:rPr>
        <w:t xml:space="preserve">[Tier B] The HPA-RAAS interaction: cortisol sensitises AT1 receptors to angiotensin II, amplifying pro-hypertensive, pro-fibrotic, and pro-inflammatory consequences of Ang II signalling in cerebrovascular walls. Chronic psychosocial stress — via sustained HPA activation and cortisol-RAAS sensitisation — is an underrecognised VaD risk factor. GR on endothelial cells directly suppresses eNOS transcription. DHEA, which antagonises GR signalling, declines ~2% per year after age 25; the DHEA/cortisol ratio inversion in later life removes a protective buffer on the cortisol-cerebrovascular injury chain. Thyroid hormone (T3) is required for oligodendrocyte myelination; chronic cortisol suppresses D2 in tanycytes and astrocytes → local brain T3 depletion even with normal TSH → impaired remyelination capacity in WMH lesions (Tier C: each step supported, unified cascade requires direct testing).</w:t>
      </w:r>
    </w:p>
    <w:p>
      <w:pPr>
        <w:pStyle w:val="Heading2"/>
        <w:spacing w:before="240" w:after="100"/>
      </w:pPr>
      <w:r>
        <w:rPr>
          <w:rFonts w:ascii="Arial" w:cs="Arial" w:eastAsia="Arial" w:hAnsi="Arial"/>
          <w:b/>
          <w:bCs/>
          <w:sz w:val="28"/>
          <w:szCs w:val="28"/>
        </w:rPr>
        <w:t xml:space="preserve">3.6 Sleep, Glymphatic, and Circadian Architecture in VaD</w:t>
      </w:r>
    </w:p>
    <w:p>
      <w:pPr>
        <w:spacing w:before="80" w:after="80" w:line="276"/>
        <w:jc w:val="both"/>
      </w:pPr>
      <w:r>
        <w:rPr>
          <w:rFonts w:ascii="Arial" w:cs="Arial" w:eastAsia="Arial" w:hAnsi="Arial"/>
          <w:sz w:val="22"/>
          <w:szCs w:val="22"/>
        </w:rPr>
        <w:t xml:space="preserve">[Tier A-B] Sleep disruption is mechanistically central to VaD through two independent pathways. The first operates via the arterial pulsatility-glymphatic link: during NREM sleep, pulsatile arterial flow through perivascular spaces drives CSF exchange and clearance of inflammatory mediators and matrix metalloproteinases. VaD-associated NVU damage impairs this coupling directly: stiffened arteries reduce pulsatile amplitude and damaged perivascular spaces reduce their conductance, shortening the effective glymphatic clearance window. The result is a positive feedback: NVU damage → impaired nocturnal clearance → accumulation of inflammatory mediators → further NVU damage on the next cycle.</w:t>
      </w:r>
    </w:p>
    <w:p>
      <w:pPr>
        <w:spacing w:before="80" w:after="80" w:line="276"/>
        <w:jc w:val="both"/>
      </w:pPr>
      <w:r>
        <w:rPr>
          <w:rFonts w:ascii="Arial" w:cs="Arial" w:eastAsia="Arial" w:hAnsi="Arial"/>
          <w:sz w:val="22"/>
          <w:szCs w:val="22"/>
        </w:rPr>
        <w:t xml:space="preserve">[Tier B] The second pathway operates via OSA. OSA produces nocturnal hypoxia, intermittent hypercapnia, and repetitive arousal, generating spikes in sympathetic tone and blood pressure during the sleep period — normally a window of haemodynamic relief for cerebrovascular walls. OSA is associated with greater WMH burden; CPAP treatment reduces WMH progression in observational studies. Mechanistically: OSA → nocturnal hypertension spikes → endothelial oxidative stress → eNOS uncoupling → accelerated k_endo depletion → faster WMH accumulation. Non-dippers (individuals failing to reduce BP by ≥10% during sleep) have significantly greater WMH burden and faster cognitive decline at matched daytime BP, confirming that nocturnal BP behaviour is an independent cerebrovascular risk factor — distinct from and additive to daytime hypertension [VaDsleep].</w:t>
      </w:r>
    </w:p>
    <w:p>
      <w:pPr>
        <w:pStyle w:val="Heading2"/>
        <w:spacing w:before="240" w:after="100"/>
      </w:pPr>
      <w:r>
        <w:rPr>
          <w:rFonts w:ascii="Arial" w:cs="Arial" w:eastAsia="Arial" w:hAnsi="Arial"/>
          <w:b/>
          <w:bCs/>
          <w:sz w:val="28"/>
          <w:szCs w:val="28"/>
        </w:rPr>
        <w:t xml:space="preserve">3.7 Exercise Channels in VaD</w:t>
      </w:r>
    </w:p>
    <w:p>
      <w:pPr>
        <w:spacing w:before="80" w:after="80" w:line="276"/>
        <w:jc w:val="both"/>
      </w:pPr>
      <w:r>
        <w:rPr>
          <w:rFonts w:ascii="Arial" w:cs="Arial" w:eastAsia="Arial" w:hAnsi="Arial"/>
          <w:sz w:val="22"/>
          <w:szCs w:val="22"/>
        </w:rPr>
        <w:t xml:space="preserve">[Tier A] Physical exercise reduces VaD risk through the same four musculoskeletal-hippocampal signalling channels identified in the AD paper, with the cardiovascular channel being primary in VaD rather than adjunctive. Aerobic exercise increases baroreflex gain (measurable as HRV improvement), upregulates eNOS via sustained laminar shear stress (KLF2/KLF4 transcription factors → eNOS expression), mobilises endothelial progenitor cells (EPCs) for k_endo repair, and reduces resting MAP. Exercise-induced HRV improvement reflects restored vagal-sympathetic balance, with parasympathetic dominance during recovery reducing RAAS activation. VO₂max is one of the strongest independent predictors of all-cause cardiovascular mortality [Norton14].</w:t>
      </w:r>
    </w:p>
    <w:p>
      <w:pPr>
        <w:spacing w:before="80" w:after="80" w:line="276"/>
        <w:jc w:val="both"/>
      </w:pPr>
      <w:r>
        <w:rPr>
          <w:rFonts w:ascii="Arial" w:cs="Arial" w:eastAsia="Arial" w:hAnsi="Arial"/>
          <w:sz w:val="22"/>
          <w:szCs w:val="22"/>
        </w:rPr>
        <w:t xml:space="preserve">[Tier B] The lactate/HCAR1 channel is directly relevant in VaD: skeletal muscle lactate → HCAR1 on leptomeningeal and pericyte-like cells lining brain vessels → VEGFA upregulation → cerebral angiogenesis and capillary density increase in hippocampus and cortex. New capillary density partially compensates for the reduction in cerebral perfusion reserve caused by SVD. Irisin and osteocalcin channels preserve hippocampal structural integrity independently of the vascular pathway, providing neuronal reserve that buffers the cognitive consequences of vascular injury.</w:t>
      </w:r>
    </w:p>
    <w:p>
      <w:pPr>
        <w:pStyle w:val="Heading2"/>
        <w:spacing w:before="240" w:after="100"/>
      </w:pPr>
      <w:r>
        <w:rPr>
          <w:rFonts w:ascii="Arial" w:cs="Arial" w:eastAsia="Arial" w:hAnsi="Arial"/>
          <w:b/>
          <w:bCs/>
          <w:sz w:val="28"/>
          <w:szCs w:val="28"/>
        </w:rPr>
        <w:t xml:space="preserve">3.8 Neuroinflammation in VaD</w:t>
      </w:r>
    </w:p>
    <w:p>
      <w:pPr>
        <w:spacing w:before="80" w:after="80" w:line="276"/>
        <w:jc w:val="both"/>
      </w:pPr>
      <w:r>
        <w:rPr>
          <w:rFonts w:ascii="Arial" w:cs="Arial" w:eastAsia="Arial" w:hAnsi="Arial"/>
          <w:sz w:val="22"/>
          <w:szCs w:val="22"/>
        </w:rPr>
        <w:t xml:space="preserve">[Tier A] Neuroinflammation in VaD is driven primarily by the peripheral-to-central inflammatory axis amplified by BBB failure. When the BBB is disrupted, circulating fibrinogen enters the parenchyma and activates microglial TLR4 and the NLRP3 inflammasome; thrombin activates PAR-1 receptors on astrocytes and microglia, driving IL-1β, IL-6, and TNF-α. These inflammatory mediators further damage tight junction proteins, creating the VaD neuroinflammatory cycle: BBB failure → peripheral protein entry → neuroinflammation → further BBB damage.</w:t>
      </w:r>
    </w:p>
    <w:p>
      <w:pPr>
        <w:spacing w:before="80" w:after="80" w:line="276"/>
        <w:jc w:val="both"/>
      </w:pPr>
      <w:r>
        <w:rPr>
          <w:rFonts w:ascii="Arial" w:cs="Arial" w:eastAsia="Arial" w:hAnsi="Arial"/>
          <w:sz w:val="22"/>
          <w:szCs w:val="22"/>
        </w:rPr>
        <w:t xml:space="preserve">[Tier B] Senescent cell accumulation in the cerebrovascular wall (endothelial cells, pericytes) generates SASP (IL-6, IL-8, MMPs, TGF-β) that directly amplifies the neuroinflammatory cycle. Senolytics (dasatinib + quercetin) have shown proof-of-concept reduction in cerebrovascular senescence in mouse SVD models and are entering early-phase human VCI trials. This represents a genuinely new therapeutic direction: targeting the cellular biology underlying WMH accumulation rather than just blood pressure. NLRP3 inhibitors and remyelination agents (targeting oligodendrocyte precursor differentiation) are in preclinical investigation [SVD_emerging25].</w:t>
      </w:r>
    </w:p>
    <w:p>
      <w:pPr>
        <w:pStyle w:val="Heading2"/>
        <w:spacing w:before="240" w:after="100"/>
      </w:pPr>
      <w:r>
        <w:rPr>
          <w:rFonts w:ascii="Arial" w:cs="Arial" w:eastAsia="Arial" w:hAnsi="Arial"/>
          <w:b/>
          <w:bCs/>
          <w:sz w:val="28"/>
          <w:szCs w:val="28"/>
        </w:rPr>
        <w:t xml:space="preserve">3.9 Biomarkers and Diagnosis</w:t>
      </w:r>
    </w:p>
    <w:p>
      <w:pPr>
        <w:spacing w:before="80" w:after="80" w:line="276"/>
        <w:jc w:val="both"/>
      </w:pPr>
      <w:r>
        <w:rPr>
          <w:rFonts w:ascii="Arial" w:cs="Arial" w:eastAsia="Arial" w:hAnsi="Arial"/>
          <w:sz w:val="22"/>
          <w:szCs w:val="22"/>
        </w:rPr>
        <w:t xml:space="preserve">[Tier A] MRI is the primary diagnostic tool: WMH burden on T2/FLAIR, lacunar infarcts on DWI/T1, strategic infarct location (thalamus, caudate, anterior limb of internal capsule), cortical microinfarcts on high-field MRI, cerebral microbleeds on SWI. The STRIVE criteria standardise reporting. Advanced quantitative MRI — diffusion tensor imaging (DTI) of WM microstructure, arterial spin labelling (ASL) for cerebral blood flow, MRI oxygen extraction fraction (OEF) — are being validated as sensitive early biomarkers that may detect cerebrovascular disease before WMH appear on standard sequences [VCID25].</w:t>
      </w:r>
    </w:p>
    <w:p>
      <w:pPr>
        <w:spacing w:before="80" w:after="80" w:line="276"/>
        <w:jc w:val="both"/>
      </w:pPr>
      <w:r>
        <w:rPr>
          <w:rFonts w:ascii="Arial" w:cs="Arial" w:eastAsia="Arial" w:hAnsi="Arial"/>
          <w:sz w:val="22"/>
          <w:szCs w:val="22"/>
        </w:rPr>
        <w:t xml:space="preserve">[Tier B] Plasma NfL reflects axonal injury and tracks WMH progression. Plasma GFAP reflects reactive astrogliosis. CSF PDGFR-β elevation marks pericyte injury. Plasma placental growth factor (PlGF) — a marker of endothelial activation and vascular permeability — was identified in a 2024 UCLA multicenter study as a candidate early upstream biomarker for VCID: elevated before WMH appear and correlating with white matter free water on quantitative MRI [PlGF24]. No VaD-specific blood biomarker with accuracy comparable to AD’s plasma p-tau217 has been validated; this is the most important unmet diagnostic need in the field.</w:t>
      </w:r>
    </w:p>
    <w:p>
      <w:pPr>
        <w:pStyle w:val="Heading2"/>
        <w:spacing w:before="240" w:after="100"/>
      </w:pPr>
      <w:r>
        <w:rPr>
          <w:rFonts w:ascii="Arial" w:cs="Arial" w:eastAsia="Arial" w:hAnsi="Arial"/>
          <w:b/>
          <w:bCs/>
          <w:sz w:val="28"/>
          <w:szCs w:val="28"/>
        </w:rPr>
        <w:t xml:space="preserve">3.10 Therapeutic Pipeline</w:t>
      </w:r>
    </w:p>
    <w:p>
      <w:pPr>
        <w:spacing w:before="80" w:after="80" w:line="276"/>
        <w:jc w:val="both"/>
      </w:pPr>
      <w:r>
        <w:rPr>
          <w:rFonts w:ascii="Arial" w:cs="Arial" w:eastAsia="Arial" w:hAnsi="Arial"/>
          <w:sz w:val="22"/>
          <w:szCs w:val="22"/>
        </w:rPr>
        <w:t xml:space="preserve">[Tier A] Vascular risk factor management is the only intervention with reliable evidence: BP control (SPRINT MIND), antiplatelet therapy in post-stroke VaD, anticoagulation for AF-associated VaD (DOACs preferred), statin therapy. No pharmacological agent has demonstrated disease modification in VaD specifically beyond these established cardiovascular risk reductions.</w:t>
      </w:r>
    </w:p>
    <w:p>
      <w:pPr>
        <w:spacing w:before="80" w:after="80" w:line="276"/>
        <w:jc w:val="both"/>
      </w:pPr>
      <w:r>
        <w:rPr>
          <w:rFonts w:ascii="Arial" w:cs="Arial" w:eastAsia="Arial" w:hAnsi="Arial"/>
          <w:sz w:val="22"/>
          <w:szCs w:val="22"/>
        </w:rPr>
        <w:t xml:space="preserve">[Tier B] Cholinesterase inhibitors show modest cognitive benefit in small VaD trials, reflecting cholinergic co-pathology from WMH-mediated basal forebrain pathway disruption. Cilostazol has shown WMH progression slowing signals in Asian trials; LACI-2 confirmed safety in combination with isosorbide mononitrate in symptomatic lacunar SVD [LACI2_23]. Senolytics (dasatinib + quercetin), NLRP3 inhibitors, and remyelination agents are all in early-phase investigation but none have reached Phase 3 with VaD as primary indication. The VaD therapeutic pipeline is 5–10 years behind AD.</w:t>
      </w:r>
    </w:p>
    <w:p>
      <w:r>
        <w:br w:type="page"/>
      </w:r>
    </w:p>
    <w:p>
      <w:pPr>
        <w:pStyle w:val="Heading1"/>
        <w:spacing w:before="300" w:after="120"/>
      </w:pPr>
      <w:r>
        <w:rPr>
          <w:rFonts w:ascii="Arial" w:cs="Arial" w:eastAsia="Arial" w:hAnsi="Arial"/>
          <w:b/>
          <w:bCs/>
          <w:sz w:val="32"/>
          <w:szCs w:val="32"/>
        </w:rPr>
        <w:t xml:space="preserve">4. Lewy Body Disease: DLB and PDD</w:t>
      </w:r>
    </w:p>
    <w:p>
      <w:pPr>
        <w:pStyle w:val="Heading2"/>
        <w:spacing w:before="240" w:after="100"/>
      </w:pPr>
      <w:r>
        <w:rPr>
          <w:rFonts w:ascii="Arial" w:cs="Arial" w:eastAsia="Arial" w:hAnsi="Arial"/>
          <w:b/>
          <w:bCs/>
          <w:sz w:val="28"/>
          <w:szCs w:val="28"/>
        </w:rPr>
        <w:t xml:space="preserve">4.1 Nosology, DLB/PDD, and the 2025 Heterogeneity Finding</w:t>
      </w:r>
    </w:p>
    <w:p>
      <w:pPr>
        <w:spacing w:before="80" w:after="80" w:line="276"/>
        <w:jc w:val="both"/>
      </w:pPr>
      <w:r>
        <w:rPr>
          <w:rFonts w:ascii="Arial" w:cs="Arial" w:eastAsia="Arial" w:hAnsi="Arial"/>
          <w:sz w:val="22"/>
          <w:szCs w:val="22"/>
        </w:rPr>
        <w:t xml:space="preserve">Lewy body disease encompasses a spectrum of alpha-synucleinopathies in which Lewy bodies — intraneuronal inclusions containing aggregated, phosphorylated alpha-synuclein — are the primary neuropathological lesion. DLB is diagnosed when cognitive and motor features appear within 12 months of each other (the “12-month rule”; McKeith et al., 2005, 2017); PDD is diagnosed when established Parkinson’s disease is followed by dementia after more than 12 months of motor-dominant disease. DLB is the second most common neurodegenerative dementia after AD, accounting for approximately 10–15% of all dementia diagnoses in clinical series, though autopsy-based estimates are consistently higher (15–25%), reflecting ante-mortem underdiagnosis.</w:t>
      </w:r>
    </w:p>
    <w:p>
      <w:pPr>
        <w:spacing w:before="80" w:after="80" w:line="276"/>
        <w:jc w:val="both"/>
      </w:pPr>
      <w:r>
        <w:rPr>
          <w:rFonts w:ascii="Arial" w:cs="Arial" w:eastAsia="Arial" w:hAnsi="Arial"/>
          <w:sz w:val="22"/>
          <w:szCs w:val="22"/>
        </w:rPr>
        <w:t xml:space="preserve">[Tier B] A 2025 cross-sectional study from the DLB Consortium (Neurology 2025;105(12):e214346, n=99 with CSF data) found that only 68% of clinically diagnosed DLB patients tested positive for CSF alpha-synuclein SAA — the biomarker of misfolded alpha-synuclein. Among SAA-positive patients, AD biomarkers were present in 52%; this SAA+/AD+ subgroup showed the fastest cognitive and functional decline. The SAA-negative subgroup is pathologically heterogeneous: some likely have primary AD with Lewy body-like features, others atypical parkinsonian syndromes or VaD with RBD. This finding reframes DLB: it is a clinical syndrome with substantial pathological heterogeneity requiring biological confirmation for appropriate management and trial enrolment [DLB_SAA25].</w:t>
      </w:r>
    </w:p>
    <w:p>
      <w:pPr>
        <w:pStyle w:val="Heading2"/>
        <w:spacing w:before="240" w:after="100"/>
      </w:pPr>
      <w:r>
        <w:rPr>
          <w:rFonts w:ascii="Arial" w:cs="Arial" w:eastAsia="Arial" w:hAnsi="Arial"/>
          <w:b/>
          <w:bCs/>
          <w:sz w:val="28"/>
          <w:szCs w:val="28"/>
        </w:rPr>
        <w:t xml:space="preserve">4.2 Alpha-Synuclein Propagation: Braak Staging and the Gut-First Hypothesis</w:t>
      </w:r>
    </w:p>
    <w:p>
      <w:pPr>
        <w:spacing w:before="80" w:after="80" w:line="276"/>
        <w:jc w:val="both"/>
      </w:pPr>
      <w:r>
        <w:rPr>
          <w:rFonts w:ascii="Arial" w:cs="Arial" w:eastAsia="Arial" w:hAnsi="Arial"/>
          <w:sz w:val="22"/>
          <w:szCs w:val="22"/>
        </w:rPr>
        <w:t xml:space="preserve">[Tier A] The Braak staging system for Lewy body pathology (Braak et al., 2003) describes stereotyped caudal-to-rostral progression: pathology initiates in the dorsal motor nucleus of the vagus (DMV) and olfactory bulb (stage 1), ascends to the locus coeruleus and caudal raphe nuclei in the pontic tegmentum (stage 2), then to the substantia nigra pars compacta and basal forebrain (stages 3–4), and finally to the limbic system and neocortex (stages 5–6). Dementia typically emerges at stages 5–6, though individual variation is substantial. Braak staging describes a population-level pattern, not every individual case; amygdala-first and neocortex-first patterns in a subset of cases indicate meaningful biological heterogeneity.</w:t>
      </w:r>
    </w:p>
    <w:p>
      <w:pPr>
        <w:spacing w:before="80" w:after="80" w:line="276"/>
        <w:jc w:val="both"/>
      </w:pPr>
      <w:r>
        <w:rPr>
          <w:rFonts w:ascii="Arial" w:cs="Arial" w:eastAsia="Arial" w:hAnsi="Arial"/>
          <w:sz w:val="22"/>
          <w:szCs w:val="22"/>
        </w:rPr>
        <w:t xml:space="preserve">[Tier B] The gut-first hypothesis proposes that alpha-synuclein aggregation initiates in enteric neurons and travels retrogradely via the vagus nerve to the DMV, explaining the brainstem-first staging pattern. Epidemiological support includes: appendectomy associated with reduced PD risk in a large Swedish epidemiological analysis using two internal datasets (Killinger et al., Sci Transl Med 2018, n=1.6 million) — though this finding is contested, with Palacios et al. Mov Disord 2018 finding no significant association in two large independent prospective cohorts; truncal vagotomy associated with reduced PD risk in the Danish cohort (Svensson et al., Ann Neurol 2015) and Swedish registry cohort (Liu et al., Neurology 2017); prospective skin and submandibular gland biopsy studies demonstrate alpha-synuclein pathology preceding motor symptom onset [Adler14, Doppler21]. Each of these epidemiological observations is Tier B; the gut-first hypothesis has substantial but not conclusive support, and the conflicting appendectomy data underscores that the precise route of initiation remains an open question.</w:t>
      </w:r>
    </w:p>
    <w:p>
      <w:pPr>
        <w:spacing w:before="80" w:after="80" w:line="276"/>
        <w:jc w:val="both"/>
      </w:pPr>
      <w:r>
        <w:rPr>
          <w:rFonts w:ascii="Arial" w:cs="Arial" w:eastAsia="Arial" w:hAnsi="Arial"/>
          <w:sz w:val="22"/>
          <w:szCs w:val="22"/>
        </w:rPr>
        <w:t xml:space="preserve">[Tier B] A 2025 finding extends the gut-first mechanistic chain: enteric glial cells (EGCs) in Parkinson’s disease show reactive gliosis with TLR-mediated immune activation that facilitates local alpha-synuclein aggregation. The ENS expresses risk genes for neurodegenerative conditions; critically, germ-free and antibiotic-depletion mouse studies have established that the microbiota modulates adult ENS structure via 5-HT/5-HT4R signalling: colonisation of germ-free mice with conventional microbiota restores myenteric neuronal density and promotes enteric neurogenesis through 5-HT4R activation (De Vadder et al., PNAS 2018), and microbiota depletion reduces enteric neuronal numbers in adult mice that recover upon microbiota recolonisation via short-chain fatty acid signalling (Vicentini et al., Microbiome 2021). These are mouse data; direct human evidence for microbiota-induced adult ENS structural changes remains limited. Dysbiosis could therefore create a structurally compromised ENS environment that facilitates alpha-synuclein seeding, though this specific chain has not been tested in human Parkinson’s disease or DLB [DeVadder18, Vicentini21]. This closes a plausible mechanistic model: gut microbiome dysbiosis → EGC reactive gliosis → local pro-aggregation environment → alpha-synuclein seed formation → vagal retrograde propagation to brainstem. Direct human causal evidence for each step of this chain remains limited; the model is mechanistically motivated and testable but not yet established.</w:t>
      </w:r>
    </w:p>
    <w:p>
      <w:pPr>
        <w:spacing w:before="80" w:after="80" w:line="276"/>
        <w:jc w:val="both"/>
      </w:pPr>
      <w:r>
        <w:rPr>
          <w:rFonts w:ascii="Arial" w:cs="Arial" w:eastAsia="Arial" w:hAnsi="Arial"/>
          <w:sz w:val="22"/>
          <w:szCs w:val="22"/>
        </w:rPr>
        <w:t xml:space="preserve">[Tier B] REM sleep behaviour disorder (RBD) — failure of normal REM sleep atonia causing dream enactment — is the most powerful prodromal biomarker for alpha-synucleinopathies. Longitudinal iRBD cohort studies demonstrate phenoconversion to PD, DLB, or MSA at a Kaplan-Meier estimated rate of 75.7% by 10 years and 90.9% by 14 years from diagnosis (Iranzo et al., PLoS ONE 2014, n=174; median cohort follow-up 4 years; median conversion time 7.5 years), with some cases prodromal for 25 years or longer. Skin, submandibular gland, or colon biopsy for phosphorylated alpha-synuclein (p-αSyn) has emerged as a research diagnostic tool [Doppler21, Adler14]; CSF SAA shows high sensitivity and specificity in prodromal and established disease [Siderowf23].</w:t>
      </w:r>
    </w:p>
    <w:p>
      <w:pPr>
        <w:pStyle w:val="Heading2"/>
        <w:spacing w:before="240" w:after="100"/>
      </w:pPr>
      <w:r>
        <w:rPr>
          <w:rFonts w:ascii="Arial" w:cs="Arial" w:eastAsia="Arial" w:hAnsi="Arial"/>
          <w:b/>
          <w:bCs/>
          <w:sz w:val="28"/>
          <w:szCs w:val="28"/>
        </w:rPr>
        <w:t xml:space="preserve">4.3 NSD-ISS: Biological Staging of Lewy Body Disease</w:t>
      </w:r>
    </w:p>
    <w:p>
      <w:pPr>
        <w:spacing w:before="80" w:after="80" w:line="276"/>
        <w:jc w:val="both"/>
      </w:pPr>
      <w:r>
        <w:rPr>
          <w:rFonts w:ascii="Arial" w:cs="Arial" w:eastAsia="Arial" w:hAnsi="Arial"/>
          <w:sz w:val="22"/>
          <w:szCs w:val="22"/>
        </w:rPr>
        <w:t xml:space="preserve">[Tier B] Two complementary biological staging frameworks for Lewy body disease were published in Lancet Neurology in February 2024 — a landmark shift analogous to the 2024 NIA-AA biological redefinition of AD. The Neuronal alpha-Synuclein Disease Integrated Staging System (NSD-ISS; Simuni, Marek et al.) defines disease biologically: alpha-synuclein SAA positivity (S), neuronal degeneration on DAT-SPECT (N), and genetic risk (G). The SynNeurGe framework (Höglinger, Lang et al.) uses similar biomarker inputs. Both frameworks move from diagnosing DLB/PDD based on clinical features to defining the disease by biology, enabling presymptomatic diagnosis when interventions are most likely to modify disease course [NSDI_Simuni24].</w:t>
      </w:r>
    </w:p>
    <w:p>
      <w:pPr>
        <w:spacing w:before="80" w:after="80" w:line="276"/>
        <w:jc w:val="both"/>
      </w:pPr>
      <w:r>
        <w:rPr>
          <w:rFonts w:ascii="Arial" w:cs="Arial" w:eastAsia="Arial" w:hAnsi="Arial"/>
          <w:sz w:val="22"/>
          <w:szCs w:val="22"/>
        </w:rPr>
        <w:t xml:space="preserve">[Tier B] The NSD-ISS does not cover all cases: inherited PD without Lewy bodies (SAA-negative) falls outside; some clinically diagnosed DLB patients who are SAA-negative may represent different pathological processes. These exclusions are features — the framework prioritises biological precision over clinical coverage. The practical implication for clinical trials is that SAA positivity represents the strongest current rationale for inclusion in trials targeting alpha-synuclein biology, while SAA-negative DLB requires separate trials addressing its distinct biology.</w:t>
      </w:r>
    </w:p>
    <w:p>
      <w:pPr>
        <w:pStyle w:val="Heading2"/>
        <w:spacing w:before="240" w:after="100"/>
      </w:pPr>
      <w:r>
        <w:rPr>
          <w:rFonts w:ascii="Arial" w:cs="Arial" w:eastAsia="Arial" w:hAnsi="Arial"/>
          <w:b/>
          <w:bCs/>
          <w:sz w:val="28"/>
          <w:szCs w:val="28"/>
        </w:rPr>
        <w:t xml:space="preserve">4.4 The Locus Coeruleus: The First Casualty and the Glymphatic Gate</w:t>
      </w:r>
    </w:p>
    <w:p>
      <w:pPr>
        <w:spacing w:before="80" w:after="80" w:line="276"/>
        <w:jc w:val="both"/>
      </w:pPr>
      <w:r>
        <w:rPr>
          <w:rFonts w:ascii="Arial" w:cs="Arial" w:eastAsia="Arial" w:hAnsi="Arial"/>
          <w:sz w:val="22"/>
          <w:szCs w:val="22"/>
        </w:rPr>
        <w:t xml:space="preserve">[Tier A] The LC accumulates Lewy body pathology at Braak stage 2, representing early pre-symptomatic disease — preceding SNc involvement at stage 3 by an unknown but potentially years-long interval. In AD, tau pathology in LC precedes cortical tau by years and may precede amyloid deposition by decades. The LC is the brain’s global gain controller: via NE projections to every cortical region, hippocampus, cerebellum, brainstem, and spinal cord, tonic NE sets the signal-to-noise ratio across the entire neural graph, while phasic NE bursts amplify task-relevant signals and suppress competitors.</w:t>
      </w:r>
    </w:p>
    <w:p>
      <w:pPr>
        <w:spacing w:before="80" w:after="80" w:line="276"/>
        <w:jc w:val="both"/>
      </w:pPr>
      <w:r>
        <w:rPr>
          <w:rFonts w:ascii="Arial" w:cs="Arial" w:eastAsia="Arial" w:hAnsi="Arial"/>
          <w:sz w:val="22"/>
          <w:szCs w:val="22"/>
        </w:rPr>
        <w:t xml:space="preserve">[Tier A] NE depletion from LC in DLB produces three independent pathological consequences. NE acting on β2-adrenergic receptors on microglia suppresses NF-κB-driven cytokine production and NLRP3 activation; LC-NE loss removes this anti-inflammatory brake, allowing microglial M1 activation to proceed unchecked and creating a self-reinforcing neuroinflammatory state that accelerates both AD and DLB pathology. The same LC depletion raises the LTP induction threshold (via loss of β-adrenergic/cAMP/PKA/AMPA insertion), causing synaptic plasticity failure and episodic memory impairment independent of alpha-synuclein or tau pathology. And the infraslow NE oscillatory pattern from LC that drives glymphatic vasomotion during NREM — confirmed in the 2025 Cell paper (Hauglund et al.) — is disrupted by early LC degeneration at Braak stage 2, impairing the glymphatic pump at precisely the stage when alpha-synuclein accumulation is accelerating [Nedergaard25].</w:t>
      </w:r>
    </w:p>
    <w:p>
      <w:pPr>
        <w:spacing w:before="80" w:after="80" w:line="276"/>
        <w:jc w:val="both"/>
      </w:pPr>
      <w:r>
        <w:rPr>
          <w:rFonts w:ascii="Arial" w:cs="Arial" w:eastAsia="Arial" w:hAnsi="Arial"/>
          <w:sz w:val="22"/>
          <w:szCs w:val="22"/>
        </w:rPr>
        <w:t xml:space="preserve">[Tier B] Approximately 52–70% of DLB cases carry significant concurrent AD neuropathology at autopsy. The 2025 DLB Consortium study found AD co-pathology in 52% of SAA-positive DLB cases; this SAA+/AD+ subgroup shows the fastest cognitive and functional decline. Anti-amyloid therapies (lecanemab, donanemab) could theoretically benefit a substantial DLB subset, though no trials have tested this and ARIA risk in a cholinergically and dopaminergically depleted DLB brain requires specific characterisation.</w:t>
      </w:r>
    </w:p>
    <w:p>
      <w:pPr>
        <w:pStyle w:val="Heading2"/>
        <w:spacing w:before="240" w:after="100"/>
      </w:pPr>
      <w:r>
        <w:rPr>
          <w:rFonts w:ascii="Arial" w:cs="Arial" w:eastAsia="Arial" w:hAnsi="Arial"/>
          <w:b/>
          <w:bCs/>
          <w:sz w:val="28"/>
          <w:szCs w:val="28"/>
        </w:rPr>
        <w:t xml:space="preserve">4.5 Sleep, RBD, and the Glymphatic-LC Chain in DLB</w:t>
      </w:r>
    </w:p>
    <w:p>
      <w:pPr>
        <w:spacing w:before="80" w:after="80" w:line="276"/>
        <w:jc w:val="both"/>
      </w:pPr>
      <w:r>
        <w:rPr>
          <w:rFonts w:ascii="Arial" w:cs="Arial" w:eastAsia="Arial" w:hAnsi="Arial"/>
          <w:sz w:val="22"/>
          <w:szCs w:val="22"/>
        </w:rPr>
        <w:t xml:space="preserve">[Tier A-B] Sleep disruption in DLB is not merely symptomatic — it is a primary driver of pathological progression through the LC-glymphatic circuit. Early Lewy body pathology in LC (Braak stage 2, before SNc involvement) disrupts the infraslow NE oscillatory firing that normally drives glymphatic vasomotion during NREM. Reduced NE oscillatory amplitude → reduced arterial vasomotion → reduced perivascular CSF exchange → reduced alpha-synuclein clearance → accelerated Braak stage progression. This is a self-reinforcing cascade: early LC pathology impairs the mechanism that would otherwise slow its own progression.</w:t>
      </w:r>
    </w:p>
    <w:p>
      <w:pPr>
        <w:spacing w:before="80" w:after="80" w:line="276"/>
        <w:jc w:val="both"/>
      </w:pPr>
      <w:r>
        <w:rPr>
          <w:rFonts w:ascii="Arial" w:cs="Arial" w:eastAsia="Arial" w:hAnsi="Arial"/>
          <w:sz w:val="22"/>
          <w:szCs w:val="22"/>
        </w:rPr>
        <w:t xml:space="preserve">[Tier A] RBD is mechanistically explained by Lewy body pathology disrupting the REM atonia circuit: the sublaterodorsal nucleus (SLD) → glycinergic inhibitory neurons → spinal motor neurons pathway that normally suppresses motor output during REM is disrupted by brainstem pathology at Braak stage 2, before significant SNc involvement. RBD is the earliest behavioural biomarker of Braak stage 2 pathology, predating both motor and cognitive symptoms by years to decades. A confirmed polysomnographic RBD diagnosis in a 55-year-old should therefore be treated clinically as likely representing Braak stage 2 alpha-synucleinopathy — with the caveat that the Braak staging model is a population-level neuropathological pattern and a minority of cases do not follow the stereotyped caudal-to-rostral sequence. This framing is a useful clinical heuristic, not a settled individual-level guarantee.</w:t>
      </w:r>
    </w:p>
    <w:p>
      <w:pPr>
        <w:spacing w:before="80" w:after="80" w:line="276"/>
        <w:jc w:val="both"/>
      </w:pPr>
      <w:r>
        <w:rPr>
          <w:rFonts w:ascii="Arial" w:cs="Arial" w:eastAsia="Arial" w:hAnsi="Arial"/>
          <w:sz w:val="22"/>
          <w:szCs w:val="22"/>
        </w:rPr>
        <w:t xml:space="preserve">[Tier B] NREM sleep architecture degradation in DLB (loss of sleep spindles, reduced SWS depth) further impairs glymphatic clearance. Allopregnanolone (ALLO) — the GABA-A positive allosteric modulator promoting deep NREM — declines with aging and with hypothalamic pathology accumulating in DLB. This creates a hormonal-sleep-glymphatic interaction in DLB mechanistically analogous to the AD ALLO-SWS-clearance chain, driven by different primary pathology but converging on the same glymphatic output deficit.</w:t>
      </w:r>
    </w:p>
    <w:p>
      <w:pPr>
        <w:pStyle w:val="Heading2"/>
        <w:spacing w:before="240" w:after="100"/>
      </w:pPr>
      <w:r>
        <w:rPr>
          <w:rFonts w:ascii="Arial" w:cs="Arial" w:eastAsia="Arial" w:hAnsi="Arial"/>
          <w:b/>
          <w:bCs/>
          <w:sz w:val="28"/>
          <w:szCs w:val="28"/>
        </w:rPr>
        <w:t xml:space="preserve">4.6 Gut-Brain Axis in DLB</w:t>
      </w:r>
    </w:p>
    <w:p>
      <w:pPr>
        <w:spacing w:before="80" w:after="80" w:line="276"/>
        <w:jc w:val="both"/>
      </w:pPr>
      <w:r>
        <w:rPr>
          <w:rFonts w:ascii="Arial" w:cs="Arial" w:eastAsia="Arial" w:hAnsi="Arial"/>
          <w:sz w:val="22"/>
          <w:szCs w:val="22"/>
        </w:rPr>
        <w:t xml:space="preserve">[Tier B] The gut-brain axis in DLB is more mechanistically central than in AD or VaD because the gut-first hypothesis makes enteric pathology potentially causal rather than merely contributory. The prodromal phase of DLB consistently includes constipation, GI dysmotility, and altered gut microbiome composition — features predating motor symptoms by years and reflecting early ENS involvement. Patients with iRBD show significantly lower SCFA-producing bacteria and enrichment of pro-inflammatory gram-negative taxa, with the severity of microbiome dysbiosis correlating with alpha-synuclein SAA positivity in colon biopsies.</w:t>
      </w:r>
    </w:p>
    <w:p>
      <w:pPr>
        <w:spacing w:before="80" w:after="80" w:line="276"/>
        <w:jc w:val="both"/>
      </w:pPr>
      <w:r>
        <w:rPr>
          <w:rFonts w:ascii="Arial" w:cs="Arial" w:eastAsia="Arial" w:hAnsi="Arial"/>
          <w:sz w:val="22"/>
          <w:szCs w:val="22"/>
        </w:rPr>
        <w:t xml:space="preserve">[Tier B] The mouse data establishing that microbiota modulates adult ENS structure via 5-HT/5-HT4R signalling — with microbiota depletion producing measurable ENS neuronal loss reversed by microbiota recolonisation and SCFA signalling — places gut microbiome health as a plausible structural determinant of ENS integrity and therefore of the local environment for alpha-synuclein seeding [DeVadder18, Vicentini21]. Direct human evidence for this structural plasticity is limited; the clinical translational step from mouse ENS neuroplasticity data to alpha-synuclein seeding in human prodromal DLB is an inference requiring prospective testing. Microbiome-targeted interventions (dietary fibre, probiotics) could theoretically reduce the pro-aggregation ENS environment, but no intervention trials in iRBD or early DLB have reported outcomes.</w:t>
      </w:r>
    </w:p>
    <w:p>
      <w:pPr>
        <w:spacing w:before="80" w:after="80" w:line="276"/>
        <w:jc w:val="both"/>
      </w:pPr>
      <w:r>
        <w:rPr>
          <w:rFonts w:ascii="Arial" w:cs="Arial" w:eastAsia="Arial" w:hAnsi="Arial"/>
          <w:sz w:val="22"/>
          <w:szCs w:val="22"/>
        </w:rPr>
        <w:t xml:space="preserve">[Tier B] The kynurenine pathway is activated by gut dysbiosis and systemic inflammation, diverting tryptophan from serotonin synthesis toward neurotoxic quinolinic acid (a direct NMDA agonist). In DLB, raphe serotonergic neurons are early affected (caudal raphe at Braak stage 2; more rostral dorsal raphe extending into stage 3), creating a dual serotonin depletion: loss from direct raphe pathology and loss from tryptophan diversion. The combined deficit contributes to the depression and anxiety appearing in the pre-motor phase of DLB.</w:t>
      </w:r>
    </w:p>
    <w:p>
      <w:pPr>
        <w:pStyle w:val="Heading2"/>
        <w:spacing w:before="240" w:after="100"/>
      </w:pPr>
      <w:r>
        <w:rPr>
          <w:rFonts w:ascii="Arial" w:cs="Arial" w:eastAsia="Arial" w:hAnsi="Arial"/>
          <w:b/>
          <w:bCs/>
          <w:sz w:val="28"/>
          <w:szCs w:val="28"/>
        </w:rPr>
        <w:t xml:space="preserve">4.7 Hormonal Architecture in DLB</w:t>
      </w:r>
    </w:p>
    <w:p>
      <w:pPr>
        <w:spacing w:before="80" w:after="80" w:line="276"/>
        <w:jc w:val="both"/>
      </w:pPr>
      <w:r>
        <w:rPr>
          <w:rFonts w:ascii="Arial" w:cs="Arial" w:eastAsia="Arial" w:hAnsi="Arial"/>
          <w:sz w:val="22"/>
          <w:szCs w:val="22"/>
        </w:rPr>
        <w:t xml:space="preserve">[Tier B] DLB affects men approximately 1.5–2 times more frequently than women in midlife, converging in older age — a pattern opposite to AD. E2 acts on ERβ receptors expressed on dopaminergic neurons and surrounding microglia in LC and SNc, maintaining mitochondrial function and restraining microglial M1 activation. Men’s higher lifetime dopaminergic system vulnerability in the absence of E2’s mitochondrial support produces earlier onset PD and DLB. Postmenopausal women’s convergence toward male rates reflects withdrawal of E2-mediated neuroprotection.</w:t>
      </w:r>
    </w:p>
    <w:p>
      <w:pPr>
        <w:spacing w:before="80" w:after="80" w:line="276"/>
        <w:jc w:val="both"/>
      </w:pPr>
      <w:r>
        <w:rPr>
          <w:rFonts w:ascii="Arial" w:cs="Arial" w:eastAsia="Arial" w:hAnsi="Arial"/>
          <w:sz w:val="22"/>
          <w:szCs w:val="22"/>
        </w:rPr>
        <w:t xml:space="preserve">[Tier B] DHEA antagonises GR signalling on microglia, reducing cortisol-driven microglial M1 activation around LC and SNc neurons. As DHEA declines with age and the DHEA/cortisol ratio inverts, the anti-inflammatory buffer protecting dopaminergic and noradrenergic neurons weakens, accelerating Braak stage progression in susceptible individuals. The hormonal contribution to DLB is less directly studied than in AD, but the mechanistic framework is directly applicable: LC, SNc, and raphe neurons are vulnerable to the same glucocorticoid-microglial-neuroinflammatory chain that damages the hippocampus in AD.</w:t>
      </w:r>
    </w:p>
    <w:p>
      <w:pPr>
        <w:pStyle w:val="Heading2"/>
        <w:spacing w:before="240" w:after="100"/>
      </w:pPr>
      <w:r>
        <w:rPr>
          <w:rFonts w:ascii="Arial" w:cs="Arial" w:eastAsia="Arial" w:hAnsi="Arial"/>
          <w:b/>
          <w:bCs/>
          <w:sz w:val="28"/>
          <w:szCs w:val="28"/>
        </w:rPr>
        <w:t xml:space="preserve">4.8 Core Clinical Features and Neuroleptic Sensitivity</w:t>
      </w:r>
    </w:p>
    <w:p>
      <w:pPr>
        <w:spacing w:before="80" w:after="80" w:line="276"/>
        <w:jc w:val="both"/>
      </w:pPr>
      <w:r>
        <w:rPr>
          <w:rFonts w:ascii="Arial" w:cs="Arial" w:eastAsia="Arial" w:hAnsi="Arial"/>
          <w:sz w:val="22"/>
          <w:szCs w:val="22"/>
        </w:rPr>
        <w:t xml:space="preserve">[Tier A] The McKeith 2017 criteria define DLB by four core features: fluctuating cognition with pronounced variations in attention and alertness; recurrent well-formed visual hallucinations (present in 60–80% of cases); REM sleep behaviour disorder (preceding or coinciding with dementia onset); and at least one of parkinsonism or DAT-SPECT dopaminergic deficit. Posterior cortical hypometabolism on FDG-PET, relative preservation of medial temporal structures on MRI (distinguishing DLB from AD), and reduced presynaptic dopamine transporter on DAT-SPECT are supportive biomarkers.</w:t>
      </w:r>
    </w:p>
    <w:p>
      <w:pPr>
        <w:spacing w:before="80" w:after="80" w:line="276"/>
        <w:jc w:val="both"/>
      </w:pPr>
      <w:r>
        <w:rPr>
          <w:rFonts w:ascii="Arial" w:cs="Arial" w:eastAsia="Arial" w:hAnsi="Arial"/>
          <w:sz w:val="22"/>
          <w:szCs w:val="22"/>
        </w:rPr>
        <w:t xml:space="preserve">[Tier A] Neuroleptic sensitivity is a critical clinical safety feature. Approximately 50% of DLB patients who receive antipsychotics experience severe adverse reactions, including acute parkinsonism, markedly reduced consciousness, and neuroleptic malignant syndrome; mortality risk is substantially elevated and neuroleptic exposure is a major cause of preventable early death in DLB. The original McKeith 1992 BMJ series (autopsy-confirmed, n=20 DLB) found that of 16 patients who received neuroleptics, 13/16 (81%) had any adverse reaction and 7/16 (44%) had severe reactions, with 2.7-fold increased mortality in the year after presentation compared to those with mild or no sensitivity. A subsequent prospective operationalised series by Ballard et al. found 8/15 (53%) DLB patients developed severe neuroleptic sensitivity reactions. Both figures are consistent with the ~50% severe reaction rate cited across major clinical reviews [McKeith92, Ballard05]. The mechanism: dopaminergic D2 blockade in a system already severely dopamine-depleted (SNc degeneration), combined with cholinergic depletion more severe than in AD (NBM neuronal loss), creates extreme pharmacological fragility. The clinical rule is absolute: conventional antipsychotics are contraindicated in DLB; atypical antipsychotics (quetiapine, clozapine) should be used only when essential for patient or carer safety, at the lowest effective dose.</w:t>
      </w:r>
    </w:p>
    <w:p>
      <w:pPr>
        <w:pStyle w:val="Heading2"/>
        <w:spacing w:before="240" w:after="100"/>
      </w:pPr>
      <w:r>
        <w:rPr>
          <w:rFonts w:ascii="Arial" w:cs="Arial" w:eastAsia="Arial" w:hAnsi="Arial"/>
          <w:b/>
          <w:bCs/>
          <w:sz w:val="28"/>
          <w:szCs w:val="28"/>
        </w:rPr>
        <w:t xml:space="preserve">4.9 Neurochemical Architecture of Failure</w:t>
      </w:r>
    </w:p>
    <w:p>
      <w:pPr>
        <w:spacing w:before="80" w:after="80" w:line="276"/>
        <w:jc w:val="both"/>
      </w:pPr>
      <w:r>
        <w:rPr>
          <w:rFonts w:ascii="Arial" w:cs="Arial" w:eastAsia="Arial" w:hAnsi="Arial"/>
          <w:sz w:val="22"/>
          <w:szCs w:val="22"/>
        </w:rPr>
        <w:t xml:space="preserve">[Tier A] Cholinergic depletion in DLB is more severe than in AD. NBM shows greater neuronal loss in DLB than in AD of comparable clinical severity. Consequences: (1) more severe attentional fluctuations (cholinergic gating of thalamo-cortical attention circuits more severely impaired); (2) greater sensitivity to anticholinergic drugs (common antihistamines, bladder medications, tricyclics can precipitate delirium); (3) stronger average response to cholinesterase inhibitors in DLB versus AD (rivastigmine licensed for PDD; donepezil comparable signals in DLB) [McKeith17].</w:t>
      </w:r>
    </w:p>
    <w:p>
      <w:pPr>
        <w:spacing w:before="80" w:after="80" w:line="276"/>
        <w:jc w:val="both"/>
      </w:pPr>
      <w:r>
        <w:rPr>
          <w:rFonts w:ascii="Arial" w:cs="Arial" w:eastAsia="Arial" w:hAnsi="Arial"/>
          <w:sz w:val="22"/>
          <w:szCs w:val="22"/>
        </w:rPr>
        <w:t xml:space="preserve">[Tier A] Dopaminergic depletion follows a distinct anatomical pattern: SNc neurodegeneration produces striatal dopamine depletion measurable as DAT-SPECT deficit, with ventrolateral SNc neurons affected earliest. A 2024 finding (Graybiel group, Current Biology): a parallel striosomal direct pathway (S-D1) targets specifically the ventral tier of SNpc — the neurons that die first in PD/DLB. S-D1 normally feeds back on dopamine release homeostasis; when these neurons degenerate, the feedback is lost, potentially accelerating subsequent dopamine depletion in a cascade. Combined cholinergic + dopaminergic depletion in DLB produces a ‘double gate failure’: both the ACh encoding-rate gate (NBM → cortex) and the dopamine GO-gate (SNc → striatum) are simultaneously impaired.</w:t>
      </w:r>
    </w:p>
    <w:p>
      <w:pPr>
        <w:spacing w:before="80" w:after="80" w:line="276"/>
        <w:jc w:val="both"/>
      </w:pPr>
      <w:r>
        <w:rPr>
          <w:rFonts w:ascii="Arial" w:cs="Arial" w:eastAsia="Arial" w:hAnsi="Arial"/>
          <w:sz w:val="22"/>
          <w:szCs w:val="22"/>
        </w:rPr>
        <w:t xml:space="preserve">[Tier A-B] On current mechanistic evidence, NE depletion from LC is the functionally earliest and most pleiotropic failure in DLB, predating all other neurotransmitter changes — though causal primacy relative to alpha-synuclein propagation itself remains an open question at the individual level. Three NE-dependent mechanisms are impaired simultaneously and independently: (1) NE acting on β2-adrenergic receptors on microglia normally suppresses NF-κB-driven cytokine production and NLRP3 activation; LC-NE loss removes this brake, allowing microglial M1 activation to proceed unchecked and creating a self-reinforcing neuroinflammatory state. (2) NE facilitates LTP via β-adrenergic/cAMP/PKA/AMPA receptor insertion at hippocampal synapses; NE loss raises the LTP induction threshold, causing episodic memory failure that precedes hippocampal neurodegeneration. (3) LC infraslow NE oscillations during NREM sleep drive the arterial vasomotion that powers glymphatic clearance; early LC degeneration impairs this pump at precisely the stage when alpha-synuclein accumulation is accelerating [Nedergaard25].</w:t>
      </w:r>
    </w:p>
    <w:p>
      <w:pPr>
        <w:spacing w:before="80" w:after="80" w:line="276"/>
        <w:jc w:val="both"/>
      </w:pPr>
      <w:r>
        <w:rPr>
          <w:rFonts w:ascii="Arial" w:cs="Arial" w:eastAsia="Arial" w:hAnsi="Arial"/>
          <w:sz w:val="22"/>
          <w:szCs w:val="22"/>
        </w:rPr>
        <w:t xml:space="preserve">Two further consequences follow from LC degeneration: (4) loss of the phasic NE attention-orienting signal produces the characteristic fluctuating cognition of DLB, explaining why cognitive fluctuations are among the earliest and most diagnostically distinctive features; and (5) LC modulation of the sublaterodorsal nucleus (SLD) is required for REM sleep atonia; its disruption at Braak stages 2–3 produces RBD before SNc involvement causes motor symptoms. On current evidence, the LC is the earliest-affected neuromodulatory nucleus in DLB whose degeneration initiates and amplifies multiple downstream failures simultaneously — though this ‘LC-first’ framing depends on Braak staging being representative of individual trajectories, which is not universal.</w:t>
      </w:r>
    </w:p>
    <w:p>
      <w:pPr>
        <w:spacing w:before="80" w:after="80" w:line="276"/>
        <w:jc w:val="both"/>
      </w:pPr>
      <w:r>
        <w:rPr>
          <w:rFonts w:ascii="Arial" w:cs="Arial" w:eastAsia="Arial" w:hAnsi="Arial"/>
          <w:sz w:val="22"/>
          <w:szCs w:val="22"/>
        </w:rPr>
        <w:t xml:space="preserve">[Tier B] Serotonin depletion from raphe nuclei (caudal raphe at Braak stage 2; dorsal raphe extending into stage 3) contributes to pre-motor depression and anxiety, and to pattern separation failure (raphe 5-HT to hippocampus contributes to DG pattern separation, complementing LC-NE). Raphe projections to LC provide tonic inhibitory input; raphe degeneration transiently disinhibits tonic LC firing before LC itself degenerates, potentially explaining the anxiety and hyperarousal that can precede motor and cognitive features. This cross-system vulnerability — raphe fails first, disinhibiting LC, then LC fails — produces a more complex pre-motor neurochemical trajectory than simple depletion of each system independently.</w:t>
      </w:r>
    </w:p>
    <w:p>
      <w:pPr>
        <w:pStyle w:val="Heading2"/>
        <w:spacing w:before="240" w:after="100"/>
      </w:pPr>
      <w:r>
        <w:rPr>
          <w:rFonts w:ascii="Arial" w:cs="Arial" w:eastAsia="Arial" w:hAnsi="Arial"/>
          <w:b/>
          <w:bCs/>
          <w:sz w:val="28"/>
          <w:szCs w:val="28"/>
        </w:rPr>
        <w:t xml:space="preserve">4.10 Biomarkers and Diagnosis (2024–2025 Updates)</w:t>
      </w:r>
    </w:p>
    <w:p>
      <w:pPr>
        <w:spacing w:before="80" w:after="80" w:line="276"/>
        <w:jc w:val="both"/>
      </w:pPr>
      <w:r>
        <w:rPr>
          <w:rFonts w:ascii="Arial" w:cs="Arial" w:eastAsia="Arial" w:hAnsi="Arial"/>
          <w:sz w:val="22"/>
          <w:szCs w:val="22"/>
        </w:rPr>
        <w:t xml:space="preserve">[Tier A] DAT-SPECT (DaTscan) demonstrating reduced presynaptic striatal dopamine transporter distinguishes Lewy body disease from AD with good specificity. Cardiac MIBG scintigraphy (reduced cardiac sympathetic innervation) is supportive and particularly useful in distinguishing DLB from AD, as cardiac NE terminals are lost early in body-first alpha-synuclein propagation.</w:t>
      </w:r>
    </w:p>
    <w:p>
      <w:pPr>
        <w:spacing w:before="80" w:after="80" w:line="276"/>
        <w:jc w:val="both"/>
      </w:pPr>
      <w:r>
        <w:rPr>
          <w:rFonts w:ascii="Arial" w:cs="Arial" w:eastAsia="Arial" w:hAnsi="Arial"/>
          <w:sz w:val="22"/>
          <w:szCs w:val="22"/>
        </w:rPr>
        <w:t xml:space="preserve">[Tier A-B] Alpha-synuclein SAA in CSF: a 2025 Lancet Neurology review reports up to 95% sensitivity and 98% specificity for Lewy body pathology (autopsy-confirmed DLB and PD) in well-characterised cohorts. The critical 2025 finding: only 68% of clinically diagnosed DLB are CSF SAA-positive [DLB_SAA25]. Skin biopsy SAA has similar specificity (~95%) with slightly lower sensitivity; combining CSF and skin SAA raises diagnostic accuracy to near 100% in DLB-confirmed cohorts [DLBLancet25]. SAA positivity represents the strongest current design logic for inclusion in trials targeting alpha-synuclein biology — it ensures biological alignment between participant selection and therapeutic mechanism, though trial-specific considerations may justify pragmatic exceptions.</w:t>
      </w:r>
    </w:p>
    <w:p>
      <w:pPr>
        <w:spacing w:before="80" w:after="80" w:line="276"/>
        <w:jc w:val="both"/>
      </w:pPr>
      <w:r>
        <w:rPr>
          <w:rFonts w:ascii="Arial" w:cs="Arial" w:eastAsia="Arial" w:hAnsi="Arial"/>
          <w:sz w:val="22"/>
          <w:szCs w:val="22"/>
        </w:rPr>
        <w:t xml:space="preserve">[Tier B] Neuromelanin-sensitive MRI provides indirect in-vivo measurement of LC neuronal density. Progressive neuromelanin signal reduction tracks disease severity and LC neuronal loss; longitudinal validation as a progression biomarker is ongoing. Combined olfactory testing (LC olfactory bulb axon involvement begins at Braak stage 1–2) with SAA confirmation is a candidate two-step presymptomatic screening approach. Plasma p-tau217 in DLB: elevated in the ~52% of DLB patients with concurrent AD co-pathology, enabling identification of the fastest-progressing subgroup and potential lecanemab trial candidacy.</w:t>
      </w:r>
    </w:p>
    <w:p>
      <w:pPr>
        <w:pStyle w:val="Heading2"/>
        <w:spacing w:before="240" w:after="100"/>
      </w:pPr>
      <w:r>
        <w:rPr>
          <w:rFonts w:ascii="Arial" w:cs="Arial" w:eastAsia="Arial" w:hAnsi="Arial"/>
          <w:b/>
          <w:bCs/>
          <w:sz w:val="28"/>
          <w:szCs w:val="28"/>
        </w:rPr>
        <w:t xml:space="preserve">4.11 Therapeutics</w:t>
      </w:r>
    </w:p>
    <w:p>
      <w:pPr>
        <w:spacing w:before="80" w:after="80" w:line="276"/>
        <w:jc w:val="both"/>
      </w:pPr>
      <w:r>
        <w:rPr>
          <w:rFonts w:ascii="Arial" w:cs="Arial" w:eastAsia="Arial" w:hAnsi="Arial"/>
          <w:sz w:val="22"/>
          <w:szCs w:val="22"/>
        </w:rPr>
        <w:t xml:space="preserve">[Tier A] Cholinesterase inhibitors (rivastigmine for PDD; donepezil with supporting DLB trial data) address the cholinergic deficit and represent the highest-evidence symptomatic treatment. For PD-specific motor features, dopaminergic therapy (levodopa/carbidopa) improves motor function with caution given hallucination risk at higher doses in combined cholinergic depletion.</w:t>
      </w:r>
    </w:p>
    <w:p>
      <w:pPr>
        <w:spacing w:before="80" w:after="80" w:line="276"/>
        <w:jc w:val="both"/>
      </w:pPr>
      <w:r>
        <w:rPr>
          <w:rFonts w:ascii="Arial" w:cs="Arial" w:eastAsia="Arial" w:hAnsi="Arial"/>
          <w:sz w:val="22"/>
          <w:szCs w:val="22"/>
        </w:rPr>
        <w:t xml:space="preserve">[Tier B-C] Disease modification: no approved therapy. Anti-alpha-synuclein immunotherapy: cinpanemab SPARK trial terminated 2021 (Phase 2 failure); prasinezumab Phase 2 negative on primary endpoint. Neither tested in DLB specifically. Neflamapimod (p38 MAP kinase inhibitor) RewinDLB Phase 2b failed primary endpoint December 2024. Atomoxetine for LC-NE repletion: Phase 2 Emory trial in MCI/early AD showed CSF tau reduction and improved hippocampal FDG-PET metabolism [Levey22]; DLB application is mechanistically motivated but untested. GBA1-targeted therapies (ambroxol as molecular chaperone; gene therapy) advancing given GBA1 as strongest genetic DLB/PD risk factor after APOE4 [RewinDLB24; NSDI_Simuni24]. The field is approximately a decade behind AD therapeutics.</w:t>
      </w:r>
    </w:p>
    <w:p>
      <w:r>
        <w:br w:type="page"/>
      </w:r>
    </w:p>
    <w:p>
      <w:pPr>
        <w:pStyle w:val="Heading1"/>
        <w:spacing w:before="300" w:after="120"/>
      </w:pPr>
      <w:r>
        <w:rPr>
          <w:rFonts w:ascii="Arial" w:cs="Arial" w:eastAsia="Arial" w:hAnsi="Arial"/>
          <w:b/>
          <w:bCs/>
          <w:sz w:val="32"/>
          <w:szCs w:val="32"/>
        </w:rPr>
        <w:t xml:space="preserve">5. Frontotemporal Dementia</w:t>
      </w:r>
    </w:p>
    <w:p>
      <w:pPr>
        <w:pStyle w:val="Heading2"/>
        <w:spacing w:before="240" w:after="100"/>
      </w:pPr>
      <w:r>
        <w:rPr>
          <w:rFonts w:ascii="Arial" w:cs="Arial" w:eastAsia="Arial" w:hAnsi="Arial"/>
          <w:b/>
          <w:bCs/>
          <w:sz w:val="28"/>
          <w:szCs w:val="28"/>
        </w:rPr>
        <w:t xml:space="preserve">5.1 Clinical Subtypes</w:t>
      </w:r>
    </w:p>
    <w:p>
      <w:pPr>
        <w:spacing w:before="80" w:after="80" w:line="276"/>
        <w:jc w:val="both"/>
      </w:pPr>
      <w:r>
        <w:rPr>
          <w:rFonts w:ascii="Arial" w:cs="Arial" w:eastAsia="Arial" w:hAnsi="Arial"/>
          <w:sz w:val="22"/>
          <w:szCs w:val="22"/>
        </w:rPr>
        <w:t xml:space="preserve">Frontotemporal dementia (FTD) encompasses multiple anatomically and pathologically distinct subtypes. The three primary clinical phenotypes are: behavioural variant FTD (bvFTD), characterised by early personality change, disinhibition, apathy, loss of empathy, hyperorality, and executive dysfunction; semantic variant primary progressive aphasia (svPPA), with progressive loss of word and object knowledge; and nonfluent/agrammatic variant PPA (nfvPPA), with effortful halting speech and preserved comprehension. Logopenic variant PPA (lvPPA) is now classified as a predominant AD phenotype rather than true FTD.</w:t>
      </w:r>
    </w:p>
    <w:p>
      <w:pPr>
        <w:spacing w:before="80" w:after="80" w:line="276"/>
        <w:jc w:val="both"/>
      </w:pPr>
      <w:r>
        <w:rPr>
          <w:rFonts w:ascii="Arial" w:cs="Arial" w:eastAsia="Arial" w:hAnsi="Arial"/>
          <w:sz w:val="22"/>
          <w:szCs w:val="22"/>
        </w:rPr>
        <w:t xml:space="preserve">[Tier A] FTD accounts for approximately 10–20% of all dementias but is the most common dementia in individuals under 60 — disproportionately important in terms of productive life years lost. Mean onset age is approximately 58 years; onset before 45 in roughly 10–15% of cases. FTD is frequently misdiagnosed as bipolar disorder, depression, or personality disorder, with an average diagnostic delay of 3–5 years from symptom onset. This delay is clinically significant because it means patients are managed with antidepressants, antipsychotics, and behavioural interventions calibrated for psychiatric disorders rather than neurodegeneration.</w:t>
      </w:r>
    </w:p>
    <w:p>
      <w:pPr>
        <w:pStyle w:val="Heading2"/>
        <w:spacing w:before="240" w:after="100"/>
      </w:pPr>
      <w:r>
        <w:rPr>
          <w:rFonts w:ascii="Arial" w:cs="Arial" w:eastAsia="Arial" w:hAnsi="Arial"/>
          <w:b/>
          <w:bCs/>
          <w:sz w:val="28"/>
          <w:szCs w:val="28"/>
        </w:rPr>
        <w:t xml:space="preserve">5.2 Neuropathological Classification and TDP-43 Mechanism</w:t>
      </w:r>
    </w:p>
    <w:p>
      <w:pPr>
        <w:spacing w:before="80" w:after="80" w:line="276"/>
        <w:jc w:val="both"/>
      </w:pPr>
      <w:r>
        <w:rPr>
          <w:rFonts w:ascii="Arial" w:cs="Arial" w:eastAsia="Arial" w:hAnsi="Arial"/>
          <w:sz w:val="22"/>
          <w:szCs w:val="22"/>
        </w:rPr>
        <w:t xml:space="preserve">[Tier A] Three major neuropathological classes are recognised: FTLD-TDP (TDP-43 proteinopathy, ~45–50% of FTD cases, types A–E); FTLD-tau (tau proteinopathy, ~40–45%, including Pick’s disease, CBD, PSP, and MAPT-mutation cases); and FTLD-FUS (FUS proteinopathy, ~5–10%, predominantly young-onset bvFTD without family history). Pathological subtypes have imperfect correspondence to clinical phenotypes, limiting clinicopathological prediction in life. The same MAPT mutation can produce different clinical phenotypes; the same clinical syndrome can reflect different underlying proteins.</w:t>
      </w:r>
    </w:p>
    <w:p>
      <w:pPr>
        <w:spacing w:before="80" w:after="80" w:line="276"/>
        <w:jc w:val="both"/>
      </w:pPr>
      <w:r>
        <w:rPr>
          <w:rFonts w:ascii="Arial" w:cs="Arial" w:eastAsia="Arial" w:hAnsi="Arial"/>
          <w:sz w:val="22"/>
          <w:szCs w:val="22"/>
        </w:rPr>
        <w:t xml:space="preserve">[Tier A] TDP-43 is a multifunctional RNA-binding protein: pre-mRNA splicing, mRNA stabilisation, stress granule regulation. In FTLD-TDP, TDP-43 mislocalises from nucleus to cytoplasm, producing: (1) loss of nuclear RNA splicing and quality control functions; (2) toxic gain-of-function from cytoplasmic aggregation; (3) failure to suppress cryptic exon inclusion in target mRNAs — leading to aberrant protein products including truncated proteins and neoepitopes. The same TDP-43 pathology is the primary proteinopathy in approximately 97% of ALS cases, establishing FTD-ALS as a disease continuum with shared molecular mechanism.</w:t>
      </w:r>
    </w:p>
    <w:p>
      <w:pPr>
        <w:spacing w:before="80" w:after="80" w:line="276"/>
        <w:jc w:val="both"/>
      </w:pPr>
      <w:r>
        <w:rPr>
          <w:rFonts w:ascii="Arial" w:cs="Arial" w:eastAsia="Arial" w:hAnsi="Arial"/>
          <w:sz w:val="22"/>
          <w:szCs w:val="22"/>
        </w:rPr>
        <w:t xml:space="preserve">[Tier B] A 2025 Northwestern/Kiskinis lab advance (Nature Neuroscience): when TDP-43 mislocalises, it disrupts normal splicing of the KCNQ2 potassium channel, which normally functions as a ‘brake’ preventing neuronal hyperexcitability. Loss of KCNQ2 function → neurons fire too much and too easily. This directly connects TDP-43 pathology and neuronal hyperexcitability — two previously parallel ALS/FTD findings — into a single mechanistic pathway. Patients with more severe KCNQ2 mis-splicing have earlier disease onset. The primary proposed therapeutic intervention is an antisense oligonucleotide (ASO) that corrects KCNQ2 splicing; this restored normal potassium channel function and dampened hyperexcitability in iPSC-derived cortical and spinal motor neurons. KCNQ channel activators (such as ezogabine, approved for epilepsy) are a secondary pharmacological candidate; the ASO approach is more specific to the mis-splicing mechanism. Both approaches remain at the iPSC and postmortem-tissue stage; in vivo preclinical efficacy and CNS delivery have not yet been demonstrated [FTD_KCNQ2_25].</w:t>
      </w:r>
    </w:p>
    <w:p>
      <w:pPr>
        <w:pStyle w:val="Heading2"/>
        <w:spacing w:before="240" w:after="100"/>
      </w:pPr>
      <w:r>
        <w:rPr>
          <w:rFonts w:ascii="Arial" w:cs="Arial" w:eastAsia="Arial" w:hAnsi="Arial"/>
          <w:b/>
          <w:bCs/>
          <w:sz w:val="28"/>
          <w:szCs w:val="28"/>
        </w:rPr>
        <w:t xml:space="preserve">5.3 Genetic Architecture</w:t>
      </w:r>
    </w:p>
    <w:p>
      <w:pPr>
        <w:spacing w:before="80" w:after="80" w:line="276"/>
        <w:jc w:val="both"/>
      </w:pPr>
      <w:r>
        <w:rPr>
          <w:rFonts w:ascii="Arial" w:cs="Arial" w:eastAsia="Arial" w:hAnsi="Arial"/>
          <w:sz w:val="22"/>
          <w:szCs w:val="22"/>
        </w:rPr>
        <w:t xml:space="preserve">[Tier A] FTD is among the most heritable neurodegenerative diseases: ~30–40% have family history consistent with autosomal dominant inheritance. Three genes account for the majority of familial FTD.</w:t>
      </w:r>
    </w:p>
    <w:p>
      <w:pPr>
        <w:spacing w:before="80" w:after="80" w:line="276"/>
        <w:jc w:val="both"/>
      </w:pPr>
      <w:r>
        <w:rPr>
          <w:rFonts w:ascii="Arial" w:cs="Arial" w:eastAsia="Arial" w:hAnsi="Arial"/>
          <w:sz w:val="22"/>
          <w:szCs w:val="22"/>
        </w:rPr>
        <w:t xml:space="preserve">[Tier A] C9orf72 hexanucleotide repeat expansion (GGGGCC): the most common single genetic cause of both familial FTD (~25% in European populations) and familial ALS (~34–40%). Normal alleles have 2–23 repeats; pathogenic expansions carry hundreds to thousands. Three simultaneous pathomechanisms: (i) expanded repeat RNA forming G-quadruplex structures that sequester RNA-binding proteins (RNA foci); (ii) repeat-associated non-ATG (RAN) translation producing toxic dipeptide repeat proteins (DPRs) — poly-GA and poly-GR particularly toxic; (iii) loss of the C9orf72 protein itself (autophagy-lysosomal regulation and vesicle trafficking). Which mechanism dominates in human disease remains unresolved; the answer determines therapeutic targeting.</w:t>
      </w:r>
    </w:p>
    <w:p>
      <w:pPr>
        <w:spacing w:before="80" w:after="80" w:line="276"/>
        <w:jc w:val="both"/>
      </w:pPr>
      <w:r>
        <w:rPr>
          <w:rFonts w:ascii="Arial" w:cs="Arial" w:eastAsia="Arial" w:hAnsi="Arial"/>
          <w:sz w:val="22"/>
          <w:szCs w:val="22"/>
        </w:rPr>
        <w:t xml:space="preserve">[Tier A] MAPT mutations (chromosome 17q21.31) cause FTLD-tau: familial Pick’s disease, CBD, PSP, and FTDP-17. Over 50 pathogenic mutations known. Splice-site mutations alter 4R:3R tau isoform ratio, demonstrating that isoform imbalance alone is sufficient for neurodegeneration — directly informing MAPT-targeting ASO design. GRN mutations (same chromosomal locus, distinct gene) cause FTLD-TDP type A through haploinsufficiency: 50% progranulin reduction → lysosomal dysfunction → failure to clear TDP-43 aggregates. GRN haploinsufficiency is the primary target of progranulin replacement therapy (latozinemab, gene therapy).</w:t>
      </w:r>
    </w:p>
    <w:p>
      <w:pPr>
        <w:pStyle w:val="Heading2"/>
        <w:spacing w:before="240" w:after="100"/>
      </w:pPr>
      <w:r>
        <w:rPr>
          <w:rFonts w:ascii="Arial" w:cs="Arial" w:eastAsia="Arial" w:hAnsi="Arial"/>
          <w:b/>
          <w:bCs/>
          <w:sz w:val="28"/>
          <w:szCs w:val="28"/>
        </w:rPr>
        <w:t xml:space="preserve">5.4 Why the AD Clearance-Failure Framework Does Not Apply</w:t>
      </w:r>
    </w:p>
    <w:p>
      <w:pPr>
        <w:spacing w:before="80" w:after="80" w:line="276"/>
        <w:jc w:val="both"/>
      </w:pPr>
      <w:r>
        <w:rPr>
          <w:rFonts w:ascii="Arial" w:cs="Arial" w:eastAsia="Arial" w:hAnsi="Arial"/>
          <w:sz w:val="22"/>
          <w:szCs w:val="22"/>
        </w:rPr>
        <w:t xml:space="preserve">[Tier A] The critical structural distinction: FTD is primarily a cell-intrinsic, genetically driven failure of RNA metabolism and protein homeostasis within neurons of specific cortical regions. Accumulation of TDP-43, tau, or FUS aggregates is driven by cell-intrinsic mechanisms (repeat expansion, splice-site mutation, haploinsufficiency) rather than failure of extracellular clearance systems to remove excess protein produced at normal rates. Approaches that improve glymphatic clearance or reduce extracellular amyloid are not relevant to FTLD-TDP or FTLD-tau. In AD, the target is the clearance system. In FTD, the target is the intracellular machinery: RNA splicing regulation, autophagy-lysosomal function, DPR toxicity, and TDP-43 nuclear function maintenance.</w:t>
      </w:r>
    </w:p>
    <w:p>
      <w:pPr>
        <w:spacing w:before="80" w:after="80" w:line="276"/>
        <w:jc w:val="both"/>
      </w:pPr>
      <w:r>
        <w:rPr>
          <w:rFonts w:ascii="Arial" w:cs="Arial" w:eastAsia="Arial" w:hAnsi="Arial"/>
          <w:sz w:val="22"/>
          <w:szCs w:val="22"/>
        </w:rPr>
        <w:t xml:space="preserve">[Tier B] The peripheral risk factor and systems framework applies partially and indirectly. Cardiovascular and metabolic risk factors likely accelerate FTD progression by adding NVU stress and neuroinflammatory burden to a system already compromised by intrinsic failure. Sleep disruption worsens neuroinflammatory tone and protein homeostasis. Exercise preserves neuronal reserves and reduces inflammatory burden. But these are accelerants and buffers on a primarily genetic programme. Population-attributable risk from modifiable peripheral factors is substantially lower in FTD than in AD or VaD.</w:t>
      </w:r>
    </w:p>
    <w:p>
      <w:pPr>
        <w:pStyle w:val="Heading2"/>
        <w:spacing w:before="240" w:after="100"/>
      </w:pPr>
      <w:r>
        <w:rPr>
          <w:rFonts w:ascii="Arial" w:cs="Arial" w:eastAsia="Arial" w:hAnsi="Arial"/>
          <w:b/>
          <w:bCs/>
          <w:sz w:val="28"/>
          <w:szCs w:val="28"/>
        </w:rPr>
        <w:t xml:space="preserve">5.5 New TDP-43 Biomarkers: Closing the Most Important Gap</w:t>
      </w:r>
    </w:p>
    <w:p>
      <w:pPr>
        <w:spacing w:before="80" w:after="80" w:line="276"/>
        <w:jc w:val="both"/>
      </w:pPr>
      <w:r>
        <w:rPr>
          <w:rFonts w:ascii="Arial" w:cs="Arial" w:eastAsia="Arial" w:hAnsi="Arial"/>
          <w:sz w:val="22"/>
          <w:szCs w:val="22"/>
        </w:rPr>
        <w:t xml:space="preserve">[Tier A] The absence of a validated TDP-43 biomarker has been the single most important obstacle to FTLD-TDP clinical trials: without it, FTLD-TDP cannot be distinguished from FTLD-tau in living patients, and trials cannot be stratified or have surrogate endpoints. Two 2023–2024 advances are beginning to close this gap.</w:t>
      </w:r>
    </w:p>
    <w:p>
      <w:pPr>
        <w:spacing w:before="80" w:after="80" w:line="276"/>
        <w:jc w:val="both"/>
      </w:pPr>
      <w:r>
        <w:rPr>
          <w:rFonts w:ascii="Arial" w:cs="Arial" w:eastAsia="Arial" w:hAnsi="Arial"/>
          <w:sz w:val="22"/>
          <w:szCs w:val="22"/>
        </w:rPr>
        <w:t xml:space="preserve">[Tier B] Cryptic HDGFL2 (Irwin et al., Nature Medicine 2024): TDP-43 normally suppresses inclusion of a cryptic exon in the HDGFL2 (hepatoma-derived growth factor-like protein 2) gene. When TDP-43 mislocalises from the nucleus — the defining pathological event in FTLD-TDP — HDGFL2 cryptic exon is included, producing a neoepitope detectable by a specific monoclonal antibody. Cryptic HDGFL2 accumulates in CSF at significantly higher levels in familial ALS-FTD and sporadic ALS versus controls, and — critically — is elevated in presymptomatic C9orf72 mutation carriers, preceding NfL elevation. This is the first reported presymptomatic biomarker of TDP-43 loss-of-function, with proof-of-concept detection of FTLD-TDP pathology before neurodegeneration is established — though large-scale prospective validation across sporadic FTD and diverse genetic backgrounds remains to be done. Plasma cryptic HDGFL2 correlates well with CSF levels [Irwin24_NatMed].</w:t>
      </w:r>
    </w:p>
    <w:p>
      <w:pPr>
        <w:spacing w:before="80" w:after="80" w:line="276"/>
        <w:jc w:val="both"/>
      </w:pPr>
      <w:r>
        <w:rPr>
          <w:rFonts w:ascii="Arial" w:cs="Arial" w:eastAsia="Arial" w:hAnsi="Arial"/>
          <w:sz w:val="22"/>
          <w:szCs w:val="22"/>
        </w:rPr>
        <w:t xml:space="preserve">[Tier B] Truncated TDP-43 proteoforms (Forgrave et al., Alzheimer’s &amp; Dementia 2024): high-resolution mass spectrometry identified C-terminal TDP-43 fragments specific to FTLD-TDP in brain tissue. In the discovery phase, truncated TDP-43 identified FTLD-TDP with 85% sensitivity and 100% specificity; verification phase showed 83% sensitivity and 89% specificity. This is the first brain-tissue biomarker of TDP-43 pathology with high specificity; translation to CSF and plasma assay is the next step [TDP43_proteoforms24].</w:t>
      </w:r>
    </w:p>
    <w:p>
      <w:pPr>
        <w:spacing w:before="80" w:after="80" w:line="276"/>
        <w:jc w:val="both"/>
      </w:pPr>
      <w:r>
        <w:rPr>
          <w:rFonts w:ascii="Arial" w:cs="Arial" w:eastAsia="Arial" w:hAnsi="Arial"/>
          <w:sz w:val="22"/>
          <w:szCs w:val="22"/>
        </w:rPr>
        <w:t xml:space="preserve">[Tier A] NfL (plasma and CSF) remains the most validated progression biomarker across FTD subtypes: elevated versus age-matched controls, tracks progression, and predicts conversion to dementia in presymptomatic MAPT, GRN, and C9orf72 mutation carriers. The ALLFTD and GENFI consortia have published normative NfL trajectories for all three genetic subtypes, providing the reference curves needed for presymptomatic trial design. NfL is not FTD-specific but its trajectory in presymptomatic carriers is a validated surrogate endpoint [Rojas21].</w:t>
      </w:r>
    </w:p>
    <w:p>
      <w:pPr>
        <w:pStyle w:val="Heading2"/>
        <w:spacing w:before="240" w:after="100"/>
      </w:pPr>
      <w:r>
        <w:rPr>
          <w:rFonts w:ascii="Arial" w:cs="Arial" w:eastAsia="Arial" w:hAnsi="Arial"/>
          <w:b/>
          <w:bCs/>
          <w:sz w:val="28"/>
          <w:szCs w:val="28"/>
        </w:rPr>
        <w:t xml:space="preserve">5.6 Therapeutic Pipeline</w:t>
      </w:r>
    </w:p>
    <w:p>
      <w:pPr>
        <w:spacing w:before="80" w:after="80" w:line="276"/>
        <w:jc w:val="both"/>
      </w:pPr>
      <w:r>
        <w:rPr>
          <w:rFonts w:ascii="Arial" w:cs="Arial" w:eastAsia="Arial" w:hAnsi="Arial"/>
          <w:sz w:val="22"/>
          <w:szCs w:val="22"/>
        </w:rPr>
        <w:t xml:space="preserve">[Tier A-B] No disease-modifying therapy is approved for any FTD syndrome.</w:t>
      </w:r>
    </w:p>
    <w:p>
      <w:pPr>
        <w:spacing w:before="80" w:after="80" w:line="276"/>
        <w:jc w:val="both"/>
      </w:pPr>
      <w:r>
        <w:rPr>
          <w:rFonts w:ascii="Arial" w:cs="Arial" w:eastAsia="Arial" w:hAnsi="Arial"/>
          <w:sz w:val="22"/>
          <w:szCs w:val="22"/>
        </w:rPr>
        <w:t xml:space="preserve">[Tier B] Latozinemab (AL001, Alector/GSK, anti-sortilin antibody raising progranulin): INFRONT-3 Phase 3 trial (GRN-mutation FTD; 101 symptomatic participants enrolled, primary analysis on symptomatic cohort); topline results announced October 2025. Progranulin levels were substantially raised; the primary CDR® plus NACC-FTLD Sum of Boxes endpoint was not significantly met. Subgroup and biomarker analyses ongoing. The trial failure raises three fundamental questions: (1) Is progranulin replacement the right target, or is downstream lysosomal repair insufficient once pathology is established? (2) Were patients enrolled too late? (3) Is CDR® plus NACC-FTLD insufficiently sensitive for the rate of change in this population? Each answer requires a different trial design. Progranulin gene therapy (upliFT-D, PBFT02) has demonstrated durable supraphysiologic CSF progranulin elevation and slowed NfL progression through 18 months in Phase 1/2 interim data (June 2025); serious adverse events including thrombosis have prompted protocol modification [PBFT02_25].</w:t>
      </w:r>
    </w:p>
    <w:p>
      <w:pPr>
        <w:spacing w:before="80" w:after="80" w:line="276"/>
        <w:jc w:val="both"/>
      </w:pPr>
      <w:r>
        <w:rPr>
          <w:rFonts w:ascii="Arial" w:cs="Arial" w:eastAsia="Arial" w:hAnsi="Arial"/>
          <w:sz w:val="22"/>
          <w:szCs w:val="22"/>
        </w:rPr>
        <w:t xml:space="preserve">[Tier B] MAPTRx (antisense oligonucleotide targeting MAPT mRNA): Mummery et al. Phase 1b trial in mild AD (n=46, Nat Med 2023) demonstrated safety and ≥50% mean CSF tau reduction at highest dose cohorts. Whether tau reduction translates to clinical benefit in MAPT-mutation FTD is the question for ongoing Phase 2 work [Mummery23]. C9orf72 repeat RNA ASOs targeting toxic repeat RNA (RNA foci mechanism) and small molecules targeting RAN translation DPRs are in early-phase trials; none have reached Phase 3.</w:t>
      </w:r>
    </w:p>
    <w:p>
      <w:pPr>
        <w:spacing w:before="80" w:after="80" w:line="276"/>
        <w:jc w:val="both"/>
      </w:pPr>
      <w:r>
        <w:rPr>
          <w:rFonts w:ascii="Arial" w:cs="Arial" w:eastAsia="Arial" w:hAnsi="Arial"/>
          <w:sz w:val="22"/>
          <w:szCs w:val="22"/>
        </w:rPr>
        <w:t xml:space="preserve">[Tier B] Progranulin gene therapy (upliFT-D, PBFT02, Passage Bio): Phase 1/2 trial ongoing. Updated June 2025 interim data (n=7 Dose 1, n=1 Dose 2): CSF progranulin increased from below 3 ng/mL at baseline to sustained supraphysiologic levels through 18 months (23.8 ng/mL at 18 months for Dose 1); plasma NfL increased only 4% at 12 months versus an expected 28–29% per year in natural history cohorts. Three of eight patients experienced serious adverse events including venous sinus thrombosis, prompting addition of prophylactic anticoagulation to the protocol. Regulatory feedback on pivotal trial design planned for 1H 2026 [PBFT02_25].</w:t>
      </w:r>
    </w:p>
    <w:p>
      <w:pPr>
        <w:spacing w:before="80" w:after="80" w:line="276"/>
        <w:jc w:val="both"/>
      </w:pPr>
      <w:r>
        <w:rPr>
          <w:rFonts w:ascii="Arial" w:cs="Arial" w:eastAsia="Arial" w:hAnsi="Arial"/>
          <w:sz w:val="22"/>
          <w:szCs w:val="22"/>
        </w:rPr>
        <w:t xml:space="preserve">[Tier B] TPN-101 (LINE-1 reverse transcriptase inhibitor, Transposon Therapeutics): Phase 2 study in C9orf72-related ALS/FTD (n=42, randomised 3:2, 24-week double-blind + 24-week open-label). Final results announced July 2024: NfL reduction, 50% less decline in slow vital capacity, slowing on ALSFRS-R; meta-analysis across the Phase 2 ALS/FTD and PSP cohorts showed a statistically significant NfL-lowering effect. TPN-101 was selected in May 2025 for inclusion in the HEALEY ALS Platform Trial (Phase 2/3), with regimen initiation planned for Q4 2025 [TPN101_24]. Metformin (inhibiting RNA-dependent protein kinase and decreasing RAN protein levels in C9orf72 carriers): Phase 2 trial ongoing (n=18, single site, USA). Neflamapimod (p38 MAP kinase inhibitor): failed primary endpoint in RewinDLB (December 2024) but received FDA Orphan Drug Designation for FTD in November 2024; FTD-focused trials under discussion [TPN101_24].</w:t>
      </w:r>
    </w:p>
    <w:p>
      <w:pPr>
        <w:spacing w:before="80" w:after="80" w:line="276"/>
        <w:jc w:val="both"/>
      </w:pPr>
      <w:r>
        <w:rPr>
          <w:rFonts w:ascii="Arial" w:cs="Arial" w:eastAsia="Arial" w:hAnsi="Arial"/>
          <w:sz w:val="22"/>
          <w:szCs w:val="22"/>
        </w:rPr>
        <w:t xml:space="preserve">[Tier B-C] For sporadic FTD, the critical obstacle is the absence of validated biomarkers to identify underlying pathological protein in life without biopsy or autopsy. Cryptic HDGFL2, if validated in CSF and plasma for clinical use, would enable stratification of sporadic FTD patients for TDP-43-specific trials for the first time. For FTLD-tau, next-generation tau-PET ligands with broader isoform coverage (beyond 3R+4R mixed AD tau) would enable in-vivo tauopathy confirmation. Both developments would transform sporadic FTD trial design, moving it from the current situation where only genetic subtypes are triallable to the majority sporadic population.</w:t>
      </w:r>
    </w:p>
    <w:p>
      <w:r>
        <w:br w:type="page"/>
      </w:r>
    </w:p>
    <w:p>
      <w:pPr>
        <w:pStyle w:val="Heading1"/>
        <w:spacing w:before="300" w:after="120"/>
      </w:pPr>
      <w:r>
        <w:rPr>
          <w:rFonts w:ascii="Arial" w:cs="Arial" w:eastAsia="Arial" w:hAnsi="Arial"/>
          <w:b/>
          <w:bCs/>
          <w:sz w:val="32"/>
          <w:szCs w:val="32"/>
        </w:rPr>
        <w:t xml:space="preserve">6. Cross-Dementia Comparison</w:t>
      </w:r>
    </w:p>
    <w:p>
      <w:pPr>
        <w:pStyle w:val="Heading2"/>
        <w:spacing w:before="240" w:after="100"/>
      </w:pPr>
      <w:r>
        <w:rPr>
          <w:rFonts w:ascii="Arial" w:cs="Arial" w:eastAsia="Arial" w:hAnsi="Arial"/>
          <w:b/>
          <w:bCs/>
          <w:sz w:val="28"/>
          <w:szCs w:val="28"/>
        </w:rPr>
        <w:t xml:space="preserve">6.1 Unified Comparison Table</w:t>
      </w:r>
    </w:p>
    <w:p>
      <w:pPr>
        <w:spacing w:before="80" w:after="80" w:line="276"/>
        <w:jc w:val="both"/>
      </w:pPr>
      <w:r>
        <w:rPr>
          <w:rFonts w:ascii="Arial" w:cs="Arial" w:eastAsia="Arial" w:hAnsi="Arial"/>
          <w:sz w:val="22"/>
          <w:szCs w:val="22"/>
        </w:rPr>
        <w:t xml:space="preserve">The following table compares all four major dementia syndromes across mechanistic dimensions relevant to the peripheral systems convergence framework.</w:t>
      </w:r>
    </w:p>
    <w:p>
      <w:pPr>
        <w:spacing w:before="8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400"/>
            <w:tcBorders>
              <w:top w:val="single" w:color="CCCCCC" w:sz="1"/>
              <w:left w:val="single" w:color="CCCCCC" w:sz="1"/>
              <w:bottom w:val="single" w:color="CCCCCC" w:sz="1"/>
              <w:right w:val="single" w:color="CCCCCC" w:sz="1"/>
            </w:tcBorders>
            <w:shd w:fill="2C3E6B" w:val="clear"/>
          </w:tcPr>
          <w:p>
            <w:pPr>
              <w:spacing w:before="60" w:after="60"/>
            </w:pPr>
            <w:r>
              <w:rPr>
                <w:rFonts w:ascii="Arial" w:cs="Arial" w:eastAsia="Arial" w:hAnsi="Arial"/>
                <w:b/>
                <w:bCs/>
                <w:color w:val="FFFFFF"/>
                <w:sz w:val="19"/>
                <w:szCs w:val="19"/>
              </w:rPr>
              <w:t xml:space="preserve">Dimension</w:t>
            </w:r>
          </w:p>
        </w:tc>
        <w:tc>
          <w:tcPr>
            <w:tcW w:type="dxa" w:w="1680"/>
            <w:tcBorders>
              <w:top w:val="single" w:color="CCCCCC" w:sz="1"/>
              <w:left w:val="single" w:color="CCCCCC" w:sz="1"/>
              <w:bottom w:val="single" w:color="CCCCCC" w:sz="1"/>
              <w:right w:val="single" w:color="CCCCCC" w:sz="1"/>
            </w:tcBorders>
            <w:shd w:fill="2C3E6B" w:val="clear"/>
          </w:tcPr>
          <w:p>
            <w:pPr>
              <w:spacing w:before="60" w:after="60"/>
            </w:pPr>
            <w:r>
              <w:rPr>
                <w:rFonts w:ascii="Arial" w:cs="Arial" w:eastAsia="Arial" w:hAnsi="Arial"/>
                <w:b/>
                <w:bCs/>
                <w:color w:val="FFFFFF"/>
                <w:sz w:val="19"/>
                <w:szCs w:val="19"/>
              </w:rPr>
              <w:t xml:space="preserve">Alzheimer's</w:t>
            </w:r>
          </w:p>
        </w:tc>
        <w:tc>
          <w:tcPr>
            <w:tcW w:type="dxa" w:w="1680"/>
            <w:tcBorders>
              <w:top w:val="single" w:color="CCCCCC" w:sz="1"/>
              <w:left w:val="single" w:color="CCCCCC" w:sz="1"/>
              <w:bottom w:val="single" w:color="CCCCCC" w:sz="1"/>
              <w:right w:val="single" w:color="CCCCCC" w:sz="1"/>
            </w:tcBorders>
            <w:shd w:fill="2C3E6B" w:val="clear"/>
          </w:tcPr>
          <w:p>
            <w:pPr>
              <w:spacing w:before="60" w:after="60"/>
            </w:pPr>
            <w:r>
              <w:rPr>
                <w:rFonts w:ascii="Arial" w:cs="Arial" w:eastAsia="Arial" w:hAnsi="Arial"/>
                <w:b/>
                <w:bCs/>
                <w:color w:val="FFFFFF"/>
                <w:sz w:val="19"/>
                <w:szCs w:val="19"/>
              </w:rPr>
              <w:t xml:space="preserve">Vascular (VaD)</w:t>
            </w:r>
          </w:p>
        </w:tc>
        <w:tc>
          <w:tcPr>
            <w:tcW w:type="dxa" w:w="1960"/>
            <w:tcBorders>
              <w:top w:val="single" w:color="CCCCCC" w:sz="1"/>
              <w:left w:val="single" w:color="CCCCCC" w:sz="1"/>
              <w:bottom w:val="single" w:color="CCCCCC" w:sz="1"/>
              <w:right w:val="single" w:color="CCCCCC" w:sz="1"/>
            </w:tcBorders>
            <w:shd w:fill="2C3E6B" w:val="clear"/>
          </w:tcPr>
          <w:p>
            <w:pPr>
              <w:spacing w:before="60" w:after="60"/>
            </w:pPr>
            <w:r>
              <w:rPr>
                <w:rFonts w:ascii="Arial" w:cs="Arial" w:eastAsia="Arial" w:hAnsi="Arial"/>
                <w:b/>
                <w:bCs/>
                <w:color w:val="FFFFFF"/>
                <w:sz w:val="19"/>
                <w:szCs w:val="19"/>
              </w:rPr>
              <w:t xml:space="preserve">Lewy Body (DLB)</w:t>
            </w:r>
          </w:p>
        </w:tc>
        <w:tc>
          <w:tcPr>
            <w:tcW w:type="dxa" w:w="2640"/>
            <w:tcBorders>
              <w:top w:val="single" w:color="CCCCCC" w:sz="1"/>
              <w:left w:val="single" w:color="CCCCCC" w:sz="1"/>
              <w:bottom w:val="single" w:color="CCCCCC" w:sz="1"/>
              <w:right w:val="single" w:color="CCCCCC" w:sz="1"/>
            </w:tcBorders>
            <w:shd w:fill="2C3E6B" w:val="clear"/>
          </w:tcPr>
          <w:p>
            <w:pPr>
              <w:spacing w:before="60" w:after="60"/>
            </w:pPr>
            <w:r>
              <w:rPr>
                <w:rFonts w:ascii="Arial" w:cs="Arial" w:eastAsia="Arial" w:hAnsi="Arial"/>
                <w:b/>
                <w:bCs/>
                <w:color w:val="FFFFFF"/>
                <w:sz w:val="19"/>
                <w:szCs w:val="19"/>
              </w:rPr>
              <w:t xml:space="preserve">Frontotemporal (FTD)</w:t>
            </w:r>
          </w:p>
        </w:tc>
      </w:tr>
      <w:tr>
        <w:tc>
          <w:tcPr>
            <w:tcW w:type="dxa" w:w="140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Primary failure</w:t>
            </w:r>
          </w:p>
        </w:tc>
        <w:tc>
          <w:tcPr>
            <w:tcW w:type="dxa" w:w="168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Clearance threshold crossing (amyloid, tau)</w:t>
            </w:r>
          </w:p>
        </w:tc>
        <w:tc>
          <w:tcPr>
            <w:tcW w:type="dxa" w:w="168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NVU injury: k_endo failure, pericyte loss, BBB breakdown</w:t>
            </w:r>
          </w:p>
        </w:tc>
        <w:tc>
          <w:tcPr>
            <w:tcW w:type="dxa" w:w="196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Alpha-synuclein propagation; gut → brainstem → cortex</w:t>
            </w:r>
          </w:p>
        </w:tc>
        <w:tc>
          <w:tcPr>
            <w:tcW w:type="dxa" w:w="264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Cell-intrinsic RNA/protein homeostasis failure (TDP-43, tau, FUS)</w:t>
            </w:r>
          </w:p>
        </w:tc>
      </w:tr>
      <w:tr>
        <w:tc>
          <w:tcPr>
            <w:tcW w:type="dxa" w:w="140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Systems framework applies?</w:t>
            </w:r>
          </w:p>
        </w:tc>
        <w:tc>
          <w:tcPr>
            <w:tcW w:type="dxa" w:w="168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Yes — primary mechanism</w:t>
            </w:r>
          </w:p>
        </w:tc>
        <w:tc>
          <w:tcPr>
            <w:tcW w:type="dxa" w:w="168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Yes — primary mechanism (vascular risk IS the disease)</w:t>
            </w:r>
          </w:p>
        </w:tc>
        <w:tc>
          <w:tcPr>
            <w:tcW w:type="dxa" w:w="196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Partially: LC depletion and gut-first central; ~52–70% AD co-pathology</w:t>
            </w:r>
          </w:p>
        </w:tc>
        <w:tc>
          <w:tcPr>
            <w:tcW w:type="dxa" w:w="264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Indirectly: accelerant only; primarily genetic</w:t>
            </w:r>
          </w:p>
        </w:tc>
      </w:tr>
      <w:tr>
        <w:tc>
          <w:tcPr>
            <w:tcW w:type="dxa" w:w="140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Hormonal contribution</w:t>
            </w:r>
          </w:p>
        </w:tc>
        <w:tc>
          <w:tcPr>
            <w:tcW w:type="dxa" w:w="168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High: E2/ALLO drive AQP4, SWS window, BACE1, microglial tone</w:t>
            </w:r>
          </w:p>
        </w:tc>
        <w:tc>
          <w:tcPr>
            <w:tcW w:type="dxa" w:w="168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High: E2 → eNOS; cortisol → AT1R/RAAS; DHEA buffer</w:t>
            </w:r>
          </w:p>
        </w:tc>
        <w:tc>
          <w:tcPr>
            <w:tcW w:type="dxa" w:w="196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Moderate: E2 protects dopaminergic system; DHEA/cortisol on microglial tone around LC/SNc</w:t>
            </w:r>
          </w:p>
        </w:tc>
        <w:tc>
          <w:tcPr>
            <w:tcW w:type="dxa" w:w="264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Low: accelerant via neuroinflammatory tone; no direct driver</w:t>
            </w:r>
          </w:p>
        </w:tc>
      </w:tr>
      <w:tr>
        <w:tc>
          <w:tcPr>
            <w:tcW w:type="dxa" w:w="140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Sleep/glymphatic</w:t>
            </w:r>
          </w:p>
        </w:tc>
        <w:tc>
          <w:tcPr>
            <w:tcW w:type="dxa" w:w="168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High: NE oscillatory pump (2025 Nedergaard); SWS clearance window</w:t>
            </w:r>
          </w:p>
        </w:tc>
        <w:tc>
          <w:tcPr>
            <w:tcW w:type="dxa" w:w="168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High: arterial pulsatility, nocturnal BP dipping, OSA nocturnal stress</w:t>
            </w:r>
          </w:p>
        </w:tc>
        <w:tc>
          <w:tcPr>
            <w:tcW w:type="dxa" w:w="196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Very high: RBD = primary biomarker; LC NE oscillatory pump impaired earliest</w:t>
            </w:r>
          </w:p>
        </w:tc>
        <w:tc>
          <w:tcPr>
            <w:tcW w:type="dxa" w:w="264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Moderate: accelerant; no specific mechanism</w:t>
            </w:r>
          </w:p>
        </w:tc>
      </w:tr>
      <w:tr>
        <w:tc>
          <w:tcPr>
            <w:tcW w:type="dxa" w:w="140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Gut-brain axis</w:t>
            </w:r>
          </w:p>
        </w:tc>
        <w:tc>
          <w:tcPr>
            <w:tcW w:type="dxa" w:w="168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Moderate: LPS → BACE1; kynurenine pathway; dysbiosis observational</w:t>
            </w:r>
          </w:p>
        </w:tc>
        <w:tc>
          <w:tcPr>
            <w:tcW w:type="dxa" w:w="168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Moderate: systemic inflammation amplifies NVU injury</w:t>
            </w:r>
          </w:p>
        </w:tc>
        <w:tc>
          <w:tcPr>
            <w:tcW w:type="dxa" w:w="196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High: gut-first hypothesis; EGC gliosis; microbiome → ENS structure → alpha-syn seeding environment (2025)</w:t>
            </w:r>
          </w:p>
        </w:tc>
        <w:tc>
          <w:tcPr>
            <w:tcW w:type="dxa" w:w="264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Low: indirect accelerant</w:t>
            </w:r>
          </w:p>
        </w:tc>
      </w:tr>
      <w:tr>
        <w:tc>
          <w:tcPr>
            <w:tcW w:type="dxa" w:w="140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Exercise channels</w:t>
            </w:r>
          </w:p>
        </w:tc>
        <w:tc>
          <w:tcPr>
            <w:tcW w:type="dxa" w:w="168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Tier A: all 4 channels (osteocalcin, irisin, BDNF, lactate/HCAR1)</w:t>
            </w:r>
          </w:p>
        </w:tc>
        <w:tc>
          <w:tcPr>
            <w:tcW w:type="dxa" w:w="168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Tier A: cardiovascular channel primary + all 4 neuroprotective channels</w:t>
            </w:r>
          </w:p>
        </w:tc>
        <w:tc>
          <w:tcPr>
            <w:tcW w:type="dxa" w:w="196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Tier B: BDNF/irisin preserve hippocampal reserve; cardiovascular reduces AD co-pathology burden</w:t>
            </w:r>
          </w:p>
        </w:tc>
        <w:tc>
          <w:tcPr>
            <w:tcW w:type="dxa" w:w="264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Tier B: preserve neuronal reserves; reduce inflammatory accelerant burden</w:t>
            </w:r>
          </w:p>
        </w:tc>
      </w:tr>
      <w:tr>
        <w:tc>
          <w:tcPr>
            <w:tcW w:type="dxa" w:w="140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Key biomarker</w:t>
            </w:r>
          </w:p>
        </w:tc>
        <w:tc>
          <w:tcPr>
            <w:tcW w:type="dxa" w:w="168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Plasma p-tau217 (FDA-cleared May 2025)</w:t>
            </w:r>
          </w:p>
        </w:tc>
        <w:tc>
          <w:tcPr>
            <w:tcW w:type="dxa" w:w="168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WMH on MRI; plasma NfL; CSF PDGFR-beta (pericyte injury); PlGF (emerging 2024)</w:t>
            </w:r>
          </w:p>
        </w:tc>
        <w:tc>
          <w:tcPr>
            <w:tcW w:type="dxa" w:w="196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DAT-SPECT; CSF alpha-Syn SAA (~95% sens/spec when confirmed); skin SAA; neuromelanin MRI (LC density)</w:t>
            </w:r>
          </w:p>
        </w:tc>
        <w:tc>
          <w:tcPr>
            <w:tcW w:type="dxa" w:w="264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Plasma NfL (progression); cryptic HDGFL2 (presymptomatic TDP-43 loss-of-function, Nat Med 2024)</w:t>
            </w:r>
          </w:p>
        </w:tc>
      </w:tr>
      <w:tr>
        <w:tc>
          <w:tcPr>
            <w:tcW w:type="dxa" w:w="140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Disease-modifying therapy</w:t>
            </w:r>
          </w:p>
        </w:tc>
        <w:tc>
          <w:tcPr>
            <w:tcW w:type="dxa" w:w="168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Lecanemab, donanemab (approved; modest effect)</w:t>
            </w:r>
          </w:p>
        </w:tc>
        <w:tc>
          <w:tcPr>
            <w:tcW w:type="dxa" w:w="168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Vascular risk factor management only (LACI-2 establishes safety of cilostazol/ISMN combination)</w:t>
            </w:r>
          </w:p>
        </w:tc>
        <w:tc>
          <w:tcPr>
            <w:tcW w:type="dxa" w:w="196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None approved (RewinDLB failed Dec 2024; SPARK terminated 2021)</w:t>
            </w:r>
          </w:p>
        </w:tc>
        <w:tc>
          <w:tcPr>
            <w:tcW w:type="dxa" w:w="264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None approved (INFRONT-3 failed Oct 2025; PBFT02 gene therapy Phase 1/2 ongoing)</w:t>
            </w:r>
          </w:p>
        </w:tc>
      </w:tr>
      <w:tr>
        <w:tc>
          <w:tcPr>
            <w:tcW w:type="dxa" w:w="140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Mixed pathology prevalence</w:t>
            </w:r>
          </w:p>
        </w:tc>
        <w:tc>
          <w:tcPr>
            <w:tcW w:type="dxa" w:w="168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High (50-60% AD+VaD over age 75)</w:t>
            </w:r>
          </w:p>
        </w:tc>
        <w:tc>
          <w:tcPr>
            <w:tcW w:type="dxa" w:w="168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High (VaD+AD most common combination)</w:t>
            </w:r>
          </w:p>
        </w:tc>
        <w:tc>
          <w:tcPr>
            <w:tcW w:type="dxa" w:w="196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High (52-70% DLB+AD at autopsy)</w:t>
            </w:r>
          </w:p>
        </w:tc>
        <w:tc>
          <w:tcPr>
            <w:tcW w:type="dxa" w:w="264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Lower (FTD+AD rare except lvPPA; LATE TDP-43 co-pathology emerging)</w:t>
            </w:r>
          </w:p>
        </w:tc>
      </w:tr>
    </w:tbl>
    <w:p>
      <w:pPr>
        <w:spacing w:before="80" w:after="80"/>
      </w:pPr>
      <w:r>
        <w:rPr>
          <w:sz w:val="22"/>
          <w:szCs w:val="22"/>
        </w:rPr>
        <w:t xml:space="preserve"/>
      </w:r>
    </w:p>
    <w:p>
      <w:pPr>
        <w:pStyle w:val="Heading2"/>
        <w:spacing w:before="240" w:after="100"/>
      </w:pPr>
      <w:r>
        <w:rPr>
          <w:rFonts w:ascii="Arial" w:cs="Arial" w:eastAsia="Arial" w:hAnsi="Arial"/>
          <w:b/>
          <w:bCs/>
          <w:sz w:val="28"/>
          <w:szCs w:val="28"/>
        </w:rPr>
        <w:t xml:space="preserve">6.2 Mixed Pathology: The Dominant Biology of Late-Life Dementia</w:t>
      </w:r>
    </w:p>
    <w:p>
      <w:pPr>
        <w:spacing w:before="80" w:after="80" w:line="276"/>
        <w:jc w:val="both"/>
      </w:pPr>
      <w:r>
        <w:rPr>
          <w:rFonts w:ascii="Arial" w:cs="Arial" w:eastAsia="Arial" w:hAnsi="Arial"/>
          <w:sz w:val="22"/>
          <w:szCs w:val="22"/>
        </w:rPr>
        <w:t xml:space="preserve">[Tier A] The concept of a single neuropathological diagnosis per person is a research convenience that does not reflect biological reality in individuals over age 75. Data from the Rush Memory and Aging Project (Bennett et al., J Alzheimers Dis 2018;64(s1):S161–S189) and the Nun Study demonstrate that cognitive resilience in older individuals is a function of cumulative pathological burden across multiple systems. Among individuals dying with clinical dementia, pure pathological diagnoses are the minority after age 75. The 2025 VCID workshop confirmed this across multiple autopsy cohorts: mixed pathology combining vascular and neurodegenerative pathology is the dominant biology of late-life dementia [VCID25].</w:t>
      </w:r>
    </w:p>
    <w:p>
      <w:pPr>
        <w:spacing w:before="80" w:after="80" w:line="276"/>
        <w:jc w:val="both"/>
      </w:pPr>
      <w:r>
        <w:rPr>
          <w:rFonts w:ascii="Arial" w:cs="Arial" w:eastAsia="Arial" w:hAnsi="Arial"/>
          <w:sz w:val="22"/>
          <w:szCs w:val="22"/>
        </w:rPr>
        <w:t xml:space="preserve">[Tier B] The most common mixed pathology profile is AD plus cerebrovascular disease: WMH, lacunar infarcts, and microinfarcts add to amyloid and tau burden in a roughly additive fashion for cognitive decline. The second most common is AD plus Lewy body pathology. The third, increasingly recognised: AD plus LATE (Limbic-predominant Age-related TDP-43 Encephalopathy; Nelson et al., Brain 2019;142(6):1503–1527), which may contribute to cognitive decline in a substantial fraction of older individuals previously diagnosed as ‘pure AD’. In DLB, concurrent AD co-pathology is present in 52% of SAA-positive clinically diagnosed patients and is associated with the fastest cognitive and functional decline subgroup [DLB_SAA25].</w:t>
      </w:r>
    </w:p>
    <w:p>
      <w:pPr>
        <w:pStyle w:val="Heading1"/>
        <w:spacing w:before="300" w:after="120"/>
      </w:pPr>
      <w:r>
        <w:rPr>
          <w:rFonts w:ascii="Arial" w:cs="Arial" w:eastAsia="Arial" w:hAnsi="Arial"/>
          <w:b/>
          <w:bCs/>
          <w:sz w:val="32"/>
          <w:szCs w:val="32"/>
        </w:rPr>
        <w:t xml:space="preserve">7. Hormonal Architecture Across Conditions</w:t>
      </w:r>
    </w:p>
    <w:p>
      <w:pPr>
        <w:spacing w:before="80" w:after="80" w:line="276"/>
        <w:jc w:val="both"/>
      </w:pPr>
      <w:r>
        <w:rPr>
          <w:rFonts w:ascii="Arial" w:cs="Arial" w:eastAsia="Arial" w:hAnsi="Arial"/>
          <w:sz w:val="22"/>
          <w:szCs w:val="22"/>
        </w:rPr>
        <w:t xml:space="preserve">[Tier B] The hormonal architecture differs in its primary mode of action across the three conditions. In VaD, the primary hormonal effect is on the cerebrovascular endothelium and the RAAS: E2 maintains eNOS activity and tight junction protein expression; cortisol sensitises AT1 receptors and suppresses eNOS; DHEA antagonises the cortisol-RAAS amplification. In DLB, the primary effect is on the dopaminergic and noradrenergic systems: E2 provides mitochondrial support and microglial restraint via ERbeta on LC and SNc neurons; DHEA reduces microglial M1 activation around these neurons. In FTD, hormonal effects are primarily indirect accelerants via neuroinflammatory tone and vascular risk factor burden, without a specific mechanistic link to the RNA-metabolism failure driving the disease.</w:t>
      </w:r>
    </w:p>
    <w:p>
      <w:pPr>
        <w:spacing w:before="80" w:after="80" w:line="276"/>
        <w:jc w:val="both"/>
      </w:pPr>
      <w:r>
        <w:rPr>
          <w:rFonts w:ascii="Arial" w:cs="Arial" w:eastAsia="Arial" w:hAnsi="Arial"/>
          <w:sz w:val="22"/>
          <w:szCs w:val="22"/>
        </w:rPr>
        <w:t xml:space="preserve">[Tier B] Sex differences in incidence reflect these different hormonal mechanisms: VaD and DLB are more common in men in midlife (male disadvantage in vascular risk and dopaminergic system vulnerability without sustained E2 protection); AD is more common in women after age 75 (female disadvantage from the compressed hormonal loss of menopause). FTD has no sex predominance, consistent with its primarily genetic aetiology. The hormonal contribution to dementia risk is mechanistically coherent across conditions but varies in primacy: critical in AD, significant in VaD and DLB, adjunctive in FTD.</w:t>
      </w:r>
    </w:p>
    <w:p>
      <w:pPr>
        <w:pStyle w:val="Heading1"/>
        <w:spacing w:before="300" w:after="120"/>
      </w:pPr>
      <w:r>
        <w:rPr>
          <w:rFonts w:ascii="Arial" w:cs="Arial" w:eastAsia="Arial" w:hAnsi="Arial"/>
          <w:b/>
          <w:bCs/>
          <w:sz w:val="32"/>
          <w:szCs w:val="32"/>
        </w:rPr>
        <w:t xml:space="preserve">8. Exercise Channels Across Conditions</w:t>
      </w:r>
    </w:p>
    <w:p>
      <w:pPr>
        <w:spacing w:before="80" w:after="80" w:line="276"/>
        <w:jc w:val="both"/>
      </w:pPr>
      <w:r>
        <w:rPr>
          <w:rFonts w:ascii="Arial" w:cs="Arial" w:eastAsia="Arial" w:hAnsi="Arial"/>
          <w:sz w:val="22"/>
          <w:szCs w:val="22"/>
        </w:rPr>
        <w:t xml:space="preserve">[Tier A-B] The four musculoskeletal-hippocampal coupling channels apply across all three conditions, but with different mechanistic primacy. The cardiovascular channel (baroreflex gain restoration, eNOS upregulation via shear stress, EPC mobilisation, MAP reduction) is primary in VaD, where cerebrovascular wall integrity is the direct disease mechanism. The BDNF/TrkB channel preserves hippocampal neuronal reserve in DLB and FTD, buffering the consequences of intrinsic failure. The lactate/HCAR1 channel is directly relevant in VaD: exercise-induced cerebral angiogenesis partially compensates for reduced capillary density from SVD. The osteocalcin/GPR158 channel applies in DLB and VaD where hippocampal CA3 preservation buffers disease consequences.</w:t>
      </w:r>
    </w:p>
    <w:p>
      <w:pPr>
        <w:spacing w:before="80" w:after="80" w:line="276"/>
        <w:jc w:val="both"/>
      </w:pPr>
      <w:r>
        <w:rPr>
          <w:rFonts w:ascii="Arial" w:cs="Arial" w:eastAsia="Arial" w:hAnsi="Arial"/>
          <w:sz w:val="22"/>
          <w:szCs w:val="22"/>
        </w:rPr>
        <w:t xml:space="preserve">[Tier A] Physical inactivity amplifies all three conditions through distinct channels. In VaD: reduced baroreflex gain → greater MAP variability → accelerated k_endo depletion → faster WMH accumulation. In DLB: reduced BDNF → reduced hippocampal neurogenesis → earlier functional impairment from the same alpha-synuclein burden. In FTD: reduced anti-inflammatory signalling → greater neuroinflammatory burden → faster intrinsic pathology progression. Exercise operates through mechanistically distinct but complementary channels across all three conditions.</w:t>
      </w:r>
    </w:p>
    <w:p>
      <w:pPr>
        <w:pStyle w:val="Heading1"/>
        <w:spacing w:before="300" w:after="120"/>
      </w:pPr>
      <w:r>
        <w:rPr>
          <w:rFonts w:ascii="Arial" w:cs="Arial" w:eastAsia="Arial" w:hAnsi="Arial"/>
          <w:b/>
          <w:bCs/>
          <w:sz w:val="32"/>
          <w:szCs w:val="32"/>
        </w:rPr>
        <w:t xml:space="preserve">9. Open Gaps and Research Priorities</w:t>
      </w:r>
    </w:p>
    <w:p>
      <w:pPr>
        <w:pStyle w:val="Heading2"/>
        <w:spacing w:before="240" w:after="100"/>
      </w:pPr>
      <w:r>
        <w:rPr>
          <w:rFonts w:ascii="Arial" w:cs="Arial" w:eastAsia="Arial" w:hAnsi="Arial"/>
          <w:b/>
          <w:bCs/>
          <w:sz w:val="28"/>
          <w:szCs w:val="28"/>
        </w:rPr>
        <w:t xml:space="preserve">9.1 Vascular Dementia</w:t>
      </w:r>
    </w:p>
    <w:p>
      <w:pPr>
        <w:spacing w:before="80" w:after="80" w:line="276"/>
        <w:jc w:val="both"/>
      </w:pPr>
      <w:r>
        <w:rPr>
          <w:rFonts w:ascii="Arial" w:cs="Arial" w:eastAsia="Arial" w:hAnsi="Arial"/>
          <w:sz w:val="22"/>
          <w:szCs w:val="22"/>
        </w:rPr>
        <w:t xml:space="preserve">Critical gaps: (i) No validated VaD-specific blood biomarker; plasma PlGF is promising but requires prospective validation. (ii) No disease-modifying therapy beyond vascular risk management; LACI-2 established safety but was not powered for cognitive endpoints. (iii) WMH category is mechanistically heterogeneous, undermining most trials that treat it as a unitary target. (iv) Senescent cells as a driver of neuroinflammation and WMH progression are mechanistically compelling but lack clinical trial evidence. (v) The role of cerebrovascular disease as a causal contributor to AD pathology accumulation — rather than merely a comorbidity — requires prospective testing.</w:t>
      </w:r>
    </w:p>
    <w:p>
      <w:pPr>
        <w:pStyle w:val="Heading2"/>
        <w:spacing w:before="240" w:after="100"/>
      </w:pPr>
      <w:r>
        <w:rPr>
          <w:rFonts w:ascii="Arial" w:cs="Arial" w:eastAsia="Arial" w:hAnsi="Arial"/>
          <w:b/>
          <w:bCs/>
          <w:sz w:val="28"/>
          <w:szCs w:val="28"/>
        </w:rPr>
        <w:t xml:space="preserve">9.2 Lewy Body Disease</w:t>
      </w:r>
    </w:p>
    <w:p>
      <w:pPr>
        <w:spacing w:before="80" w:after="80" w:line="276"/>
        <w:jc w:val="both"/>
      </w:pPr>
      <w:r>
        <w:rPr>
          <w:rFonts w:ascii="Arial" w:cs="Arial" w:eastAsia="Arial" w:hAnsi="Arial"/>
          <w:sz w:val="22"/>
          <w:szCs w:val="22"/>
        </w:rPr>
        <w:t xml:space="preserve">Critical gaps: (i) The 32% of clinically diagnosed DLB who are CSF SAA-negative represent an uncharacterised population whose pathological basis is unknown. (ii) No approved disease-modifying therapy despite substantial anti-alpha-synuclein investment. (iii) The NSD-ISS biological staging framework has not been prospectively validated in DLB-specific cohorts. (iv) Gut-ENS-vagal propagation hypothesis has epidemiological support but requires prospective intervention testing: does microbiome normalisation in iRBD slow SAA positivity conversion? (v) LC oscillatory frequency in DLB — whether the ~0.02 Hz infraslow pattern is altered compared to healthy NREM and how it correlates with Braak staging and RBD severity — requires characterisation in humans.</w:t>
      </w:r>
    </w:p>
    <w:p>
      <w:pPr>
        <w:pStyle w:val="Heading2"/>
        <w:spacing w:before="240" w:after="100"/>
      </w:pPr>
      <w:r>
        <w:rPr>
          <w:rFonts w:ascii="Arial" w:cs="Arial" w:eastAsia="Arial" w:hAnsi="Arial"/>
          <w:b/>
          <w:bCs/>
          <w:sz w:val="28"/>
          <w:szCs w:val="28"/>
        </w:rPr>
        <w:t xml:space="preserve">9.3 Frontotemporal Dementia</w:t>
      </w:r>
    </w:p>
    <w:p>
      <w:pPr>
        <w:spacing w:before="80" w:after="80" w:line="276"/>
        <w:jc w:val="both"/>
      </w:pPr>
      <w:r>
        <w:rPr>
          <w:rFonts w:ascii="Arial" w:cs="Arial" w:eastAsia="Arial" w:hAnsi="Arial"/>
          <w:sz w:val="22"/>
          <w:szCs w:val="22"/>
        </w:rPr>
        <w:t xml:space="preserve">Critical gaps: (i) Cryptic HDGFL2 requires prospective validation in plasma and CSF for clinical use; it is the most important single FTD biomarker advance in a decade and requires the validation infrastructure that p-tau217 received for AD. (ii) The latozinemab INFRONT-3 failure must be decoded: timing vs target vs endpoint sensitivity. (iii) C9orf72 biology involves three simultaneous pathomechanisms and no trial has established which dominates in human disease. (iv) Sporadic FTD has no validated biomarker to identify underlying pathological protein in life; this prevents stratification of the majority FTD population for protein-specific trials. (v) KCNQ2 splice-rescue ASO therapy for TDP-43 proteinopathy has iPSC-level proof of concept and requires translation to in vivo preclinical models before clinical stages.</w:t>
      </w:r>
    </w:p>
    <w:p>
      <w:pPr>
        <w:pStyle w:val="Heading1"/>
        <w:spacing w:before="300" w:after="120"/>
      </w:pPr>
      <w:r>
        <w:rPr>
          <w:rFonts w:ascii="Arial" w:cs="Arial" w:eastAsia="Arial" w:hAnsi="Arial"/>
          <w:b/>
          <w:bCs/>
          <w:sz w:val="32"/>
          <w:szCs w:val="32"/>
        </w:rPr>
        <w:t xml:space="preserve">10. Testable Predictions</w:t>
      </w:r>
    </w:p>
    <w:p>
      <w:pPr>
        <w:spacing w:before="8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C3E6B" w:val="clear"/>
          </w:tcPr>
          <w:p>
            <w:pPr>
              <w:spacing w:before="60" w:after="60"/>
            </w:pPr>
            <w:r>
              <w:rPr>
                <w:rFonts w:ascii="Arial" w:cs="Arial" w:eastAsia="Arial" w:hAnsi="Arial"/>
                <w:b/>
                <w:bCs/>
                <w:color w:val="FFFFFF"/>
                <w:sz w:val="19"/>
                <w:szCs w:val="19"/>
              </w:rPr>
              <w:t xml:space="preserve">ID</w:t>
            </w:r>
          </w:p>
        </w:tc>
        <w:tc>
          <w:tcPr>
            <w:tcW w:type="dxa" w:w="5160"/>
            <w:tcBorders>
              <w:top w:val="single" w:color="CCCCCC" w:sz="1"/>
              <w:left w:val="single" w:color="CCCCCC" w:sz="1"/>
              <w:bottom w:val="single" w:color="CCCCCC" w:sz="1"/>
              <w:right w:val="single" w:color="CCCCCC" w:sz="1"/>
            </w:tcBorders>
            <w:shd w:fill="2C3E6B" w:val="clear"/>
          </w:tcPr>
          <w:p>
            <w:pPr>
              <w:spacing w:before="60" w:after="60"/>
            </w:pPr>
            <w:r>
              <w:rPr>
                <w:rFonts w:ascii="Arial" w:cs="Arial" w:eastAsia="Arial" w:hAnsi="Arial"/>
                <w:b/>
                <w:bCs/>
                <w:color w:val="FFFFFF"/>
                <w:sz w:val="19"/>
                <w:szCs w:val="19"/>
              </w:rPr>
              <w:t xml:space="preserve">Prediction</w:t>
            </w:r>
          </w:p>
        </w:tc>
        <w:tc>
          <w:tcPr>
            <w:tcW w:type="dxa" w:w="3600"/>
            <w:tcBorders>
              <w:top w:val="single" w:color="CCCCCC" w:sz="1"/>
              <w:left w:val="single" w:color="CCCCCC" w:sz="1"/>
              <w:bottom w:val="single" w:color="CCCCCC" w:sz="1"/>
              <w:right w:val="single" w:color="CCCCCC" w:sz="1"/>
            </w:tcBorders>
            <w:shd w:fill="2C3E6B" w:val="clear"/>
          </w:tcPr>
          <w:p>
            <w:pPr>
              <w:spacing w:before="60" w:after="60"/>
            </w:pPr>
            <w:r>
              <w:rPr>
                <w:rFonts w:ascii="Arial" w:cs="Arial" w:eastAsia="Arial" w:hAnsi="Arial"/>
                <w:b/>
                <w:bCs/>
                <w:color w:val="FFFFFF"/>
                <w:sz w:val="19"/>
                <w:szCs w:val="19"/>
              </w:rPr>
              <w:t xml:space="preserve">Discriminating Outcome</w:t>
            </w:r>
          </w:p>
        </w:tc>
      </w:tr>
      <w:tr>
        <w:tc>
          <w:tcPr>
            <w:tcW w:type="dxa" w:w="60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VaD-P1</w:t>
            </w:r>
          </w:p>
        </w:tc>
        <w:tc>
          <w:tcPr>
            <w:tcW w:type="dxa" w:w="516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Intensive BP control initiated before WMH Fazekas grade 2 will show greater cognitive benefit than after that threshold, because NVU injury above grade 2 becomes structurally irreversible.</w:t>
            </w:r>
          </w:p>
        </w:tc>
        <w:tc>
          <w:tcPr>
            <w:tcW w:type="dxa" w:w="360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WMH grade × treatment timing interaction; differential MCI/dementia conversion rates</w:t>
            </w:r>
          </w:p>
        </w:tc>
      </w:tr>
      <w:tr>
        <w:tc>
          <w:tcPr>
            <w:tcW w:type="dxa" w:w="60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VaD-P2</w:t>
            </w:r>
          </w:p>
        </w:tc>
        <w:tc>
          <w:tcPr>
            <w:tcW w:type="dxa" w:w="516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Plasma PlGF at baseline will predict 3-year WMH progression and cognitive decline in a VCI cohort independently of baseline BP, establishing its utility as an upstream VCID biomarker.</w:t>
            </w:r>
          </w:p>
        </w:tc>
        <w:tc>
          <w:tcPr>
            <w:tcW w:type="dxa" w:w="360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PlGF–WMH–cognition mediation path coefficient; adjusted hazard ratio for cognitive decline</w:t>
            </w:r>
          </w:p>
        </w:tc>
      </w:tr>
      <w:tr>
        <w:tc>
          <w:tcPr>
            <w:tcW w:type="dxa" w:w="60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DLB-P1</w:t>
            </w:r>
          </w:p>
        </w:tc>
        <w:tc>
          <w:tcPr>
            <w:tcW w:type="dxa" w:w="516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Atomoxetine-driven NE repletion will show greater cognitive benefit in SAA+/AD+ DLB than SAA+/AD−, because LC-NE serves dual glymphatic-clearance and amyloid-suppression functions in the mixed-pathology subgroup.</w:t>
            </w:r>
          </w:p>
        </w:tc>
        <w:tc>
          <w:tcPr>
            <w:tcW w:type="dxa" w:w="360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Co-pathology × treatment interaction term in a DLB atomoxetine trial stratified by CSF AD biomarker status</w:t>
            </w:r>
          </w:p>
        </w:tc>
      </w:tr>
      <w:tr>
        <w:tc>
          <w:tcPr>
            <w:tcW w:type="dxa" w:w="60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DLB-P2</w:t>
            </w:r>
          </w:p>
        </w:tc>
        <w:tc>
          <w:tcPr>
            <w:tcW w:type="dxa" w:w="516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Gut microbiome restoration in iRBD patients (SAA-negative at baseline) will slow CSF SAA positivity conversion rate versus placebo over 3 years.</w:t>
            </w:r>
          </w:p>
        </w:tc>
        <w:tc>
          <w:tcPr>
            <w:tcW w:type="dxa" w:w="360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Time-to-SAA-positivity (Kaplan-Meier); microbiome diversity correlation with conversion status</w:t>
            </w:r>
          </w:p>
        </w:tc>
      </w:tr>
      <w:tr>
        <w:tc>
          <w:tcPr>
            <w:tcW w:type="dxa" w:w="60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FTD-P1</w:t>
            </w:r>
          </w:p>
        </w:tc>
        <w:tc>
          <w:tcPr>
            <w:tcW w:type="dxa" w:w="516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Plasma cryptic HDGFL2 will distinguish FTLD-TDP from FTLD-tau in living patients with ≥80% sensitivity and ≥90% specificity in a prospective autopsy-confirmed cohort.</w:t>
            </w:r>
          </w:p>
        </w:tc>
        <w:tc>
          <w:tcPr>
            <w:tcW w:type="dxa" w:w="3600"/>
            <w:tcBorders>
              <w:top w:val="single" w:color="CCCCCC" w:sz="1"/>
              <w:left w:val="single" w:color="CCCCCC" w:sz="1"/>
              <w:bottom w:val="single" w:color="CCCCCC" w:sz="1"/>
              <w:right w:val="single" w:color="CCCCCC" w:sz="1"/>
            </w:tcBorders>
            <w:shd w:fill="F0F4F8" w:val="clear"/>
          </w:tcPr>
          <w:p>
            <w:pPr>
              <w:spacing w:before="60" w:after="60"/>
            </w:pPr>
            <w:r>
              <w:rPr>
                <w:rFonts w:ascii="Arial" w:cs="Arial" w:eastAsia="Arial" w:hAnsi="Arial"/>
                <w:sz w:val="19"/>
                <w:szCs w:val="19"/>
              </w:rPr>
              <w:t xml:space="preserve">ROC AUC vs plasma NfL alone; sensitivity/specificity with autopsy as gold standard</w:t>
            </w:r>
          </w:p>
        </w:tc>
      </w:tr>
      <w:tr>
        <w:tc>
          <w:tcPr>
            <w:tcW w:type="dxa" w:w="60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FTD-P2</w:t>
            </w:r>
          </w:p>
        </w:tc>
        <w:tc>
          <w:tcPr>
            <w:tcW w:type="dxa" w:w="516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GRN carriers treated presymptomatically with progranulin replacement (NfL below age-75th percentile) will show significantly greater 2-year NfL trajectory benefit than symptomatic patients.</w:t>
            </w:r>
          </w:p>
        </w:tc>
        <w:tc>
          <w:tcPr>
            <w:tcW w:type="dxa" w:w="3600"/>
            <w:tcBorders>
              <w:top w:val="single" w:color="CCCCCC" w:sz="1"/>
              <w:left w:val="single" w:color="CCCCCC" w:sz="1"/>
              <w:bottom w:val="single" w:color="CCCCCC" w:sz="1"/>
              <w:right w:val="single" w:color="CCCCCC" w:sz="1"/>
            </w:tcBorders>
            <w:shd w:fill="FFFFFF" w:val="clear"/>
          </w:tcPr>
          <w:p>
            <w:pPr>
              <w:spacing w:before="60" w:after="60"/>
            </w:pPr>
            <w:r>
              <w:rPr>
                <w:rFonts w:ascii="Arial" w:cs="Arial" w:eastAsia="Arial" w:hAnsi="Arial"/>
                <w:sz w:val="19"/>
                <w:szCs w:val="19"/>
              </w:rPr>
              <w:t xml:space="preserve">NfL slope × treatment timing interaction; pre-specified by symptom status</w:t>
            </w:r>
          </w:p>
        </w:tc>
      </w:tr>
    </w:tbl>
    <w:p>
      <w:pPr>
        <w:spacing w:before="80" w:after="80"/>
      </w:pPr>
      <w:r>
        <w:rPr>
          <w:sz w:val="22"/>
          <w:szCs w:val="22"/>
        </w:rPr>
        <w:t xml:space="preserve"/>
      </w:r>
    </w:p>
    <w:p>
      <w:pPr>
        <w:pStyle w:val="Heading1"/>
        <w:spacing w:before="300" w:after="120"/>
      </w:pPr>
      <w:r>
        <w:rPr>
          <w:rFonts w:ascii="Arial" w:cs="Arial" w:eastAsia="Arial" w:hAnsi="Arial"/>
          <w:b/>
          <w:bCs/>
          <w:sz w:val="32"/>
          <w:szCs w:val="32"/>
        </w:rPr>
        <w:t xml:space="preserve">11. Limitations</w:t>
      </w:r>
    </w:p>
    <w:p>
      <w:pPr>
        <w:spacing w:before="80" w:after="80" w:line="276"/>
        <w:jc w:val="both"/>
      </w:pPr>
      <w:r>
        <w:rPr>
          <w:rFonts w:ascii="Arial" w:cs="Arial" w:eastAsia="Arial" w:hAnsi="Arial"/>
          <w:sz w:val="22"/>
          <w:szCs w:val="22"/>
        </w:rPr>
        <w:t xml:space="preserve">This paper is a mechanistic integrative review, not a systematic review or meta-analysis. Evidence tier assignments reflect editorial judgment; others may reasonably assign different tiers to the same evidence. The cross-system framework was developed in the context of Alzheimer’s disease and is applied to VaD, DLB, and FTD with varying degrees of direct evidential support: the cardiovascular architecture in VaD has strong direct mechanistic support; the hormonal and sleep sections in DLB are mechanistically motivated but less directly tested in DLB specifically than in AD; the peripheral systems framework in FTD is presented as an accelerant model with limited direct testing.</w:t>
      </w:r>
    </w:p>
    <w:p>
      <w:pPr>
        <w:spacing w:before="80" w:after="80" w:line="276"/>
        <w:jc w:val="both"/>
      </w:pPr>
      <w:r>
        <w:rPr>
          <w:rFonts w:ascii="Arial" w:cs="Arial" w:eastAsia="Arial" w:hAnsi="Arial"/>
          <w:sz w:val="22"/>
          <w:szCs w:val="22"/>
        </w:rPr>
        <w:t xml:space="preserve">The biomarker landscape in all three conditions is evolving rapidly. Several findings cited — particularly the cryptic HDGFL2 biomarker for FTLD-TDP, the NSD-ISS biological staging system, and the DLB SAA heterogeneity finding — are from 2024–2025 studies requiring prospective validation. The absence of a validated TDP-43 blood biomarker means the largest FTD category (FTLD-TDP, ~45–50% of cases) remains biomarker-dark in clinical settings. The evidence base for all three conditions is substantially thinner than for AD, and this is an artefact of historical resource concentration on AD rather than lesser clinical importance.</w:t>
      </w:r>
    </w:p>
    <w:p>
      <w:pPr>
        <w:pStyle w:val="Heading1"/>
        <w:spacing w:before="300" w:after="120"/>
      </w:pPr>
      <w:r>
        <w:rPr>
          <w:rFonts w:ascii="Arial" w:cs="Arial" w:eastAsia="Arial" w:hAnsi="Arial"/>
          <w:b/>
          <w:bCs/>
          <w:sz w:val="32"/>
          <w:szCs w:val="32"/>
        </w:rPr>
        <w:t xml:space="preserve">12. Conclusion</w:t>
      </w:r>
    </w:p>
    <w:p>
      <w:pPr>
        <w:spacing w:before="80" w:after="80" w:line="276"/>
        <w:jc w:val="both"/>
      </w:pPr>
      <w:r>
        <w:rPr>
          <w:rFonts w:ascii="Arial" w:cs="Arial" w:eastAsia="Arial" w:hAnsi="Arial"/>
          <w:sz w:val="22"/>
          <w:szCs w:val="22"/>
        </w:rPr>
        <w:t xml:space="preserve">Vascular dementia, Lewy body disease, and frontotemporal dementia are distinct failure modes requiring mechanistically distinct frameworks. VaD fails through neurovascular unit injury — the same k_endo endothelial repair threshold and pericyte integrity thresholds described in cardiovascular medicine apply directly, and the 2023 LACI-2 trial represents the first mechanism-targeted intervention beyond blood pressure in SVD. DLB fails through alpha-synuclein propagation whose earliest biological expression is in the locus coeruleus, ENS, and olfactory bulb: the sleep-glymphatic-LC causal chain (confirmed in its NE oscillatory mechanism by Nedergaard 2025) makes RBD a diagnostic window into Braak stage 2–3 pathology; the mouse-model ENS structural plasticity data (De Vadder et al. 2018; Vicentini et al. 2021) suggests gut microbiome health may be a modifiable determinant of the local environment for alpha-synuclein aggregation, pending direct human confirmation. FTD fails through cell-intrinsic RNA and protein homeostasis mechanisms largely independent of the clearance-failure model; the most important 2024 advances are cryptic HDGFL2 as the first presymptomatic TDP-43 loss-of-function biomarker, and KCNQ2 mis-splicing as a new therapeutic target for TDP-43 proteinopathy.</w:t>
      </w:r>
    </w:p>
    <w:p>
      <w:pPr>
        <w:spacing w:before="80" w:after="80" w:line="276"/>
        <w:jc w:val="both"/>
      </w:pPr>
      <w:r>
        <w:rPr>
          <w:rFonts w:ascii="Arial" w:cs="Arial" w:eastAsia="Arial" w:hAnsi="Arial"/>
          <w:sz w:val="22"/>
          <w:szCs w:val="22"/>
        </w:rPr>
        <w:t xml:space="preserve">The most important cross-cutting advance of 2023–2025 is that biological staging is reaching DLB and FTD: NSD-ISS for DLB/PD, and the emerging TDP-43 biomarker infrastructure for FTD, are beginning to define these diseases by biology rather than clinical syndrome. The 68% SAA positivity rate in clinically diagnosed DLB is not a failure of the biomarker — it is precision exposing the pathological heterogeneity that clinical diagnosis obscured. Precision in enrolment will be required for precision in therapeutics. Across all three conditions the evidence base is substantially thinner than for AD, clinical trial infrastructure is less mature, and the therapeutic record is more limited. What is settled is that each condition requires its own mechanistic framework; what remains unsettled is how far the peripheral systems architecture — well-validated in AD — applies causally rather than just associatively in VaD, DLB, and FTD. Mixed pathology, increasingly the dominant biology of late-life dementia, makes integration across disease-specific and pathway-level approaches not a theoretical preference but a practical necessity.</w:t>
      </w:r>
    </w:p>
    <w:p>
      <w:r>
        <w:br w:type="page"/>
      </w:r>
    </w:p>
    <w:p>
      <w:pPr>
        <w:pStyle w:val="Heading1"/>
        <w:spacing w:before="300" w:after="120"/>
      </w:pPr>
      <w:r>
        <w:rPr>
          <w:rFonts w:ascii="Arial" w:cs="Arial" w:eastAsia="Arial" w:hAnsi="Arial"/>
          <w:b/>
          <w:bCs/>
          <w:sz w:val="32"/>
          <w:szCs w:val="32"/>
        </w:rPr>
        <w:t xml:space="preserve">13. Selected References</w:t>
      </w:r>
    </w:p>
    <w:p>
      <w:pPr>
        <w:spacing w:before="60" w:after="60"/>
      </w:pPr>
      <w:r>
        <w:rPr>
          <w:rFonts w:ascii="Arial" w:cs="Arial" w:eastAsia="Arial" w:hAnsi="Arial"/>
          <w:color w:val="555555"/>
          <w:sz w:val="18"/>
          <w:szCs w:val="18"/>
        </w:rPr>
        <w:t xml:space="preserve">[Adler14] Adler CH, Dugger BN, Hinni ML, et al. Submandibular gland needle biopsy for the diagnosis of Parkinson disease. Neurology. 2014;82(10):858–864.</w:t>
      </w:r>
    </w:p>
    <w:p>
      <w:pPr>
        <w:spacing w:before="60" w:after="60"/>
      </w:pPr>
      <w:r>
        <w:rPr>
          <w:rFonts w:ascii="Arial" w:cs="Arial" w:eastAsia="Arial" w:hAnsi="Arial"/>
          <w:color w:val="555555"/>
          <w:sz w:val="18"/>
          <w:szCs w:val="18"/>
        </w:rPr>
        <w:t xml:space="preserve">[Bennett18] Bennett DA, Buchman AS, Boyle PA, et al. Religious Orders Study and Rush Memory and Aging Project. J Alzheimers Dis. 2018;64(s1):S161–S189.</w:t>
      </w:r>
    </w:p>
    <w:p>
      <w:pPr>
        <w:spacing w:before="60" w:after="60"/>
      </w:pPr>
      <w:r>
        <w:rPr>
          <w:rFonts w:ascii="Arial" w:cs="Arial" w:eastAsia="Arial" w:hAnsi="Arial"/>
          <w:color w:val="555555"/>
          <w:sz w:val="18"/>
          <w:szCs w:val="18"/>
        </w:rPr>
        <w:t xml:space="preserve">[Braak03] Braak H, Del Tredici K, Rub U, et al. Staging of brain pathology related to sporadic Parkinson's disease. Neurobiol Aging. 2003;24(2):197–211.</w:t>
      </w:r>
    </w:p>
    <w:p>
      <w:pPr>
        <w:spacing w:before="60" w:after="60"/>
      </w:pPr>
      <w:r>
        <w:rPr>
          <w:rFonts w:ascii="Arial" w:cs="Arial" w:eastAsia="Arial" w:hAnsi="Arial"/>
          <w:color w:val="555555"/>
          <w:sz w:val="18"/>
          <w:szCs w:val="18"/>
        </w:rPr>
        <w:t xml:space="preserve">[DLB_SAA25] Litvan I, Pillai JA, Tousi B, et al. for the Dementia With Lewy Bodies Consortium. CSF α-synuclein seed amplification assays and Alzheimer disease biomarkers in dementia with Lewy bodies. Neurology. 2025;105(12):e214346. doi: 10.1212/WNL.0000000000214346. [n=99; 68% SAA-positive; 52% of SAA+ had AD co-pathology; SAA+/AD+ fastest progression subgroup]</w:t>
      </w:r>
    </w:p>
    <w:p>
      <w:pPr>
        <w:spacing w:before="60" w:after="60"/>
      </w:pPr>
      <w:r>
        <w:rPr>
          <w:rFonts w:ascii="Arial" w:cs="Arial" w:eastAsia="Arial" w:hAnsi="Arial"/>
          <w:color w:val="555555"/>
          <w:sz w:val="18"/>
          <w:szCs w:val="18"/>
        </w:rPr>
        <w:t xml:space="preserve">[DLBLancet25] McWilliam MJ, Bsoul R, Waldemar G, et al. α-Synuclein seed amplification assay in Lewy body dementia versus Alzheimer’s disease. Alzheimer’s Dement (Amst). 2025. doi: 10.1002/dad2.70203. [CSF SAA sensitivity 95%, specificity 98% for DLB vs AD; skin SAA sensitivity 94%, specificity 98%; combined CSF+skin near-complete diagnostic accuracy]</w:t>
      </w:r>
    </w:p>
    <w:p>
      <w:pPr>
        <w:spacing w:before="60" w:after="60"/>
      </w:pPr>
      <w:r>
        <w:rPr>
          <w:rFonts w:ascii="Arial" w:cs="Arial" w:eastAsia="Arial" w:hAnsi="Arial"/>
          <w:color w:val="555555"/>
          <w:sz w:val="18"/>
          <w:szCs w:val="18"/>
        </w:rPr>
        <w:t xml:space="preserve">[RewinDLB24] EIP Pharma / Cognition Therapeutics. RewinDLB Phase 2b trial (neflamapimod 40mg BID, n=91): failed primary endpoint (ADCS-CGIC). Company press release, December 2024. Not peer-reviewed; no full trial publication available at time of writing.</w:t>
      </w:r>
    </w:p>
    <w:p>
      <w:pPr>
        <w:spacing w:before="60" w:after="60"/>
      </w:pPr>
      <w:r>
        <w:rPr>
          <w:rFonts w:ascii="Arial" w:cs="Arial" w:eastAsia="Arial" w:hAnsi="Arial"/>
          <w:color w:val="555555"/>
          <w:sz w:val="18"/>
          <w:szCs w:val="18"/>
        </w:rPr>
        <w:t xml:space="preserve">[NSDI_Simuni24] Simuni T, Chahine LM, Poston K, et al. A biological definition of neuronal alpha-synuclein disease: towards an integrated staging system for research. Lancet Neurol. 2024 Feb;23(2):178–190. doi: 10.1016/S1474-4422(23)00405-2. PMID: 38267190.</w:t>
      </w:r>
    </w:p>
    <w:p>
      <w:pPr>
        <w:spacing w:before="60" w:after="60"/>
      </w:pPr>
      <w:r>
        <w:rPr>
          <w:rFonts w:ascii="Arial" w:cs="Arial" w:eastAsia="Arial" w:hAnsi="Arial"/>
          <w:color w:val="555555"/>
          <w:sz w:val="18"/>
          <w:szCs w:val="18"/>
        </w:rPr>
        <w:t xml:space="preserve">[Doppler21] Doppler K, Antelmi E, Kuzkina A, et al. Consistent skin alpha-synuclein positivity in REM sleep behavior disorder. Parkinsonism Relat Disord. 2021;86:108–113.</w:t>
      </w:r>
    </w:p>
    <w:p>
      <w:pPr>
        <w:spacing w:before="60" w:after="60"/>
      </w:pPr>
      <w:r>
        <w:rPr>
          <w:rFonts w:ascii="Arial" w:cs="Arial" w:eastAsia="Arial" w:hAnsi="Arial"/>
          <w:color w:val="555555"/>
          <w:sz w:val="18"/>
          <w:szCs w:val="18"/>
        </w:rPr>
        <w:t xml:space="preserve">[DeVadder18] De Vadder F, Grasset E, Mannerås Holm L, et al. Gut microbiota regulates maturation of the adult enteric nervous system via enteric serotonin networks. Proc Natl Acad Sci USA. 2018;115(25):6458–6463. [Mouse model; microbiota → 5-HT/5-HT4R → adult ENS maturation and neurogenesis]</w:t>
      </w:r>
    </w:p>
    <w:p>
      <w:pPr>
        <w:spacing w:before="60" w:after="60"/>
      </w:pPr>
      <w:r>
        <w:rPr>
          <w:rFonts w:ascii="Arial" w:cs="Arial" w:eastAsia="Arial" w:hAnsi="Arial"/>
          <w:color w:val="555555"/>
          <w:sz w:val="18"/>
          <w:szCs w:val="18"/>
        </w:rPr>
        <w:t xml:space="preserve">[Vicentini21] Vicentini FA, Keenan CM, Wallace LE, et al. Intestinal microbiota shapes gut physiology and regulates enteric neurons and glia. Microbiome. 2021;9(1):210. [Mouse model; microbiota depletion → ENS neuronal loss; SCFA stimulates recovery neurogenesis]</w:t>
      </w:r>
    </w:p>
    <w:p>
      <w:pPr>
        <w:spacing w:before="60" w:after="60"/>
      </w:pPr>
      <w:r>
        <w:rPr>
          <w:rFonts w:ascii="Arial" w:cs="Arial" w:eastAsia="Arial" w:hAnsi="Arial"/>
          <w:color w:val="555555"/>
          <w:sz w:val="18"/>
          <w:szCs w:val="18"/>
        </w:rPr>
        <w:t xml:space="preserve">[FTD_KCNQ2_25] Joseph BJ, Marshall KA, Harley P, et al. (Kiskinis E, corresponding author). TDP-43-dependent mis-splicing of KCNQ2 triggers intrinsic neuronal hyperexcitability in ALS/FTD. Nat Neurosci. 2025 Dec;28(12):2476–2492. doi: 10.1038/s41593-025-02096-w. Epub 2025 Oct 31.</w:t>
      </w:r>
    </w:p>
    <w:p>
      <w:pPr>
        <w:spacing w:before="60" w:after="60"/>
      </w:pPr>
      <w:r>
        <w:rPr>
          <w:rFonts w:ascii="Arial" w:cs="Arial" w:eastAsia="Arial" w:hAnsi="Arial"/>
          <w:color w:val="555555"/>
          <w:sz w:val="18"/>
          <w:szCs w:val="18"/>
        </w:rPr>
        <w:t xml:space="preserve">[PBFT02_25] Passage Bio, Inc. Updated interim data from upliFT-D Phase 1/2 (PBFT02, FTD-GRN). Company press release, June 23, 2025. Not peer-reviewed; data not yet independently published. [n=7 Dose 1; CSF PGRN sustained through 18 months; plasma NfL +4% vs expected +28–29%/year in natural history; 3 SAEs including venous sinus thrombosis; prophylactic anticoagulation added; pivotal trial regulatory feedback planned 1H 2026]</w:t>
      </w:r>
    </w:p>
    <w:p>
      <w:pPr>
        <w:spacing w:before="60" w:after="60"/>
      </w:pPr>
      <w:r>
        <w:rPr>
          <w:rFonts w:ascii="Arial" w:cs="Arial" w:eastAsia="Arial" w:hAnsi="Arial"/>
          <w:color w:val="555555"/>
          <w:sz w:val="18"/>
          <w:szCs w:val="18"/>
        </w:rPr>
        <w:t xml:space="preserve">[TPN101_24] Transposon Therapeutics. Final results from Phase 2 study of TPN-101 in C9orf72-related ALS/FTD; selection for HEALEY ALS Platform Trial. Company press releases, July 24, 2024 and May 28, 2025. Not peer-reviewed; data not yet independently published. [n=42; NfL lowering; 50% less VC decline vs placebo; meta-analysis NfL reduction p=0.034]</w:t>
      </w:r>
    </w:p>
    <w:p>
      <w:pPr>
        <w:spacing w:before="60" w:after="60"/>
      </w:pPr>
      <w:r>
        <w:rPr>
          <w:rFonts w:ascii="Arial" w:cs="Arial" w:eastAsia="Arial" w:hAnsi="Arial"/>
          <w:color w:val="555555"/>
          <w:sz w:val="18"/>
          <w:szCs w:val="18"/>
        </w:rPr>
        <w:t xml:space="preserve">[Hachinski06] Hachinski V, Iadecola C, Petersen RC, et al. NINDS-CSN vascular cognitive impairment harmonization standards. Stroke. 2006;37(9):2220–2241.</w:t>
      </w:r>
    </w:p>
    <w:p>
      <w:pPr>
        <w:spacing w:before="60" w:after="60"/>
      </w:pPr>
      <w:r>
        <w:rPr>
          <w:rFonts w:ascii="Arial" w:cs="Arial" w:eastAsia="Arial" w:hAnsi="Arial"/>
          <w:color w:val="555555"/>
          <w:sz w:val="18"/>
          <w:szCs w:val="18"/>
        </w:rPr>
        <w:t xml:space="preserve">[Henderson10] Henderson VW, Brinton RD. Menopause and mitochondria: windows into estrogen effects on Alzheimer's disease risk and therapy. Prog Brain Res. 2010;182:77–96.</w:t>
      </w:r>
    </w:p>
    <w:p>
      <w:pPr>
        <w:spacing w:before="60" w:after="60"/>
      </w:pPr>
      <w:r>
        <w:rPr>
          <w:rFonts w:ascii="Arial" w:cs="Arial" w:eastAsia="Arial" w:hAnsi="Arial"/>
          <w:color w:val="555555"/>
          <w:sz w:val="18"/>
          <w:szCs w:val="18"/>
        </w:rPr>
        <w:t xml:space="preserve">[Irwin24_NatMed] Irwin KE et al. A fluid biomarker reveals loss of TDP-43 splicing repression in presymptomatic ALS-FTD. Nature Medicine. 2024;30(2):382–393.</w:t>
      </w:r>
    </w:p>
    <w:p>
      <w:pPr>
        <w:spacing w:before="60" w:after="60"/>
      </w:pPr>
      <w:r>
        <w:rPr>
          <w:rFonts w:ascii="Arial" w:cs="Arial" w:eastAsia="Arial" w:hAnsi="Arial"/>
          <w:color w:val="555555"/>
          <w:sz w:val="18"/>
          <w:szCs w:val="18"/>
        </w:rPr>
        <w:t xml:space="preserve">[Kang19] Kang UJ, Boehme AK, Fairfoul G, et al. Comparative study of CSF alpha-synuclein seeding aggregation assays for diagnosis of Parkinson's disease. Mov Disord. 2019;34(4):536–544.</w:t>
      </w:r>
    </w:p>
    <w:p>
      <w:pPr>
        <w:spacing w:before="60" w:after="60"/>
      </w:pPr>
      <w:r>
        <w:rPr>
          <w:rFonts w:ascii="Arial" w:cs="Arial" w:eastAsia="Arial" w:hAnsi="Arial"/>
          <w:color w:val="555555"/>
          <w:sz w:val="18"/>
          <w:szCs w:val="18"/>
        </w:rPr>
        <w:t xml:space="preserve">[Killinger18] Killinger BA, Madaj Z, Sikora JW, et al. The vermiform appendix impacts the risk of developing Parkinson’s disease. Sci Transl Med. 2018;10(465):eaar5280. [Swedish registry n=1.6M; two internal datasets; appendectomy associated with 19–25% reduced PD risk, stronger in rural areas; contested by Palacios18]</w:t>
      </w:r>
    </w:p>
    <w:p>
      <w:pPr>
        <w:spacing w:before="60" w:after="60"/>
      </w:pPr>
      <w:r>
        <w:rPr>
          <w:rFonts w:ascii="Arial" w:cs="Arial" w:eastAsia="Arial" w:hAnsi="Arial"/>
          <w:color w:val="555555"/>
          <w:sz w:val="18"/>
          <w:szCs w:val="18"/>
        </w:rPr>
        <w:t xml:space="preserve">[Palacios18] Palacios N, Hughes KC, Cereda E, Schwarzschild MA, Ascherio A. Appendectomy and risk of Parkinson’s disease in two large prospective cohorts of men and women. Mov Disord. 2018;33(9):1492–1496. [Counter-evidence: no significant association in two independent prospective cohorts]</w:t>
      </w:r>
    </w:p>
    <w:p>
      <w:pPr>
        <w:spacing w:before="60" w:after="60"/>
      </w:pPr>
      <w:r>
        <w:rPr>
          <w:rFonts w:ascii="Arial" w:cs="Arial" w:eastAsia="Arial" w:hAnsi="Arial"/>
          <w:color w:val="555555"/>
          <w:sz w:val="18"/>
          <w:szCs w:val="18"/>
        </w:rPr>
        <w:t xml:space="preserve">[LACI2_23] Wardlaw JM et al. Isosorbide mononitrate and cilostazol treatment in patients with symptomatic cerebral small vessel disease: the LACI-2 randomized clinical trial. JAMA Neurol. 2023;80:682–692.</w:t>
      </w:r>
    </w:p>
    <w:p>
      <w:pPr>
        <w:spacing w:before="60" w:after="60"/>
      </w:pPr>
      <w:r>
        <w:rPr>
          <w:rFonts w:ascii="Arial" w:cs="Arial" w:eastAsia="Arial" w:hAnsi="Arial"/>
          <w:color w:val="555555"/>
          <w:sz w:val="18"/>
          <w:szCs w:val="18"/>
        </w:rPr>
        <w:t xml:space="preserve">[Levey22] Levey AI, Qiu D, Zhao L, et al. A phase II study repurposing atomoxetine for neuroprotection in mild cognitive impairment. Brain. 2022;145(6):1924–1938. [Published online December 2021. CSF tau and pTau181 significantly reduced vs placebo; FDG-PET increased hippocampal uptake]</w:t>
      </w:r>
    </w:p>
    <w:p>
      <w:pPr>
        <w:spacing w:before="60" w:after="60"/>
      </w:pPr>
      <w:r>
        <w:rPr>
          <w:rFonts w:ascii="Arial" w:cs="Arial" w:eastAsia="Arial" w:hAnsi="Arial"/>
          <w:color w:val="555555"/>
          <w:sz w:val="18"/>
          <w:szCs w:val="18"/>
        </w:rPr>
        <w:t xml:space="preserve">[Liu17] Liu B, Fang F, Pedersen NL, et al. Vagotomy and Parkinson disease: a Swedish register-based matched-cohort study. Neurology. 2017;88(21):1996–2002.</w:t>
      </w:r>
    </w:p>
    <w:p>
      <w:pPr>
        <w:spacing w:before="60" w:after="60"/>
      </w:pPr>
      <w:r>
        <w:rPr>
          <w:rFonts w:ascii="Arial" w:cs="Arial" w:eastAsia="Arial" w:hAnsi="Arial"/>
          <w:color w:val="555555"/>
          <w:sz w:val="18"/>
          <w:szCs w:val="18"/>
        </w:rPr>
        <w:t xml:space="preserve">[McKeith92] McKeith I, Fairbairn A, Perry R, Thompson P, Perry E. Neuroleptic sensitivity in patients with senile dementia of Lewy body type. BMJ. 1992;305(6855):673–678. [Autopsy-confirmed, n=20 DLB; 13/16 (81%) any adverse reaction; 7/16 (44%) severe; 2.7-fold mortality increase]</w:t>
      </w:r>
    </w:p>
    <w:p>
      <w:pPr>
        <w:spacing w:before="60" w:after="60"/>
      </w:pPr>
      <w:r>
        <w:rPr>
          <w:rFonts w:ascii="Arial" w:cs="Arial" w:eastAsia="Arial" w:hAnsi="Arial"/>
          <w:color w:val="555555"/>
          <w:sz w:val="18"/>
          <w:szCs w:val="18"/>
        </w:rPr>
        <w:t xml:space="preserve">[McKeith17] McKeith IG, Boeve BF, Dickson DW, et al. Diagnosis and management of dementia with Lewy bodies: fourth consensus report. Neurology. 2017;89(1):88–100.</w:t>
      </w:r>
    </w:p>
    <w:p>
      <w:pPr>
        <w:spacing w:before="60" w:after="60"/>
      </w:pPr>
      <w:r>
        <w:rPr>
          <w:rFonts w:ascii="Arial" w:cs="Arial" w:eastAsia="Arial" w:hAnsi="Arial"/>
          <w:color w:val="555555"/>
          <w:sz w:val="18"/>
          <w:szCs w:val="18"/>
        </w:rPr>
        <w:t xml:space="preserve">[Ballard05] Ballard CG, O’Brien JT, Perry EK, McKeith IG, Larsen JP. Neuroleptic sensitivity in Parkinson’s disease and parkinsonian dementias. J Clin Psychiatry. 2005 (PMID: 15889951). [Prospective; n=15 DLB; 8/15 (53%) severe NSR; not associated with AD neuropathological staging]</w:t>
      </w:r>
    </w:p>
    <w:p>
      <w:pPr>
        <w:spacing w:before="60" w:after="60"/>
      </w:pPr>
      <w:r>
        <w:rPr>
          <w:rFonts w:ascii="Arial" w:cs="Arial" w:eastAsia="Arial" w:hAnsi="Arial"/>
          <w:color w:val="555555"/>
          <w:sz w:val="18"/>
          <w:szCs w:val="18"/>
        </w:rPr>
        <w:t xml:space="preserve">[Montagne20] Montagne A, Nation DA, Sagare AP, et al. APOE4 leads to blood-brain barrier dysfunction predicting cognitive decline. Nature. 2020;581(7806):71–76.</w:t>
      </w:r>
    </w:p>
    <w:p>
      <w:pPr>
        <w:spacing w:before="60" w:after="60"/>
      </w:pPr>
      <w:r>
        <w:rPr>
          <w:rFonts w:ascii="Arial" w:cs="Arial" w:eastAsia="Arial" w:hAnsi="Arial"/>
          <w:color w:val="555555"/>
          <w:sz w:val="18"/>
          <w:szCs w:val="18"/>
        </w:rPr>
        <w:t xml:space="preserve">[Mummery23] Mummery CJ, Borjesson-Hanson A, Blackburn DJ, et al. Tau-targeting antisense oligonucleotide MAPTRx in mild Alzheimer's disease: a phase 1b, randomized, placebo-controlled trial. Nat Med. 2023;29(6):1437–1447.</w:t>
      </w:r>
    </w:p>
    <w:p>
      <w:pPr>
        <w:spacing w:before="60" w:after="60"/>
      </w:pPr>
      <w:r>
        <w:rPr>
          <w:rFonts w:ascii="Arial" w:cs="Arial" w:eastAsia="Arial" w:hAnsi="Arial"/>
          <w:color w:val="555555"/>
          <w:sz w:val="18"/>
          <w:szCs w:val="18"/>
        </w:rPr>
        <w:t xml:space="preserve">[Nedergaard25] Hauglund NL, Andersen M, Tokarska K, et al. Norepinephrine-mediated slow vasomotion drives glymphatic clearance during sleep. Cell. 2025;188(3):606–622.e17.</w:t>
      </w:r>
    </w:p>
    <w:p>
      <w:pPr>
        <w:spacing w:before="60" w:after="60"/>
      </w:pPr>
      <w:r>
        <w:rPr>
          <w:rFonts w:ascii="Arial" w:cs="Arial" w:eastAsia="Arial" w:hAnsi="Arial"/>
          <w:color w:val="555555"/>
          <w:sz w:val="18"/>
          <w:szCs w:val="18"/>
        </w:rPr>
        <w:t xml:space="preserve">[Nelson19] Nelson PT, Dickson DW, Trojanowski JQ, et al. Limbic-predominant age-related TDP-43 encephalopathy (LATE): consensus working group report. Brain. 2019;142(6):1503–1527.</w:t>
      </w:r>
    </w:p>
    <w:p>
      <w:pPr>
        <w:spacing w:before="60" w:after="60"/>
      </w:pPr>
      <w:r>
        <w:rPr>
          <w:rFonts w:ascii="Arial" w:cs="Arial" w:eastAsia="Arial" w:hAnsi="Arial"/>
          <w:color w:val="555555"/>
          <w:sz w:val="18"/>
          <w:szCs w:val="18"/>
        </w:rPr>
        <w:t xml:space="preserve">[Norton14] Norton S, Matthews FE, Barnes DE, et al. Potential for primary prevention of Alzheimer's disease: an analysis of population-based data. Lancet Neurol. 2014;13(8):788–794.</w:t>
      </w:r>
    </w:p>
    <w:p>
      <w:pPr>
        <w:spacing w:before="60" w:after="60"/>
      </w:pPr>
      <w:r>
        <w:rPr>
          <w:rFonts w:ascii="Arial" w:cs="Arial" w:eastAsia="Arial" w:hAnsi="Arial"/>
          <w:color w:val="555555"/>
          <w:sz w:val="18"/>
          <w:szCs w:val="18"/>
        </w:rPr>
        <w:t xml:space="preserve">[Pantoni10] Pantoni L. Cerebral small vessel disease: from pathogenesis and clinical characteristics to therapeutic challenges. Lancet Neurol. 2010;9(7):689–701.</w:t>
      </w:r>
    </w:p>
    <w:p>
      <w:pPr>
        <w:spacing w:before="60" w:after="60"/>
      </w:pPr>
      <w:r>
        <w:rPr>
          <w:rFonts w:ascii="Arial" w:cs="Arial" w:eastAsia="Arial" w:hAnsi="Arial"/>
          <w:color w:val="555555"/>
          <w:sz w:val="18"/>
          <w:szCs w:val="18"/>
        </w:rPr>
        <w:t xml:space="preserve">[PlGF24] Kern K, Hinman JD, DeCarli C, et al. (MarkVCID Consortium). White matter free water mediates the associations between placental growth factor, white matter hyperintensities, and cognitive status. Alzheimer’s &amp; Dementia. Published online 18 December 2024. doi: 10.1002/alz.14470.</w:t>
      </w:r>
    </w:p>
    <w:p>
      <w:pPr>
        <w:spacing w:before="60" w:after="60"/>
      </w:pPr>
      <w:r>
        <w:rPr>
          <w:rFonts w:ascii="Arial" w:cs="Arial" w:eastAsia="Arial" w:hAnsi="Arial"/>
          <w:color w:val="555555"/>
          <w:sz w:val="18"/>
          <w:szCs w:val="18"/>
        </w:rPr>
        <w:t xml:space="preserve">[Rademakers07] Rademakers R, Baker M, Gass J, et al. Phenotypic variability associated with mutations in progranulin (GRN) gene. Hum Mutat. 2007;28(9):846–855.</w:t>
      </w:r>
    </w:p>
    <w:p>
      <w:pPr>
        <w:spacing w:before="60" w:after="60"/>
      </w:pPr>
      <w:r>
        <w:rPr>
          <w:rFonts w:ascii="Arial" w:cs="Arial" w:eastAsia="Arial" w:hAnsi="Arial"/>
          <w:color w:val="555555"/>
          <w:sz w:val="18"/>
          <w:szCs w:val="18"/>
        </w:rPr>
        <w:t xml:space="preserve">[Rojas21] Rojas JC, Wang P, Staffaroni AM, et al. Plasma neurofilament light for prediction of disease progression in familial frontotemporal lobar degeneration. Neurology. 2021;96(18):e2296–e2312.</w:t>
      </w:r>
    </w:p>
    <w:p>
      <w:pPr>
        <w:spacing w:before="60" w:after="60"/>
      </w:pPr>
      <w:r>
        <w:rPr>
          <w:rFonts w:ascii="Arial" w:cs="Arial" w:eastAsia="Arial" w:hAnsi="Arial"/>
          <w:color w:val="555555"/>
          <w:sz w:val="18"/>
          <w:szCs w:val="18"/>
        </w:rPr>
        <w:t xml:space="preserve">[Siderowf23] Siderowf A, Concha-Marambio L, Lafontant DE, et al. Assessment of heterogeneity among PPMI cohort participants using alpha-synuclein seed amplification. Lancet Neurol. 2023;22(5):407–417.</w:t>
      </w:r>
    </w:p>
    <w:p>
      <w:pPr>
        <w:spacing w:before="60" w:after="60"/>
      </w:pPr>
      <w:r>
        <w:rPr>
          <w:rFonts w:ascii="Arial" w:cs="Arial" w:eastAsia="Arial" w:hAnsi="Arial"/>
          <w:color w:val="555555"/>
          <w:sz w:val="18"/>
          <w:szCs w:val="18"/>
        </w:rPr>
        <w:t xml:space="preserve">[SPRINTMIND19] SPRINT MIND Investigators. Effect of intensive vs standard blood pressure control on probable dementia. JAMA. 2019;321(6):553–561.</w:t>
      </w:r>
    </w:p>
    <w:p>
      <w:pPr>
        <w:spacing w:before="60" w:after="60"/>
      </w:pPr>
      <w:r>
        <w:rPr>
          <w:rFonts w:ascii="Arial" w:cs="Arial" w:eastAsia="Arial" w:hAnsi="Arial"/>
          <w:color w:val="555555"/>
          <w:sz w:val="18"/>
          <w:szCs w:val="18"/>
        </w:rPr>
        <w:t xml:space="preserve">[SVD_emerging25] Sun et al. Cerebral Small Vessel Disease: Current and Emerging Therapeutic Strategies. Aging Dis. 2025;17(1):286–303. [Senolytics, NLRP3 inhibitors, remyelination agents]</w:t>
      </w:r>
    </w:p>
    <w:p>
      <w:pPr>
        <w:spacing w:before="60" w:after="60"/>
      </w:pPr>
      <w:r>
        <w:rPr>
          <w:rFonts w:ascii="Arial" w:cs="Arial" w:eastAsia="Arial" w:hAnsi="Arial"/>
          <w:color w:val="555555"/>
          <w:sz w:val="18"/>
          <w:szCs w:val="18"/>
        </w:rPr>
        <w:t xml:space="preserve">[Svensson15] Svensson E, Horvath-Puho E, Thomsen RW, et al. Vagotomy and subsequent risk of Parkinson's disease. Ann Neurol. 2015;78(4):522–529.</w:t>
      </w:r>
    </w:p>
    <w:p>
      <w:pPr>
        <w:spacing w:before="60" w:after="60"/>
      </w:pPr>
      <w:r>
        <w:rPr>
          <w:rFonts w:ascii="Arial" w:cs="Arial" w:eastAsia="Arial" w:hAnsi="Arial"/>
          <w:color w:val="555555"/>
          <w:sz w:val="18"/>
          <w:szCs w:val="18"/>
        </w:rPr>
        <w:t xml:space="preserve">[TDP43_proteoforms24] Forgrave LM, Moon KM, Hamden JE, et al. Truncated TDP-43 proteoforms diagnostic of frontotemporal dementia with TDP-43 pathology. Alzheimer's &amp; Dementia. 2024;20(1):103–111.</w:t>
      </w:r>
    </w:p>
    <w:p>
      <w:pPr>
        <w:spacing w:before="60" w:after="60"/>
      </w:pPr>
      <w:r>
        <w:rPr>
          <w:rFonts w:ascii="Arial" w:cs="Arial" w:eastAsia="Arial" w:hAnsi="Arial"/>
          <w:color w:val="555555"/>
          <w:sz w:val="18"/>
          <w:szCs w:val="18"/>
        </w:rPr>
        <w:t xml:space="preserve">[Theofilas17] Theofilas P, Ehrenberg AJ, Dunlop S, et al. Locus coeruleus volume and cell count estimates predict Alzheimer's disease stage. Neurobiol Aging. 2017;57:83–92.</w:t>
      </w:r>
    </w:p>
    <w:p>
      <w:pPr>
        <w:spacing w:before="60" w:after="60"/>
      </w:pPr>
      <w:r>
        <w:rPr>
          <w:rFonts w:ascii="Arial" w:cs="Arial" w:eastAsia="Arial" w:hAnsi="Arial"/>
          <w:color w:val="555555"/>
          <w:sz w:val="18"/>
          <w:szCs w:val="18"/>
        </w:rPr>
        <w:t xml:space="preserve">[VaD24] Mok VCT, Cai Y, Markus HS. Vascular cognitive impairment and dementia: mechanisms, treatment, and future directions. Int J Stroke. 2024 Oct;19(8):838–856. doi: 10.1177/17474930241279888. PMID: 39283037.</w:t>
      </w:r>
    </w:p>
    <w:p>
      <w:pPr>
        <w:spacing w:before="60" w:after="60"/>
      </w:pPr>
      <w:r>
        <w:rPr>
          <w:rFonts w:ascii="Arial" w:cs="Arial" w:eastAsia="Arial" w:hAnsi="Arial"/>
          <w:color w:val="555555"/>
          <w:sz w:val="18"/>
          <w:szCs w:val="18"/>
        </w:rPr>
        <w:t xml:space="preserve">[VaDsleep] Chesebro AG, Melgarejo JD, Leendertz R, et al. (Brickman AM, senior author). White matter hyperintensities mediate the association of nocturnal blood pressure with cognition. Neurology. 2020;94(17):e1803–e1812. doi: 10.1212/WNL.0000000000009316. [Maracaibo Aging Study; n=435; reverse dipping + hypertension → elevated periventricular WMH → lower memory scores]</w:t>
      </w:r>
    </w:p>
    <w:p>
      <w:pPr>
        <w:spacing w:before="60" w:after="60"/>
      </w:pPr>
      <w:r>
        <w:rPr>
          <w:rFonts w:ascii="Arial" w:cs="Arial" w:eastAsia="Arial" w:hAnsi="Arial"/>
          <w:color w:val="555555"/>
          <w:sz w:val="18"/>
          <w:szCs w:val="18"/>
        </w:rPr>
        <w:t xml:space="preserve">[VCID25] Lennon MJ, Karvelas N, Ganesh A, et al. The future of biomarkers for vascular contributions to cognitive impairment and dementia (VCID): proceedings of the 2025 annual workshop of the Albert Research Institute for White Matter and Cognition. GeroScience. 2025;47(5):6177–6190. doi: 10.1007/s11357-025-01746-y. [OEF MRI; OMG and NPTXR plasma proteins; PlGF; retinal biomarkers; AI multimodal]</w:t>
      </w:r>
    </w:p>
    <w:p>
      <w:pPr>
        <w:spacing w:before="60" w:after="60"/>
      </w:pPr>
      <w:r>
        <w:rPr>
          <w:rFonts w:ascii="Arial" w:cs="Arial" w:eastAsia="Arial" w:hAnsi="Arial"/>
          <w:color w:val="555555"/>
          <w:sz w:val="18"/>
          <w:szCs w:val="18"/>
        </w:rPr>
        <w:t xml:space="preserve">[OMGNPTXR24] Knopman DS et al. Plasma proteome-wide analysis of cerebral small vessel disease identifies novel biomarkers and disease pathways. medRxiv preprint. October 2024. doi: 10.1101/2024.10.07.24314972. [ARIC cohort; 4,877 proteins; OMG and NPTXR as top candidates for elevated WMH volume, replicated in external cohorts]</w:t>
      </w:r>
    </w:p>
    <w:p>
      <w:pPr>
        <w:spacing w:before="60" w:after="60"/>
      </w:pPr>
      <w:r>
        <w:rPr>
          <w:rFonts w:ascii="Arial" w:cs="Arial" w:eastAsia="Arial" w:hAnsi="Arial"/>
          <w:color w:val="555555"/>
          <w:sz w:val="18"/>
          <w:szCs w:val="18"/>
        </w:rPr>
        <w:t xml:space="preserve">[ZlokovicBV] Zlokovic BV. Neurovascular pathways to neurodegeneration in Alzheimer's disease and other disorders. Nat Rev Neurosci. 2011;12(12):723–738.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2026-03-18T00:19:51.685Z</dcterms:created>
  <dcterms:modified xsi:type="dcterms:W3CDTF">2026-03-18T00:19:51.686Z</dcterms:modified>
</cp:coreProperties>
</file>

<file path=docProps/custom.xml><?xml version="1.0" encoding="utf-8"?>
<Properties xmlns="http://schemas.openxmlformats.org/officeDocument/2006/custom-properties" xmlns:vt="http://schemas.openxmlformats.org/officeDocument/2006/docPropsVTypes"/>
</file>