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The Self-Sustaining Barrier: A Mechanistic Framework for Eosinophilic Esophagitis</w:t>
      </w:r>
    </w:p>
    <w:p>
      <w:pPr>
        <w:spacing w:after="80"/>
        <w:jc w:val="center"/>
      </w:pPr>
      <w:r>
        <w:rPr>
          <w:rFonts w:ascii="Arial" w:cs="Arial" w:eastAsia="Arial" w:hAnsi="Arial"/>
          <w:b/>
          <w:bCs/>
          <w:color w:val="2E75B6"/>
          <w:sz w:val="26"/>
          <w:szCs w:val="26"/>
        </w:rPr>
        <w:t xml:space="preserve">How IL-13-Driven Barrier Failure May Prevent Its Own Repair, and What That Means for Diagnosis and Treatment</w:t>
      </w:r>
    </w:p>
    <w:p>
      <w:pPr>
        <w:spacing w:after="120"/>
      </w:pPr>
      <w:r>
        <w:rPr>
          <w:rFonts w:ascii="Arial" w:cs="Arial" w:eastAsia="Arial" w:hAnsi="Arial"/>
          <w:sz w:val="24"/>
          <w:szCs w:val="24"/>
        </w:rPr>
        <w:t xml:space="preserve"/>
      </w:r>
    </w:p>
    <w:p>
      <w:pPr>
        <w:spacing w:after="60"/>
        <w:jc w:val="center"/>
      </w:pPr>
      <w:r>
        <w:rPr>
          <w:rFonts w:ascii="Arial" w:cs="Arial" w:eastAsia="Arial" w:hAnsi="Arial"/>
          <w:b/>
          <w:bCs/>
          <w:sz w:val="24"/>
          <w:szCs w:val="24"/>
        </w:rPr>
        <w:t xml:space="preserve">M. Finnegan</w:t>
      </w:r>
    </w:p>
    <w:p>
      <w:pPr>
        <w:spacing w:after="60"/>
        <w:jc w:val="center"/>
      </w:pPr>
      <w:r>
        <w:rPr>
          <w:rFonts w:ascii="Arial" w:cs="Arial" w:eastAsia="Arial" w:hAnsi="Arial"/>
          <w:sz w:val="22"/>
          <w:szCs w:val="22"/>
        </w:rPr>
        <w:t xml:space="preserve">Independent Researcher, Lewes, DE, USA</w:t>
      </w:r>
    </w:p>
    <w:p>
      <w:pPr>
        <w:spacing w:after="60"/>
        <w:jc w:val="center"/>
      </w:pPr>
      <w:r>
        <w:rPr>
          <w:rFonts w:ascii="Arial" w:cs="Arial" w:eastAsia="Arial" w:hAnsi="Arial"/>
          <w:sz w:val="22"/>
          <w:szCs w:val="22"/>
        </w:rPr>
        <w:t xml:space="preserve">ORCID: 0009-0009-4921-7722 · sykopompos@gmail.com</w:t>
      </w:r>
    </w:p>
    <w:p>
      <w:pPr>
        <w:spacing w:after="240"/>
        <w:jc w:val="center"/>
      </w:pPr>
      <w:r>
        <w:rPr>
          <w:rFonts w:ascii="Arial" w:cs="Arial" w:eastAsia="Arial" w:hAnsi="Arial"/>
          <w:i/>
          <w:iCs/>
          <w:sz w:val="22"/>
          <w:szCs w:val="22"/>
        </w:rPr>
        <w:t xml:space="preserve">Preprint — March 2026 · Not yet peer reviewed</w:t>
      </w:r>
    </w:p>
    <w:p>
      <w:pPr>
        <w:pStyle w:val="Heading1"/>
        <w:spacing w:before="360" w:after="180"/>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Eosinophilic esophagitis (EoE) is characterised in clinical practice primarily by its output: esophageal eosinophilia (&gt;15 eosinophils per high-power field). This paper proposes that this framing is mechanistically incomplete. EoE is better understood as a self-sustaining esophageal epithelial barrier failure, in which the inflammatory cascade initiated by barrier disruption actively suppresses the molecular machinery required for barrier repair. The central mechanism is a positive feedback loop: barrier failure → food antigen penetration → TSLP/IL-33 alarmin release → Th2 polarisation → IL-13 production → filaggrin and claudin suppression → further barrier deterioration. IL-13 is simultaneously the dominant driver of eosinophil recruitment (via eotaxin-3/CCL26) and a proposed direct suppressor of the structural proteins the barrier requires to recover. This loop is, in the proposed model, self-sustaining: current evidence is most consistent with the interpretation that without intervention targeting the IL-13 arm, the barrier may not fully recover in many patients even when the antigenic trigger is removed.</w:t>
      </w:r>
    </w:p>
    <w:p>
      <w:pPr>
        <w:spacing w:after="160"/>
      </w:pPr>
      <w:r>
        <w:rPr>
          <w:rFonts w:ascii="Arial" w:cs="Arial" w:eastAsia="Arial" w:hAnsi="Arial"/>
          <w:sz w:val="24"/>
          <w:szCs w:val="24"/>
        </w:rPr>
        <w:t xml:space="preserve">This framing resolves several clinical observations that are difficult to explain under an eosinophil-centric model: why reducing eosinophils via IL-5 blockade consistently achieves histologic but not symptomatic or endoscopic response; why topical steroids suppress but do not durably modify disease; why dupilumab (IL-4Rα blockade, targeting both IL-4 and IL-13) outperforms all IL-5-targeted agents across all outcome domains; and why the emerging IL-13-targeted agent cendakimab shows comparable efficacy to dupilumab. The framework also provides a mechanistic rationale for the 2023 finding that milk-only elimination is non-inferior to six-food elimination in adults — the dominant trigger is the one sustaining the most IL-13 production, and in most EoE patients that is a single antigen.</w:t>
      </w:r>
    </w:p>
    <w:p>
      <w:pPr>
        <w:spacing w:after="160"/>
      </w:pPr>
      <w:r>
        <w:rPr>
          <w:rFonts w:ascii="Arial" w:cs="Arial" w:eastAsia="Arial" w:hAnsi="Arial"/>
          <w:sz w:val="24"/>
          <w:szCs w:val="24"/>
        </w:rPr>
        <w:t xml:space="preserve">Seven testable predictions are derived, including biomarker-stratified trials, step-up dietary protocols, and trials targeting the barrier-repair arm in parallel with immune suppression. This paper is a mechanistic synthesis and hypothesis-generating narrative review. No new experimental data are reported.</w:t>
      </w:r>
    </w:p>
    <w:p>
      <w:pPr>
        <w:spacing w:after="160"/>
      </w:pPr>
      <w:r>
        <w:rPr>
          <w:rFonts w:ascii="Arial" w:cs="Arial" w:eastAsia="Arial" w:hAnsi="Arial"/>
          <w:sz w:val="24"/>
          <w:szCs w:val="24"/>
        </w:rPr>
        <w:t xml:space="preserve">Keywords: eosinophilic esophagitis; esophageal barrier; IL-13; filaggrin; TSLP; dupilumab; cendakimab; food elimination; eotaxin-3; mucosal impedance; Th2 inflammation</w:t>
      </w:r>
    </w:p>
    <w:p>
      <w:pPr>
        <w:pStyle w:val="Heading1"/>
        <w:spacing w:before="360" w:after="180"/>
      </w:pPr>
      <w:r>
        <w:rPr>
          <w:rFonts w:ascii="Arial" w:cs="Arial" w:eastAsia="Arial" w:hAnsi="Arial"/>
          <w:b/>
          <w:bCs/>
          <w:sz w:val="32"/>
          <w:szCs w:val="32"/>
        </w:rPr>
        <w:t xml:space="preserve">Methods and Scope</w:t>
      </w:r>
    </w:p>
    <w:p>
      <w:pPr>
        <w:spacing w:after="160"/>
      </w:pPr>
      <w:r>
        <w:rPr>
          <w:rFonts w:ascii="Arial" w:cs="Arial" w:eastAsia="Arial" w:hAnsi="Arial"/>
          <w:sz w:val="24"/>
          <w:szCs w:val="24"/>
        </w:rPr>
        <w:t xml:space="preserve">This paper presents a mechanistic framework applied to eosinophilic esophagitis, drawing on established immunology, epithelial barrier biology, enteric neuroscience, and recent clinical trial evidence. The central contribution is structural: a self-sustaining barrier failure model that identifies where EoE’s pathological loop is maintained, and derives from that model a treatment hierarchy and seven testable predictions. Literature was identified through targeted searches of PubMed and Google Scholar. Search terms included: eosinophilic esophagitis mechanism, esophageal epithelial barrier filaggrin claudin EoE, TSLP IL-33 Th2 esophagus, IL-13 eotaxin-3 CCL26 EoE, dupilumab EoE clinical trial, cendakimab EoE phase 3, tezepelumab EoE, budesonide oral suspension EoE, food elimination diet EoE randomised trial, mucosal impedance EoE, serum eotaxin-3 EoE biomarker, substance P mast cell esophagus, EoE fibrosis stricture natural history. Searches were conducted between January and March 2026. Evidence is categorised using a three-tier system: Tier A (replicated human evidence, mechanistically confirmed); Tier B (mechanistically supported, consistent but not fully replicated); Tier C (integrative synthesis, each component individually supported, full cascade not yet demonstrated in humans). Inclusion was based on mechanistic relevance to the barrier failure model and clinical evidence quality. Where conflicting evidence exists, the preponderance is described and the conflict noted. Approximately 60 primary and review sources were considered; 19 are cited. No new experimental data are reported.</w:t>
      </w:r>
    </w:p>
    <w:p>
      <w:pPr>
        <w:pStyle w:val="Heading1"/>
        <w:spacing w:before="360" w:after="180"/>
      </w:pPr>
      <w:r>
        <w:rPr>
          <w:rFonts w:ascii="Arial" w:cs="Arial" w:eastAsia="Arial" w:hAnsi="Arial"/>
          <w:b/>
          <w:bCs/>
          <w:sz w:val="32"/>
          <w:szCs w:val="32"/>
        </w:rPr>
        <w:t xml:space="preserve">§1 — The Diagnostic Problem</w:t>
      </w:r>
    </w:p>
    <w:p>
      <w:pPr>
        <w:spacing w:after="160"/>
      </w:pPr>
      <w:r>
        <w:rPr>
          <w:rFonts w:ascii="Arial" w:cs="Arial" w:eastAsia="Arial" w:hAnsi="Arial"/>
          <w:sz w:val="24"/>
          <w:szCs w:val="24"/>
        </w:rPr>
        <w:t xml:space="preserve">Eosinophilic esophagitis is diagnosed by a number. The diagnostic threshold — 15 or more eosinophils per high-power field (eos/hpf) on esophageal biopsy — was established to distinguish EoE from gastroesophageal reflux disease, and it has served as the gating criterion for every major clinical trial since [Furuta07, Liacouras11]. This threshold is not wrong. Eosinophilia is the histologic signature of active EoE, and biopsy remains the gold standard for diagnosis and treatment response monitoring. The problem is what the number measures — and what it misses.</w:t>
      </w:r>
    </w:p>
    <w:p>
      <w:pPr>
        <w:spacing w:after="160"/>
      </w:pPr>
      <w:r>
        <w:rPr>
          <w:rFonts w:ascii="Arial" w:cs="Arial" w:eastAsia="Arial" w:hAnsi="Arial"/>
          <w:sz w:val="24"/>
          <w:szCs w:val="24"/>
        </w:rPr>
        <w:t xml:space="preserve">Eosinophil density is a late-stage readout. By the time the tissue eosinophil count crosses 15 eos/hpf, the patient has already experienced a cascade that began days to weeks earlier: antigen exposure → Th2 cytokine production → eotaxin-3 secretion → eosinophil recruitment and survival. The patient presenting with dysphagia and food impaction has not just acquired eosinophilia — they have accumulated it across a slow-building inflammatory response that the current diagnostic system only detects at the endpoint of that accumulation. Earlier upstream markers — serum eotaxin-3, mucosal impedance, esophageal transcriptome — can detect disease activity before the eosinophil threshold is crossed, but none is currently in routine clinical use [Furuta07].</w:t>
      </w:r>
    </w:p>
    <w:p>
      <w:pPr>
        <w:spacing w:after="160"/>
      </w:pPr>
      <w:r>
        <w:rPr>
          <w:rFonts w:ascii="Arial" w:cs="Arial" w:eastAsia="Arial" w:hAnsi="Arial"/>
          <w:sz w:val="24"/>
          <w:szCs w:val="24"/>
        </w:rPr>
        <w:t xml:space="preserve">The deeper problem is framing. When EoE is defined by its output (eosinophilia), the therapeutic imperative becomes: reduce eosinophils. This has been the dominant logic of EoE pharmacology for two decades, and it has produced a paradox. Every biologic targeting IL-5 — the primary eosinophil survival and recruitment cytokine — reliably reduces esophageal eosinophil counts. None of them has demonstrated convincing symptomatic or endoscopic benefit [Rothenberg24_NEJM, Dellon23_Gut]. Mepolizumab, reslizumab, and benralizumab all decrease eosinophilia; none meaningfully reduces dysphagia, food impaction, or the endoscopic features of fibrostenotic disease. If eosinophils were the mechanism, removing them should help. They are removed, and it does not consistently help. Something else is the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100"/>
            </w:pPr>
            <w:r>
              <w:rPr>
                <w:rFonts w:ascii="Arial" w:cs="Arial" w:eastAsia="Arial" w:hAnsi="Arial"/>
                <w:i w:val="false"/>
                <w:iCs w:val="false"/>
                <w:sz w:val="22"/>
                <w:szCs w:val="22"/>
              </w:rPr>
              <w:t xml:space="preserve">THE DIAGNOSTIC PARADOX:</w:t>
            </w:r>
          </w:p>
          <w:p>
            <w:pPr>
              <w:spacing w:after="100"/>
            </w:pPr>
            <w:r>
              <w:rPr>
                <w:rFonts w:ascii="Arial" w:cs="Arial" w:eastAsia="Arial" w:hAnsi="Arial"/>
                <w:i w:val="false"/>
                <w:iCs w:val="false"/>
                <w:sz w:val="22"/>
                <w:szCs w:val="22"/>
              </w:rPr>
              <w:t xml:space="preserve">IL-5 blockade reliably reduces esophageal eosinophilia in EoE.</w:t>
            </w:r>
          </w:p>
          <w:p>
            <w:pPr>
              <w:spacing w:after="100"/>
            </w:pPr>
            <w:r>
              <w:rPr>
                <w:rFonts w:ascii="Arial" w:cs="Arial" w:eastAsia="Arial" w:hAnsi="Arial"/>
                <w:i w:val="false"/>
                <w:iCs w:val="false"/>
                <w:sz w:val="22"/>
                <w:szCs w:val="22"/>
              </w:rPr>
              <w:t xml:space="preserve">None of the IL-5 blocking agents has demonstrated convincing symptomatic or endoscopic benefit.</w:t>
            </w:r>
          </w:p>
          <w:p>
            <w:pPr>
              <w:spacing w:after="100"/>
            </w:pPr>
            <w:r>
              <w:rPr>
                <w:rFonts w:ascii="Arial" w:cs="Arial" w:eastAsia="Arial" w:hAnsi="Arial"/>
                <w:i w:val="false"/>
                <w:iCs w:val="false"/>
                <w:sz w:val="22"/>
                <w:szCs w:val="22"/>
              </w:rPr>
              <w:t xml:space="preserve">If eosinophils were the mechanism of damage, reducing them should help.</w:t>
            </w:r>
          </w:p>
          <w:p>
            <w:pPr>
              <w:spacing w:after="100"/>
            </w:pPr>
            <w:r>
              <w:rPr>
                <w:rFonts w:ascii="Arial" w:cs="Arial" w:eastAsia="Arial" w:hAnsi="Arial"/>
                <w:i w:val="false"/>
                <w:iCs w:val="false"/>
                <w:sz w:val="22"/>
                <w:szCs w:val="22"/>
              </w:rPr>
              <w:t xml:space="preserve">They are reduced. It does not consistently help.</w:t>
            </w:r>
          </w:p>
          <w:p>
            <w:pPr>
              <w:spacing w:after="100"/>
            </w:pPr>
            <w:r>
              <w:rPr>
                <w:rFonts w:ascii="Arial" w:cs="Arial" w:eastAsia="Arial" w:hAnsi="Arial"/>
                <w:i w:val="false"/>
                <w:iCs w:val="false"/>
                <w:sz w:val="22"/>
                <w:szCs w:val="22"/>
              </w:rPr>
              <w:t xml:space="preserve">The eosinophils are a marker of the mechanism, not the mechanism itself.</w:t>
            </w:r>
          </w:p>
        </w:tc>
      </w:tr>
    </w:tbl>
    <w:p>
      <w:pPr>
        <w:spacing w:after="120"/>
      </w:pPr>
      <w:r>
        <w:rPr>
          <w:rFonts w:ascii="Arial" w:cs="Arial" w:eastAsia="Arial" w:hAnsi="Arial"/>
          <w:sz w:val="24"/>
          <w:szCs w:val="24"/>
        </w:rPr>
        <w:t xml:space="preserve"/>
      </w:r>
    </w:p>
    <w:p>
      <w:pPr>
        <w:pStyle w:val="Heading1"/>
        <w:spacing w:before="360" w:after="180"/>
      </w:pPr>
      <w:r>
        <w:rPr>
          <w:rFonts w:ascii="Arial" w:cs="Arial" w:eastAsia="Arial" w:hAnsi="Arial"/>
          <w:b/>
          <w:bCs/>
          <w:sz w:val="32"/>
          <w:szCs w:val="32"/>
        </w:rPr>
        <w:t xml:space="preserve">§2 — Epithelial Barrier Failure: The Primary Event</w:t>
      </w:r>
    </w:p>
    <w:p>
      <w:pPr>
        <w:pStyle w:val="Heading2"/>
        <w:spacing w:before="280" w:after="140"/>
      </w:pPr>
      <w:r>
        <w:rPr>
          <w:rFonts w:ascii="Arial" w:cs="Arial" w:eastAsia="Arial" w:hAnsi="Arial"/>
          <w:b/>
          <w:bCs/>
          <w:sz w:val="28"/>
          <w:szCs w:val="28"/>
        </w:rPr>
        <w:t xml:space="preserve">§2.1 Esophageal Epithelial Architecture</w:t>
      </w:r>
    </w:p>
    <w:p>
      <w:pPr>
        <w:spacing w:after="160"/>
      </w:pPr>
      <w:r>
        <w:rPr>
          <w:rFonts w:ascii="Arial" w:cs="Arial" w:eastAsia="Arial" w:hAnsi="Arial"/>
          <w:sz w:val="24"/>
          <w:szCs w:val="24"/>
        </w:rPr>
        <w:t xml:space="preserve">The esophageal epithelium is a stratified squamous epithelium organised into three functional layers: the basal layer (proliferating progenitor cells), the intermediate spinous layer, and the superficial squamous layer that forms the luminal surface. The barrier function of this epithelium depends on two parallel systems: (1) tight junctions — protein complexes (claudin-1, claudin-4, occludin, ZO-1) that seal the paracellular space between cells, preventing food antigen, microbial products, and acid from penetrating the submucosa; and (2) cornified envelope proteins — particularly filaggrin, which contributes to the structural integrity of the superficial layers and the barrier’s resistance to luminal contents [Blanchard06].</w:t>
      </w:r>
    </w:p>
    <w:p>
      <w:pPr>
        <w:spacing w:after="160"/>
      </w:pPr>
      <w:r>
        <w:rPr>
          <w:rFonts w:ascii="Arial" w:cs="Arial" w:eastAsia="Arial" w:hAnsi="Arial"/>
          <w:sz w:val="24"/>
          <w:szCs w:val="24"/>
        </w:rPr>
        <w:t xml:space="preserve">In healthy esophageal epithelium, this barrier excludes food antigens from submucosal immune cells. Dendritic cells in the lamina propria sample the lumenal environment, but the tight junction seal keeps antigen load low and dendritic cell activation at a tolerogenic baseline. The immune default is tolerance to food antigens, not reactivity.</w:t>
      </w:r>
    </w:p>
    <w:p>
      <w:pPr>
        <w:pStyle w:val="Heading2"/>
        <w:spacing w:before="280" w:after="140"/>
      </w:pPr>
      <w:r>
        <w:rPr>
          <w:rFonts w:ascii="Arial" w:cs="Arial" w:eastAsia="Arial" w:hAnsi="Arial"/>
          <w:b/>
          <w:bCs/>
          <w:sz w:val="28"/>
          <w:szCs w:val="28"/>
        </w:rPr>
        <w:t xml:space="preserve">§2.2 How Barrier Failure Initiates EoE</w:t>
      </w:r>
    </w:p>
    <w:p>
      <w:pPr>
        <w:spacing w:after="160"/>
      </w:pPr>
      <w:r>
        <w:rPr>
          <w:rFonts w:ascii="Arial" w:cs="Arial" w:eastAsia="Arial" w:hAnsi="Arial"/>
          <w:sz w:val="24"/>
          <w:szCs w:val="24"/>
        </w:rPr>
        <w:t xml:space="preserve">In EoE-predisposed individuals, the barrier is structurally compromised before significant eosinophilic inflammation is established. Genetic factors at the CAPN14 locus (encoding calpain-14, a calcium-dependent protease expressed in esophageal epithelium) impair tight junction maintenance and accelerate barrier degradation under cytokine exposure [Kottyan17]. Filaggrin expression in the esophageal epithelium is reduced in EoE patients and is further suppressed by IL-13 during active disease, suggesting both a constitutional barrier vulnerability and an IL-13-amplified deficit [Kottyan17, Blanchard06].</w:t>
      </w:r>
    </w:p>
    <w:p>
      <w:pPr>
        <w:spacing w:after="160"/>
      </w:pPr>
      <w:r>
        <w:rPr>
          <w:rFonts w:ascii="Arial" w:cs="Arial" w:eastAsia="Arial" w:hAnsi="Arial"/>
          <w:sz w:val="24"/>
          <w:szCs w:val="24"/>
        </w:rPr>
        <w:t xml:space="preserve">When the barrier is compromised — by genetic predisposition, prior acid/pepsin exposure, or environmental factors — food antigens penetrate the submucosa. The esophageal epithelium responds to mechanical and chemical stress by releasing damage-associated molecular patterns, including two critical alarmins: TSLP (thymic stromal lymphopoietin) and IL-33. These alarmins are produced by esophageal epithelial cells in response to barrier disruption and function as upstream instructors that polarise the dendritic cell environment from tolerogenic to Th2. Under TSLP and IL-33 signalling, dendritic cells present food antigens to naive T cells in a Th2-instructive context: IL-4 production is promoted, IL-12 (which would drive Th1 responses) is suppressed, and the resulting T helper cells commit to a Th2 phenotype [Blanchard06, Rothenberg12].</w:t>
      </w:r>
    </w:p>
    <w:p>
      <w:pPr>
        <w:pStyle w:val="Heading2"/>
        <w:spacing w:before="280" w:after="140"/>
      </w:pPr>
      <w:r>
        <w:rPr>
          <w:rFonts w:ascii="Arial" w:cs="Arial" w:eastAsia="Arial" w:hAnsi="Arial"/>
          <w:b/>
          <w:bCs/>
          <w:sz w:val="28"/>
          <w:szCs w:val="28"/>
        </w:rPr>
        <w:t xml:space="preserve">§2.3 The Th2 Cascade: IL-5, IL-13, and Eotaxin-3</w:t>
      </w:r>
    </w:p>
    <w:p>
      <w:pPr>
        <w:spacing w:after="160"/>
      </w:pPr>
      <w:r>
        <w:rPr>
          <w:rFonts w:ascii="Arial" w:cs="Arial" w:eastAsia="Arial" w:hAnsi="Arial"/>
          <w:sz w:val="24"/>
          <w:szCs w:val="24"/>
        </w:rPr>
        <w:t xml:space="preserve">The Th2 response in EoE converges on three cytokine outputs with distinct but interacting roles. IL-5 is the primary eosinophil-mobilising cytokine: it drives eosinophil maturation from bone marrow progenitors, sustains circulating eosinophil survival, and amplifies esophageal eosinophil accumulation in response to local chemotactic signals. IL-5 is the target of mepolizumab and reslizumab; benralizumab targets IL-5Rα, the receptor subunit. All three reduce eosinophil counts effectively via distinct but convergent mechanisms.</w:t>
      </w:r>
    </w:p>
    <w:p>
      <w:pPr>
        <w:spacing w:after="160"/>
      </w:pPr>
      <w:r>
        <w:rPr>
          <w:rFonts w:ascii="Arial" w:cs="Arial" w:eastAsia="Arial" w:hAnsi="Arial"/>
          <w:sz w:val="24"/>
          <w:szCs w:val="24"/>
        </w:rPr>
        <w:t xml:space="preserve">Eotaxin-3 (CCL26) is the dominant esophageal eosinophil chemoattractant. It is produced specifically by esophageal epithelial cells in response to IL-13, not IL-5, and drives the directional migration of circulating eosinophils into esophageal tissue. Serum eotaxin-3 correlates with tissue eosinophil density and is measurable before the 15 eos/hpf threshold is crossed [Furuta07]. It is the upstream signal that positions eosinophils into the tissue; IL-5 is the signal that keeps them alive once there.</w:t>
      </w:r>
    </w:p>
    <w:p>
      <w:pPr>
        <w:spacing w:after="160"/>
      </w:pPr>
      <w:r>
        <w:rPr>
          <w:rFonts w:ascii="Arial" w:cs="Arial" w:eastAsia="Arial" w:hAnsi="Arial"/>
          <w:sz w:val="24"/>
          <w:szCs w:val="24"/>
        </w:rPr>
        <w:t xml:space="preserve">IL-13 is produced by Th2 cells, mast cells, and ILC2s in the inflamed esophagus. Its downstream effects are the mechanistically central ones: (1) IL-13 drives eotaxin-3 production from esophageal epithelial cells — recruiting eosinophils; (2) IL-13 drives subepithelial fibrosis via TGF-β and IL-13Rα2 signalling — producing the fibrostenotic features of advanced EoE (rings, strictures, reduced compliance); and critically (3) IL-13 directly suppresses filaggrin and claudin expression in esophageal epithelial cells — actively dismantling the barrier that, if repaired, would reduce antigen penetration and extinguish the inflammatory driver [Blanchard06].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100"/>
            </w:pPr>
            <w:r>
              <w:rPr>
                <w:rFonts w:ascii="Arial" w:cs="Arial" w:eastAsia="Arial" w:hAnsi="Arial"/>
                <w:i w:val="false"/>
                <w:iCs w:val="false"/>
                <w:sz w:val="22"/>
                <w:szCs w:val="22"/>
              </w:rPr>
              <w:t xml:space="preserve">THE SELF-SUSTAINING LOOP:</w:t>
            </w:r>
          </w:p>
          <w:p>
            <w:pPr>
              <w:spacing w:after="100"/>
            </w:pPr>
            <w:r>
              <w:rPr>
                <w:rFonts w:ascii="Arial" w:cs="Arial" w:eastAsia="Arial" w:hAnsi="Arial"/>
                <w:i w:val="false"/>
                <w:iCs w:val="false"/>
                <w:sz w:val="22"/>
                <w:szCs w:val="22"/>
              </w:rPr>
              <w:t xml:space="preserve">Barrier failure → food antigen penetration → TSLP/IL-33 → Th2 → IL-13</w:t>
            </w:r>
          </w:p>
          <w:p>
            <w:pPr>
              <w:spacing w:after="100"/>
            </w:pPr>
            <w:r>
              <w:rPr>
                <w:rFonts w:ascii="Arial" w:cs="Arial" w:eastAsia="Arial" w:hAnsi="Arial"/>
                <w:i w:val="false"/>
                <w:iCs w:val="false"/>
                <w:sz w:val="22"/>
                <w:szCs w:val="22"/>
              </w:rPr>
              <w:t xml:space="preserve">IL-13 → eotaxin-3 → eosinophil recruitment</w:t>
            </w:r>
          </w:p>
          <w:p>
            <w:pPr>
              <w:spacing w:after="100"/>
            </w:pPr>
            <w:r>
              <w:rPr>
                <w:rFonts w:ascii="Arial" w:cs="Arial" w:eastAsia="Arial" w:hAnsi="Arial"/>
                <w:i w:val="false"/>
                <w:iCs w:val="false"/>
                <w:sz w:val="22"/>
                <w:szCs w:val="22"/>
              </w:rPr>
              <w:t xml:space="preserve">IL-13 → filaggrin ↓, claudin ↓ → further barrier failure</w:t>
            </w:r>
          </w:p>
          <w:p>
            <w:pPr>
              <w:spacing w:after="100"/>
            </w:pPr>
            <w:r>
              <w:rPr>
                <w:rFonts w:ascii="Arial" w:cs="Arial" w:eastAsia="Arial" w:hAnsi="Arial"/>
                <w:i w:val="false"/>
                <w:iCs w:val="false"/>
                <w:sz w:val="22"/>
                <w:szCs w:val="22"/>
              </w:rPr>
              <w:t xml:space="preserve">The IL-13 produced by the immune response to barrier failure may help maintain impaired barrier repair.</w:t>
            </w:r>
          </w:p>
          <w:p>
            <w:pPr>
              <w:spacing w:after="100"/>
            </w:pPr>
            <w:r>
              <w:rPr>
                <w:rFonts w:ascii="Arial" w:cs="Arial" w:eastAsia="Arial" w:hAnsi="Arial"/>
                <w:i w:val="false"/>
                <w:iCs w:val="false"/>
                <w:sz w:val="22"/>
                <w:szCs w:val="22"/>
              </w:rPr>
              <w:t xml:space="preserve">In this model, the loop may not reliably self-terminate. Current evidence is most consistent with the interpretation that, in many patients, barrier recovery remains incomplete unless the IL-13 pathway is sufficiently suppressed.</w:t>
            </w:r>
          </w:p>
        </w:tc>
      </w:tr>
    </w:tbl>
    <w:p>
      <w:pPr>
        <w:spacing w:after="120"/>
      </w:pPr>
      <w:r>
        <w:rPr>
          <w:rFonts w:ascii="Arial" w:cs="Arial" w:eastAsia="Arial" w:hAnsi="Arial"/>
          <w:sz w:val="24"/>
          <w:szCs w:val="24"/>
        </w:rPr>
        <w:t xml:space="preserve"/>
      </w:r>
    </w:p>
    <w:p>
      <w:pPr>
        <w:spacing w:after="160"/>
      </w:pPr>
      <w:r>
        <w:rPr>
          <w:rFonts w:ascii="Arial" w:cs="Arial" w:eastAsia="Arial" w:hAnsi="Arial"/>
          <w:sz w:val="24"/>
          <w:szCs w:val="24"/>
        </w:rPr>
        <w:t xml:space="preserve">This is what the eosinophil-centric framing may miss. Eosinophils are recruited downstream of IL-13, via eotaxin-3. Removing IL-5 interrupts eosinophil survival but does not interrupt IL-13, does not restore filaggrin or claudin expression, does not reduce eotaxin-3 production, and does not repair the barrier. The tissue becomes less eosinophilic but remains inflamed, barrier-deficient, and eotaxin-3-producing. This is precisely what the IL-5 biologic trial data shows: histologic response without symptomatic or endoscopic improvement [Rothenberg24_NEJM, Dellon23_Gut].</w:t>
      </w:r>
    </w:p>
    <w:p>
      <w:pPr>
        <w:pStyle w:val="Heading1"/>
        <w:spacing w:before="360" w:after="180"/>
      </w:pPr>
      <w:r>
        <w:rPr>
          <w:rFonts w:ascii="Arial" w:cs="Arial" w:eastAsia="Arial" w:hAnsi="Arial"/>
          <w:b/>
          <w:bCs/>
          <w:sz w:val="32"/>
          <w:szCs w:val="32"/>
        </w:rPr>
        <w:t xml:space="preserve">§3 — The Neurogenic Amplification Layer</w:t>
      </w:r>
    </w:p>
    <w:p>
      <w:pPr>
        <w:spacing w:after="160"/>
      </w:pPr>
      <w:r>
        <w:rPr>
          <w:rFonts w:ascii="Arial" w:cs="Arial" w:eastAsia="Arial" w:hAnsi="Arial"/>
          <w:sz w:val="24"/>
          <w:szCs w:val="24"/>
        </w:rPr>
        <w:t xml:space="preserve">The Th2 cytokine cascade does not operate in isolation from the nervous system. Esophageal sensory nerve fibres release substance P (SP) at their terminals in the esophageal mucosa. SP acts on NK1 receptors expressed on esophageal mast cells, directly triggering degranulation independently of IgE. Mast cell degranulation in the esophageal submucosa releases histamine, tryptase, and prostaglandins that amplify eosinophil recruitment, increase vascular permeability, and further lower the threshold for TSLP and IL-33 alarmin release from the epithelium. The neurogenic arm of EoE is a parallel amplification pathway that operates in addition to the adaptive Th2 response — not as a consequence of it (Tier B; individual mechanistic steps supported; complete cascade in human EoE not yet quantified) [Rothenberg12].</w:t>
      </w:r>
    </w:p>
    <w:p>
      <w:pPr>
        <w:spacing w:after="160"/>
      </w:pPr>
      <w:r>
        <w:rPr>
          <w:rFonts w:ascii="Arial" w:cs="Arial" w:eastAsia="Arial" w:hAnsi="Arial"/>
          <w:sz w:val="24"/>
          <w:szCs w:val="24"/>
        </w:rPr>
        <w:t xml:space="preserve">The clinical significance of this layer is in the dysmotility symptoms. SP-sensitised esophageal afferents lower the threshold for pain and dysphagia perception — explaining why EoE patients with apparently similar eosinophil counts can have markedly different symptom severity. It also explains why some patients report symptoms after barrier compromise (detectable by mucosal impedance) but before tissue eosinophilia crosses the diagnostic threshold. The sensory pathway is activated by barrier disruption and neurogenic inflammation, not only by eosinophil degranulation products.</w:t>
      </w:r>
    </w:p>
    <w:p>
      <w:pPr>
        <w:spacing w:after="160"/>
      </w:pPr>
      <w:r>
        <w:rPr>
          <w:rFonts w:ascii="Arial" w:cs="Arial" w:eastAsia="Arial" w:hAnsi="Arial"/>
          <w:sz w:val="24"/>
          <w:szCs w:val="24"/>
        </w:rPr>
        <w:t xml:space="preserve">Barzolvolimab, an anti-KIT monoclonal antibody, was evaluated in the Phase 2 EvolvE trial in EoE (NCT05774184; topline results August 2025). The trial met its primary endpoint with 72% depletion of peak esophageal mast cells. However, profound mast cell depletion did not translate to clinical improvement — DSQ symptom scores (p=0.33), EREFS endoscopic scores (p=0.95), and esophageal eosinophil counts were not significantly different from placebo. Celldex has discontinued development in EoE. This result extends the pattern seen with IL-5 blockade: depleting a downstream cellular element without interrupting the IL-13 loop driver does not produce clinical benefit, consistent with the proposed framework [Barzolvolimab25].</w:t>
      </w:r>
    </w:p>
    <w:p>
      <w:pPr>
        <w:pStyle w:val="Heading1"/>
        <w:spacing w:before="360" w:after="180"/>
      </w:pPr>
      <w:r>
        <w:rPr>
          <w:rFonts w:ascii="Arial" w:cs="Arial" w:eastAsia="Arial" w:hAnsi="Arial"/>
          <w:b/>
          <w:bCs/>
          <w:sz w:val="32"/>
          <w:szCs w:val="32"/>
        </w:rPr>
        <w:t xml:space="preserve">§4 — Disease Progression: From Inflammation to Fibrosis</w:t>
      </w:r>
    </w:p>
    <w:p>
      <w:pPr>
        <w:pStyle w:val="Heading2"/>
        <w:spacing w:before="280" w:after="140"/>
      </w:pPr>
      <w:r>
        <w:rPr>
          <w:rFonts w:ascii="Arial" w:cs="Arial" w:eastAsia="Arial" w:hAnsi="Arial"/>
          <w:b/>
          <w:bCs/>
          <w:sz w:val="28"/>
          <w:szCs w:val="28"/>
        </w:rPr>
        <w:t xml:space="preserve">§4.1 The Inflammatory Phase</w:t>
      </w:r>
    </w:p>
    <w:p>
      <w:pPr>
        <w:spacing w:after="160"/>
      </w:pPr>
      <w:r>
        <w:rPr>
          <w:rFonts w:ascii="Arial" w:cs="Arial" w:eastAsia="Arial" w:hAnsi="Arial"/>
          <w:sz w:val="24"/>
          <w:szCs w:val="24"/>
        </w:rPr>
        <w:t xml:space="preserve">Early-stage EoE is characterised predominantly by mucosal inflammation: eosinophilic infiltration, mast cell accumulation, basal cell hyperplasia (a proliferative response to epithelial injury), dilated intercellular spaces (the structural correlate of tight junction disruption measurable by mucosal impedance), and spongiosis. In this phase, the esophageal wall is hyperaemic and edematous. Endoscopic features include linear furrows (longitudinal grooves in the mucosa from eosinophilic infiltration), exudates (microabscesses of degranulated eosinophils), and edema. Symptoms are dominated by dysphagia and food impaction, with variable chest pain and heartburn [Liacouras11].</w:t>
      </w:r>
    </w:p>
    <w:p>
      <w:pPr>
        <w:spacing w:after="160"/>
      </w:pPr>
      <w:r>
        <w:rPr>
          <w:rFonts w:ascii="Arial" w:cs="Arial" w:eastAsia="Arial" w:hAnsi="Arial"/>
          <w:sz w:val="24"/>
          <w:szCs w:val="24"/>
        </w:rPr>
        <w:t xml:space="preserve">The inflammatory phase is potentially reversible. In patients who respond to dietary elimination, topical steroids, or dupilumab, barrier repair occurs, eosinophil counts normalise, dilated intercellular spaces close, and basal cell hyperplasia resolves. The esophageal transcriptome in histologic responders returns toward a normal gene expression profile — including restoration of filaggrin and tight junction protein expression [Kliewer23, Rothenberg24]. This transcriptomic normalisation is consistent with the model that IL-13-driven barrier suppression is reversible when the primary inflammatory signal is reduced.</w:t>
      </w:r>
    </w:p>
    <w:p>
      <w:pPr>
        <w:pStyle w:val="Heading2"/>
        <w:spacing w:before="280" w:after="140"/>
      </w:pPr>
      <w:r>
        <w:rPr>
          <w:rFonts w:ascii="Arial" w:cs="Arial" w:eastAsia="Arial" w:hAnsi="Arial"/>
          <w:b/>
          <w:bCs/>
          <w:sz w:val="28"/>
          <w:szCs w:val="28"/>
        </w:rPr>
        <w:t xml:space="preserve">§4.2 The Fibrostenotic Phase</w:t>
      </w:r>
    </w:p>
    <w:p>
      <w:pPr>
        <w:spacing w:after="160"/>
      </w:pPr>
      <w:r>
        <w:rPr>
          <w:rFonts w:ascii="Arial" w:cs="Arial" w:eastAsia="Arial" w:hAnsi="Arial"/>
          <w:sz w:val="24"/>
          <w:szCs w:val="24"/>
        </w:rPr>
        <w:t xml:space="preserve">Untreated or inadequately treated EoE progresses from inflammatory to fibrostenotic disease. IL-13 drives subepithelial fibrosis via two parallel pathways: direct activation of TGF-β production from eosinophils and mast cells, and via IL-13Rα2 signalling on subepithelial fibroblasts — driving collagen deposition and submucosal remodelling [Blanchard06]. Endoscopic features of fibrostenotic disease include rings (trachealization), strictures, and reduced esophageal compliance on functional lumen imaging probe (FLIP) assessment. These features are not acutely reversible with anti-inflammatory therapy and may require endoscopic dilation.</w:t>
      </w:r>
    </w:p>
    <w:p>
      <w:pPr>
        <w:spacing w:after="160"/>
      </w:pPr>
      <w:r>
        <w:rPr>
          <w:rFonts w:ascii="Arial" w:cs="Arial" w:eastAsia="Arial" w:hAnsi="Arial"/>
          <w:sz w:val="24"/>
          <w:szCs w:val="24"/>
        </w:rPr>
        <w:t xml:space="preserve">The clinical implication of this progression is time-sensitivity. Diagnostic delay increases stricture risk in a time-dependent manner. Diagnostic delay has been associated with higher rates of fibrostenotic disease in longitudinal cohort studies, with longer delay correlating with greater stricture risk independent of disease severity. Tissue remodelling accumulates over time; the inflammatory phase can be treated, the fibrotic phase requires mechanical management. Reducing diagnostic delay is therefore the highest-leverage intervention in EoE natural history management.</w:t>
      </w:r>
    </w:p>
    <w:p>
      <w:pPr>
        <w:spacing w:after="160"/>
      </w:pPr>
      <w:r>
        <w:rPr>
          <w:rFonts w:ascii="Arial" w:cs="Arial" w:eastAsia="Arial" w:hAnsi="Arial"/>
          <w:sz w:val="24"/>
          <w:szCs w:val="24"/>
        </w:rPr>
        <w:t xml:space="preserve">Real-world dupilumab data in severe and fibrostenotic patients (Lee &amp; Dellon 2024, Clin Gastroenterol Hepatol) demonstrated symptomatic, endoscopic, and histologic improvement even in treatment-refractory fibrostenotic cases, suggesting some reversibility of the fibrostenotic changes with adequate IL-13 suppression [LeeDellon24]. The degree of reversibility and optimal timing of biologic initiation relative to fibrostenotic progression remains an open gap.</w:t>
      </w:r>
    </w:p>
    <w:p>
      <w:pPr>
        <w:pStyle w:val="Heading1"/>
        <w:spacing w:before="360" w:after="180"/>
      </w:pPr>
      <w:r>
        <w:rPr>
          <w:rFonts w:ascii="Arial" w:cs="Arial" w:eastAsia="Arial" w:hAnsi="Arial"/>
          <w:b/>
          <w:bCs/>
          <w:sz w:val="32"/>
          <w:szCs w:val="32"/>
        </w:rPr>
        <w:t xml:space="preserve">§5 — Diagnosis: Detecting the Right Thing at the Right Time</w:t>
      </w:r>
    </w:p>
    <w:p>
      <w:pPr>
        <w:pStyle w:val="Heading2"/>
        <w:spacing w:before="280" w:after="140"/>
      </w:pPr>
      <w:r>
        <w:rPr>
          <w:rFonts w:ascii="Arial" w:cs="Arial" w:eastAsia="Arial" w:hAnsi="Arial"/>
          <w:b/>
          <w:bCs/>
          <w:sz w:val="28"/>
          <w:szCs w:val="28"/>
        </w:rPr>
        <w:t xml:space="preserve">§5.1 Current Diagnostic Standard</w:t>
      </w:r>
    </w:p>
    <w:p>
      <w:pPr>
        <w:spacing w:after="160"/>
      </w:pPr>
      <w:r>
        <w:rPr>
          <w:rFonts w:ascii="Arial" w:cs="Arial" w:eastAsia="Arial" w:hAnsi="Arial"/>
          <w:sz w:val="24"/>
          <w:szCs w:val="24"/>
        </w:rPr>
        <w:t xml:space="preserve">The diagnostic standard for EoE requires: (1) symptoms of esophageal dysfunction (dysphagia, food impaction, chest pain, regurgitation); (2) esophageal eosinophilia ≥15 eos/hpf on biopsy from at least two esophageal levels; and (3) exclusion of other causes of esophageal eosinophilia (GERD, proton pump inhibitor-responsive esophageal eosinophilia, and other EGIDs) [Liacouras11]. Historically this required a trial of PPI therapy before EoE diagnosis could be confirmed; updated guidelines have removed this requirement, allowing direct diagnosis if other criteria are met, which has accelerated diagnostic pathways [Update23].</w:t>
      </w:r>
    </w:p>
    <w:p>
      <w:pPr>
        <w:spacing w:after="160"/>
      </w:pPr>
      <w:r>
        <w:rPr>
          <w:rFonts w:ascii="Arial" w:cs="Arial" w:eastAsia="Arial" w:hAnsi="Arial"/>
          <w:sz w:val="24"/>
          <w:szCs w:val="24"/>
        </w:rPr>
        <w:t xml:space="preserve">Biopsies should be taken from at least two levels (proximal and distal esophagus) because eosinophilic infiltration in EoE is typically patchy — sampling from a single location risks false negatives. The eosinophil count represents the peak count from any biopsy fragment, not the mean across fragments. The recommended minimum of 2–4 biopsies per level maximises sensitivity [Furuta07].</w:t>
      </w:r>
    </w:p>
    <w:p>
      <w:pPr>
        <w:pStyle w:val="Heading2"/>
        <w:spacing w:before="280" w:after="140"/>
      </w:pPr>
      <w:r>
        <w:rPr>
          <w:rFonts w:ascii="Arial" w:cs="Arial" w:eastAsia="Arial" w:hAnsi="Arial"/>
          <w:b/>
          <w:bCs/>
          <w:sz w:val="28"/>
          <w:szCs w:val="28"/>
        </w:rPr>
        <w:t xml:space="preserve">§5.2 Upstream Detection: What We’re Missing</w:t>
      </w:r>
    </w:p>
    <w:p>
      <w:pPr>
        <w:spacing w:after="160"/>
      </w:pPr>
      <w:r>
        <w:rPr>
          <w:rFonts w:ascii="Arial" w:cs="Arial" w:eastAsia="Arial" w:hAnsi="Arial"/>
          <w:sz w:val="24"/>
          <w:szCs w:val="24"/>
        </w:rPr>
        <w:t xml:space="preserve">The 15 eos/hpf threshold detects eosinophil accumulation — the end-state of the inflammatory cascade. Two upstream markers can detect disease activity before this threshold is crossed and enable more frequent monitoring without repeated endoscopy.</w:t>
      </w:r>
    </w:p>
    <w:p>
      <w:pPr>
        <w:spacing w:after="160"/>
      </w:pPr>
      <w:r>
        <w:rPr>
          <w:rFonts w:ascii="Arial" w:cs="Arial" w:eastAsia="Arial" w:hAnsi="Arial"/>
          <w:sz w:val="24"/>
          <w:szCs w:val="24"/>
        </w:rPr>
        <w:t xml:space="preserve">Serum eotaxin-3 (CCL26) is produced by IL-13-stimulated esophageal epithelial cells and correlates with tissue eosinophil density in published studies [Furuta07]. During a food reintroduction challenge, eotaxin-3 begins rising 7–14 days after the triggering antigen is reintroduced — before symptoms return and before eosinophil counts cross threshold. The clinical application is elimination diet monitoring: rather than waiting 6 weeks per food reintroduction and confirming with biopsy, a blood draw at day 7 and day 14 could identify a triggering food while it is still contributing to IL-13 production, before the inflammatory cascade has fully developed. What is currently missing is a validated clinical cutoff and a prospective trial comparing biomarker-guided versus endoscopy-guided reintroduction.</w:t>
      </w:r>
    </w:p>
    <w:p>
      <w:pPr>
        <w:spacing w:after="160"/>
      </w:pPr>
      <w:r>
        <w:rPr>
          <w:rFonts w:ascii="Arial" w:cs="Arial" w:eastAsia="Arial" w:hAnsi="Arial"/>
          <w:sz w:val="24"/>
          <w:szCs w:val="24"/>
        </w:rPr>
        <w:t xml:space="preserve">Mucosal impedance (MI) testing measures the electrical resistance of the esophageal epithelium. Low impedance reflects dilated intercellular spaces — the structural signature of tight junction disruption that precedes visible eosinophilic inflammation. MI detects barrier dysfunction upstream of eosinophil accumulation and can be performed during the same endoscopy as biopsy using a catheter-based probe. It is currently available at academic gastroenterology centres but not in routine clinical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measures</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Clinical use</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Limitation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Endoscopy + biopsy (eosinophil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eosinophil accumulation output — tissue eosinophilia ≥15 eos/hpf</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Diagnosis; treatment response confirmation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Invasive; too slow for frequent monitoring; doesn’t identify trigger foods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Serum eotaxin-3 (CCL26)</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IL-13 activity — upstream of eosinophil accumulation</w:t>
            </w:r>
          </w:p>
        </w:tc>
        <w:tc>
          <w:tcPr>
            <w:tcW w:type="dxa" w:w="2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Emerging: disease activity monitoring; reintroduction challenge biomarker</w:t>
            </w:r>
          </w:p>
        </w:tc>
        <w:tc>
          <w:tcPr>
            <w:tcW w:type="dxa" w:w="2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No validated clinical cutoff; assay not standardised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Mucosal impedance (MI)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barrier state — tight junction integrity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Emerging: detecting barrier dysfunction before eosinophil threshold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Requires specialised equipment; not in routine clinical use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EREFS (endoscopic score)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Endoscopic disease severity — furrows, exudates, rings, stricture</w:t>
            </w:r>
          </w:p>
        </w:tc>
        <w:tc>
          <w:tcPr>
            <w:tcW w:type="dxa" w:w="2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Standard: documenting endoscopic features; treatment response</w:t>
            </w:r>
          </w:p>
        </w:tc>
        <w:tc>
          <w:tcPr>
            <w:tcW w:type="dxa" w:w="2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Requires endoscopy; does not detect inflammation before endoscopic features appear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Food challenge (DBPCFC)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Causative food identification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Gold standard for trigger identification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Resource-intensive; requires medical supervision</w:t>
            </w:r>
          </w:p>
        </w:tc>
      </w:tr>
    </w:tbl>
    <w:p>
      <w:pPr>
        <w:spacing w:after="160"/>
      </w:pPr>
      <w:r>
        <w:rPr>
          <w:rFonts w:ascii="Arial" w:cs="Arial" w:eastAsia="Arial" w:hAnsi="Arial"/>
          <w:sz w:val="24"/>
          <w:szCs w:val="24"/>
        </w:rPr>
        <w:t xml:space="preserve">Table 1. Diagnostic and monitoring tools in EoE. Eotaxin-3 and mucosal impedance are the upstream tools that can detect disease activity before the current diagnostic threshold is crossed. Neither is yet in routine clinical use.</w:t>
      </w:r>
    </w:p>
    <w:p>
      <w:pPr>
        <w:pStyle w:val="Heading1"/>
        <w:spacing w:before="360" w:after="180"/>
      </w:pPr>
      <w:r>
        <w:rPr>
          <w:rFonts w:ascii="Arial" w:cs="Arial" w:eastAsia="Arial" w:hAnsi="Arial"/>
          <w:b/>
          <w:bCs/>
          <w:sz w:val="32"/>
          <w:szCs w:val="32"/>
        </w:rPr>
        <w:t xml:space="preserve">§6 — Treatment Architecture</w:t>
      </w:r>
    </w:p>
    <w:p>
      <w:pPr>
        <w:spacing w:after="160"/>
      </w:pPr>
      <w:r>
        <w:rPr>
          <w:rFonts w:ascii="Arial" w:cs="Arial" w:eastAsia="Arial" w:hAnsi="Arial"/>
          <w:sz w:val="24"/>
          <w:szCs w:val="24"/>
        </w:rPr>
        <w:t xml:space="preserve">Treatment for EoE targets one or more points in the self-sustaining loop: eliminating the antigenic driver (dietary elimination), suppressing the Th2 cascade (topical steroids, biologics), addressing the neurogenic amplification layer (mast cell-targeted therapies), or mechanically managing fibrotic complications (dilation). The first approved biologic that addresses the loop at its central driver — IL-13 — is dupilumab, and the clinical data across all domains of response is consistent with the mechanistic model.</w:t>
      </w:r>
    </w:p>
    <w:p>
      <w:pPr>
        <w:pStyle w:val="Heading2"/>
        <w:spacing w:before="280" w:after="140"/>
      </w:pPr>
      <w:r>
        <w:rPr>
          <w:rFonts w:ascii="Arial" w:cs="Arial" w:eastAsia="Arial" w:hAnsi="Arial"/>
          <w:b/>
          <w:bCs/>
          <w:sz w:val="28"/>
          <w:szCs w:val="28"/>
        </w:rPr>
        <w:t xml:space="preserve">§6.1 Step-Up Dietary Therapy</w:t>
      </w:r>
    </w:p>
    <w:p>
      <w:pPr>
        <w:spacing w:after="160"/>
      </w:pPr>
      <w:r>
        <w:rPr>
          <w:rFonts w:ascii="Arial" w:cs="Arial" w:eastAsia="Arial" w:hAnsi="Arial"/>
          <w:sz w:val="24"/>
          <w:szCs w:val="24"/>
        </w:rPr>
        <w:t xml:space="preserve">Dietary elimination removes the antigenic driver of the Th2 cascade. The mechanism is antigen withdrawal: removing the food antigens that are penetrating the compromised barrier and sustaining TSLP/IL-33 alarmin production eliminates the signal that perpetuates Th2 polarisation. This is not immune suppression — it is upstream source control. If the barrier is repaired and antigen exposure eliminated, the inflammatory cascade loses its sustaining input.</w:t>
      </w:r>
    </w:p>
    <w:p>
      <w:pPr>
        <w:spacing w:after="160"/>
      </w:pPr>
      <w:r>
        <w:rPr>
          <w:rFonts w:ascii="Arial" w:cs="Arial" w:eastAsia="Arial" w:hAnsi="Arial"/>
          <w:sz w:val="24"/>
          <w:szCs w:val="24"/>
        </w:rPr>
        <w:t xml:space="preserve">The 2023 Kliewer et al. Lancet Gastroenterol Hepatol trial (n=129 adults, 10 US sites) was the first multicentre randomised trial comparing dietary strategies. Milk-only elimination (1FED) was non-inferior to six-food elimination (6FED) for histologic remission at 6 weeks (34% vs 40%; p=0.58). Both groups showed similar improvements across histologic, endoscopic, and symptom metrics [Kliewer23]. The 2024 Rothenberg et al. JACI trial (n=63 pediatric patients) confirmed comparable findings: 1FED vs 4FED produced similar remission rates (44% vs 41%), but 4FED had a 32% withdrawal rate vs 11% for 1FED [Rothenberg24]. A 2023 meta-analysis (n=1762 patients) confirmed that less restrictive dietary regimens produce remission rates statistically comparable to 6FED [Groetch23].</w:t>
      </w:r>
    </w:p>
    <w:p>
      <w:pPr>
        <w:spacing w:after="160"/>
      </w:pPr>
      <w:r>
        <w:rPr>
          <w:rFonts w:ascii="Arial" w:cs="Arial" w:eastAsia="Arial" w:hAnsi="Arial"/>
          <w:sz w:val="24"/>
          <w:szCs w:val="24"/>
        </w:rPr>
        <w:t xml:space="preserve">The mechanistic explanation is consistent with the framework: EoE in most patients is sustained by one or two dominant food antigens, not six. The most prevalent is cow’s milk protein — the dominant trigger antigen in esophageal EoE across published elimination diet trials. Removing milk eliminates the dominant antigenic driver and allows the IL-13/eotaxin-3 loop to decay. Six-food elimination removes more potential drivers but does not produce meaningfully better outcomes because the additional five foods are not the dominant drivers in most patients.</w:t>
      </w:r>
    </w:p>
    <w:p>
      <w:pPr>
        <w:spacing w:after="160"/>
      </w:pPr>
      <w:r>
        <w:rPr>
          <w:rFonts w:ascii="Arial" w:cs="Arial" w:eastAsia="Arial" w:hAnsi="Arial"/>
          <w:sz w:val="24"/>
          <w:szCs w:val="24"/>
        </w:rPr>
        <w:t xml:space="preserve">Clinical protocol: Step-up approach is supported by randomised trial evidence. Begin with milk elimination (1FED) for 6 weeks, confirm response with endoscopy/biopsy (consistent with the Kliewer 2023 trial protocol). If no response: advance to 4FED (milk, egg, wheat, soy) for 6 weeks, confirm. If no response: advance to 6FED or consider pharmacotherapy. This approach reduces the dietary burden and endoscopic requirements compared to the traditional top-down 6FED protocol [Kliewer23, Rothenberg24].</w:t>
      </w:r>
    </w:p>
    <w:p>
      <w:pPr>
        <w:pStyle w:val="Heading2"/>
        <w:spacing w:before="280" w:after="140"/>
      </w:pPr>
      <w:r>
        <w:rPr>
          <w:rFonts w:ascii="Arial" w:cs="Arial" w:eastAsia="Arial" w:hAnsi="Arial"/>
          <w:b/>
          <w:bCs/>
          <w:sz w:val="28"/>
          <w:szCs w:val="28"/>
        </w:rPr>
        <w:t xml:space="preserve">§6.2 Topical Corticosteroids</w:t>
      </w:r>
    </w:p>
    <w:p>
      <w:pPr>
        <w:spacing w:after="160"/>
      </w:pPr>
      <w:r>
        <w:rPr>
          <w:rFonts w:ascii="Arial" w:cs="Arial" w:eastAsia="Arial" w:hAnsi="Arial"/>
          <w:sz w:val="24"/>
          <w:szCs w:val="24"/>
        </w:rPr>
        <w:t xml:space="preserve">Swallowed topical corticosteroids (budesonide oral suspension, fluticasone propionate oral inhaler used off-label) suppress the Th2 cascade locally by reducing IL-5, IL-13, and eotaxin-3 expression in esophageal tissue. They produce histologic remission in approximately 50–70% of patients and symptomatic improvement in a similar proportion. Budesonide oral suspension (EOHILIA) received FDA approval in 2024 as the second specifically approved EoE treatment (after dupilumab), based on the Phase 3 trial demonstrating histologic and symptomatic response [BOS24].</w:t>
      </w:r>
    </w:p>
    <w:p>
      <w:pPr>
        <w:spacing w:after="160"/>
      </w:pPr>
      <w:r>
        <w:rPr>
          <w:rFonts w:ascii="Arial" w:cs="Arial" w:eastAsia="Arial" w:hAnsi="Arial"/>
          <w:sz w:val="24"/>
          <w:szCs w:val="24"/>
        </w:rPr>
        <w:t xml:space="preserve">The key limitation is that topical steroids suppress the IL-13 loop while active but do not durably modify disease — relapse after discontinuation is common, and long-term therapy at higher doses carries a potential adrenal suppression risk (lower with formulations designed for minimal systemic absorption such as budesonide oral suspension). They address eosinophil accumulation (reduce eosinophilia) and partially suppress cytokine cascade propagation but do not restore filaggrin or claudin expression to the degree that barrier integrity is structurally recovered. This is consistent with the model: dampening IL-13 output reduces the active suppression of barrier proteins, but does not reverse the underlying constitutional barrier vulnerability.</w:t>
      </w:r>
    </w:p>
    <w:p>
      <w:pPr>
        <w:spacing w:after="160"/>
      </w:pPr>
      <w:r>
        <w:rPr>
          <w:rFonts w:ascii="Arial" w:cs="Arial" w:eastAsia="Arial" w:hAnsi="Arial"/>
          <w:sz w:val="24"/>
          <w:szCs w:val="24"/>
        </w:rPr>
        <w:t xml:space="preserve">The proton pump inhibitor (PPI) remains first-line therapy in current guidelines, with approximately 30–40% of patients achieving histologic remission on PPI — a proportion too high to be explained purely by GERD overlap and now attributed to PPI-specific effects on esophageal epithelial barrier integrity (reducing acid and pepsin damage that contributes to barrier disruption) and, in a subset, STAT6-pathway inhibition of eotaxin-3 secretion [Liacouras11, Update23]. PPI-responsive esophageal eosinophilia (PPI-REE) may represent a distinct phenotype in which acid/pepsin-driven barrier disruption is the primary barrier failure mode.</w:t>
      </w:r>
    </w:p>
    <w:p>
      <w:pPr>
        <w:pStyle w:val="Heading2"/>
        <w:spacing w:before="280" w:after="140"/>
      </w:pPr>
      <w:r>
        <w:rPr>
          <w:rFonts w:ascii="Arial" w:cs="Arial" w:eastAsia="Arial" w:hAnsi="Arial"/>
          <w:b/>
          <w:bCs/>
          <w:sz w:val="28"/>
          <w:szCs w:val="28"/>
        </w:rPr>
        <w:t xml:space="preserve">§6.3 Biologics: Why IL-13 Targeting Works and IL-5 Targeting Doesn’t</w:t>
      </w:r>
    </w:p>
    <w:p>
      <w:pPr>
        <w:spacing w:after="160"/>
      </w:pPr>
      <w:r>
        <w:rPr>
          <w:rFonts w:ascii="Arial" w:cs="Arial" w:eastAsia="Arial" w:hAnsi="Arial"/>
          <w:sz w:val="24"/>
          <w:szCs w:val="24"/>
        </w:rPr>
        <w:t xml:space="preserve">The biologic data is consistent with the framework. Three biologics targeting IL-5 (mepolizumab, reslizumab) and one targeting IL-5Rα (benralizumab, which depletes eosinophils via ADCC) have been evaluated in EoE trials. All reliably reduce esophageal eosinophil counts. None has demonstrated convincing symptomatic or endoscopic response in Phase 2 or Phase 3 trials [Rothenberg24_NEJM, Dellon23_Gut]. Mepolizumab, the most extensively studied, produces histologic response in ~50–60% of patients but fails to demonstrate statistically significant symptomatic benefit.</w:t>
      </w:r>
    </w:p>
    <w:p>
      <w:pPr>
        <w:spacing w:after="160"/>
      </w:pPr>
      <w:r>
        <w:rPr>
          <w:rFonts w:ascii="Arial" w:cs="Arial" w:eastAsia="Arial" w:hAnsi="Arial"/>
          <w:sz w:val="24"/>
          <w:szCs w:val="24"/>
        </w:rPr>
        <w:t xml:space="preserve">Dupilumab (IL-4Rα blockade — simultaneously blocking both IL-4 and IL-13 signalling by targeting the shared receptor subunit) is the first biologic to demonstrate consistent response across histologic, endoscopic, and symptomatic endpoints. The LIBERTY EoE TREET Phase 3 trial demonstrated 60% histologic remission (vs 5% placebo) and 21–22 point DSQ score improvement (vs 10 points placebo) at 24 weeks [Dellon22_NEJM]. FDA approved May 2022 for adults and adolescents; expanded to children aged 1 year and older in 2024 [FDA2024].</w:t>
      </w:r>
    </w:p>
    <w:p>
      <w:pPr>
        <w:spacing w:after="160"/>
      </w:pPr>
      <w:r>
        <w:rPr>
          <w:rFonts w:ascii="Arial" w:cs="Arial" w:eastAsia="Arial" w:hAnsi="Arial"/>
          <w:sz w:val="24"/>
          <w:szCs w:val="24"/>
        </w:rPr>
        <w:t xml:space="preserve">Cendakimab, a direct IL-13 receptor antagonist (not targeting the shared IL-4Rα subunit), has completed Phase 3 (n=430, ages 12–75). The trial demonstrated 29.5% histologic response (≤6 eos/hpf) vs 2.1% placebo (p&lt;0.0001) and significant reduction in dysphagia days at week 24, with effects maintained at 48 weeks. Not yet FDA approved as of this writing [Dellon25_NEJMEvid].</w:t>
      </w:r>
    </w:p>
    <w:p>
      <w:pPr>
        <w:spacing w:after="160"/>
      </w:pPr>
      <w:r>
        <w:rPr>
          <w:rFonts w:ascii="Arial" w:cs="Arial" w:eastAsia="Arial" w:hAnsi="Arial"/>
          <w:sz w:val="24"/>
          <w:szCs w:val="24"/>
        </w:rPr>
        <w:t xml:space="preserve">The mechanistic logic is direct. IL-5 blockade reduces eosinophil survival and trafficking, but does not directly interrupt IL-13 production, reduce epithelial eotaxin-3 output, or reverse IL-13-associated suppression of barrier proteins. In the proposed model, this helps explain why eosinophil depletion alone can improve histology without producing comparable symptomatic or endoscopic benefit. The barzolvolimab Phase 2 result — mast cell depletion without clinical improvement — is consistent with the same pattern.
By contrast, IL-13-pathway blockade (dupilumab via IL-4Rα; cendakimab via IL-13R) is more consistent with interruption of the loop-maintaining signal: eotaxin-3 production falls, eosinophil recruitment declines, and barrier repair may become more achievable. Taken together, the comparative biologic data support — but do not by themselves prove — the interpretation that IL-13 is a central maintenance signal in EoE pathobiology.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1560"/>
        <w:gridCol w:w="1560"/>
        <w:gridCol w:w="24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Agent / class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Histologic response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Symptomatic response</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Mechanistic explanation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Mepolizumab / reslizumab (IL-5); benralizumab (IL-5Rα)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IL-5 / IL-5Rα</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Reduces eosinophilia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Not demonstrated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Reduces eosinophil survival but does not interrupt IL-13 loop or restore barrier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Dupilumab (LIBERTY EoE TREET)</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IL-4Rα (blocks IL-4 + IL-13)</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60% remission (vs 5% placebo)</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21–22pt DSQ improvement</w:t>
            </w:r>
          </w:p>
        </w:tc>
        <w:tc>
          <w:tcPr>
            <w:tcW w:type="dxa" w:w="2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Interrupts IL-13 loop → eotaxin-3↓; filaggrin suppression proposed to be relieved; barrier repair enabled in proposed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Cendakimab (Phase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IL-13R (direct IL-13 blockade)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29.5% response
(vs 2.1% placebo)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Significant dysphagia reduction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Direct IL-13R blockade; proposed to produce similar loop interruption to dupilumab via independent IL-13 pathway targeting</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Tezepelumab (CROSSING Phase 3, ongoing) [Tezepelumab_CROSSING]</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TSLP</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Phase 3 recruiting</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Phase 3 recruiting</w:t>
            </w:r>
          </w:p>
        </w:tc>
        <w:tc>
          <w:tcPr>
            <w:tcW w:type="dxa" w:w="2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Targets upstream alarmin — if effective, confirms TSLP as initiating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Barzolvolimab (EvolvE Phase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KIT (mast cell depleting)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Mast cell depletion achieved; no eosinophil reduction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Not demonstrated
(DSQ p=0.33);
discontinued in EoE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Mast cell depletion without IL-13 loop interruption produced no clinical benefit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Budesonide oral suspension (FDA 2024)</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Local steroid</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50–70%</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Yes</w:t>
            </w:r>
          </w:p>
        </w:tc>
        <w:tc>
          <w:tcPr>
            <w:tcW w:type="dxa" w:w="2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Suppresses IL-13/eotaxin-3 production; barrier repair partial; disease relapse on discontinuation</w:t>
            </w:r>
          </w:p>
        </w:tc>
      </w:tr>
    </w:tbl>
    <w:p>
      <w:pPr>
        <w:spacing w:after="160"/>
      </w:pPr>
      <w:r>
        <w:rPr>
          <w:rFonts w:ascii="Arial" w:cs="Arial" w:eastAsia="Arial" w:hAnsi="Arial"/>
          <w:sz w:val="24"/>
          <w:szCs w:val="24"/>
        </w:rPr>
        <w:t xml:space="preserve">Table 2. Biologic and pharmacologic treatments in EoE. The comparative response pattern is consistent with the interpretation that IL-13-pathway signalling is a central maintenance node in EoE, whereas eosinophilia is a downstream readout rather than the sole mechanism of disease.</w:t>
      </w:r>
    </w:p>
    <w:p>
      <w:pPr>
        <w:pStyle w:val="Heading2"/>
        <w:spacing w:before="280" w:after="140"/>
      </w:pPr>
      <w:r>
        <w:rPr>
          <w:rFonts w:ascii="Arial" w:cs="Arial" w:eastAsia="Arial" w:hAnsi="Arial"/>
          <w:b/>
          <w:bCs/>
          <w:sz w:val="28"/>
          <w:szCs w:val="28"/>
        </w:rPr>
        <w:t xml:space="preserve">§6.4 Endoscopic Dilation</w:t>
      </w:r>
    </w:p>
    <w:p>
      <w:pPr>
        <w:spacing w:after="160"/>
      </w:pPr>
      <w:r>
        <w:rPr>
          <w:rFonts w:ascii="Arial" w:cs="Arial" w:eastAsia="Arial" w:hAnsi="Arial"/>
          <w:sz w:val="24"/>
          <w:szCs w:val="24"/>
        </w:rPr>
        <w:t xml:space="preserve">Fibrostenotic EoE with established rings and strictures causing recurrent food impaction requires endoscopic dilation to restore lumenal patency. Dilation is a mechanical intervention — it does not address the inflammatory loop and does not prevent stricture recurrence in the absence of concurrent anti-inflammatory therapy. Current guidelines recommend dilation for symptomatic strictures in combination with pharmacotherapy or dietary management, not as a standalone treatment [Liacouras11]. In dupilumab-treated fibrostenotic patients, some stricture regression has been observed with sustained IL-13 suppression, suggesting that dilation requirements may decrease with effective biologic therapy [LeeDellon24].</w:t>
      </w:r>
    </w:p>
    <w:p>
      <w:pPr>
        <w:pStyle w:val="Heading1"/>
        <w:spacing w:before="360" w:after="180"/>
      </w:pPr>
      <w:r>
        <w:rPr>
          <w:rFonts w:ascii="Arial" w:cs="Arial" w:eastAsia="Arial" w:hAnsi="Arial"/>
          <w:b/>
          <w:bCs/>
          <w:sz w:val="32"/>
          <w:szCs w:val="32"/>
        </w:rPr>
        <w:t xml:space="preserve">§7 — Cross-System Connections</w:t>
      </w:r>
    </w:p>
    <w:p>
      <w:pPr>
        <w:pStyle w:val="Heading2"/>
        <w:spacing w:before="280" w:after="140"/>
      </w:pPr>
      <w:r>
        <w:rPr>
          <w:rFonts w:ascii="Arial" w:cs="Arial" w:eastAsia="Arial" w:hAnsi="Arial"/>
          <w:b/>
          <w:bCs/>
          <w:sz w:val="28"/>
          <w:szCs w:val="28"/>
        </w:rPr>
        <w:t xml:space="preserve">§7.1 EoE and GERD/LPR</w:t>
      </w:r>
    </w:p>
    <w:p>
      <w:pPr>
        <w:spacing w:after="160"/>
      </w:pPr>
      <w:r>
        <w:rPr>
          <w:rFonts w:ascii="Arial" w:cs="Arial" w:eastAsia="Arial" w:hAnsi="Arial"/>
          <w:sz w:val="24"/>
          <w:szCs w:val="24"/>
        </w:rPr>
        <w:t xml:space="preserve">The relationship between EoE and acid reflux disease is bidirectional. Acid and pepsin exposure impairs esophageal epithelial barrier integrity, promoting food antigen penetration and Th2 polarisation — potentially triggering or exacerbating EoE in genetically susceptible individuals. Conversely, active EoE produces esophageal dysmotility (reduced peristaltic amplitude from subepithelial fibrosis and eosinophilic infiltration of the muscularis) that impairs esophageal clearance, worsening acid and pepsin contact time. PPI-responsive EoE (30–40% of EoE patients) is proposed to result from barrier repair via acid suppression and, in some patients, via STAT6-pathway inhibition of eotaxin-3 secretion from esophageal epithelium. The mechanism of PPI response in EoE remains debated; direct STAT6/eotaxin-3 effects and indirect barrier repair from acid suppression likely both contribute in different proportions by phenotype.</w:t>
      </w:r>
    </w:p>
    <w:p>
      <w:pPr>
        <w:spacing w:after="160"/>
      </w:pPr>
      <w:r>
        <w:rPr>
          <w:rFonts w:ascii="Arial" w:cs="Arial" w:eastAsia="Arial" w:hAnsi="Arial"/>
          <w:sz w:val="24"/>
          <w:szCs w:val="24"/>
        </w:rPr>
        <w:t xml:space="preserve">The clinical implication: patients with EoE should be screened for concurrent LPR (pepsin-mediated supraesophageal reflux), and patients with treatment-refractory LPR should be considered for EoE evaluation. The LPR → barrier damage → EoE pathway is Tier B — each mechanistic step is supported; the complete causal chain in a prospective EoE inception cohort has not been demonstrated.</w:t>
      </w:r>
    </w:p>
    <w:p>
      <w:pPr>
        <w:pStyle w:val="Heading2"/>
        <w:spacing w:before="280" w:after="140"/>
      </w:pPr>
      <w:r>
        <w:rPr>
          <w:rFonts w:ascii="Arial" w:cs="Arial" w:eastAsia="Arial" w:hAnsi="Arial"/>
          <w:b/>
          <w:bCs/>
          <w:sz w:val="28"/>
          <w:szCs w:val="28"/>
        </w:rPr>
        <w:t xml:space="preserve">§7.2 EoE and the Atopic March</w:t>
      </w:r>
    </w:p>
    <w:p>
      <w:pPr>
        <w:spacing w:after="160"/>
      </w:pPr>
      <w:r>
        <w:rPr>
          <w:rFonts w:ascii="Arial" w:cs="Arial" w:eastAsia="Arial" w:hAnsi="Arial"/>
          <w:sz w:val="24"/>
          <w:szCs w:val="24"/>
        </w:rPr>
        <w:t xml:space="preserve">EoE is part of the atopic disease spectrum. Approximately 50–70% of EoE patients have at least one co-existing atopic condition (atopic dermatitis, allergic rhinitis, asthma, food allergy). The same constitutional barrier vulnerability that predisposes to EoE (CAPN14 variants and TSLP locus polymorphisms (EoE-specific risk), alongside shared atopic barrier genetics including filaggrin variants, underlie susceptibility across atopic conditions. TSLP and IL-33 released from a compromised esophageal epithelium drive the same Th2 polarisation cascade that operates in skin and airways.</w:t>
      </w:r>
    </w:p>
    <w:p>
      <w:pPr>
        <w:spacing w:after="160"/>
      </w:pPr>
      <w:r>
        <w:rPr>
          <w:rFonts w:ascii="Arial" w:cs="Arial" w:eastAsia="Arial" w:hAnsi="Arial"/>
          <w:sz w:val="24"/>
          <w:szCs w:val="24"/>
        </w:rPr>
        <w:t xml:space="preserve">Dupilumab’s utility as an ‘umbrella’ therapy across multiple co-existing atopic conditions has been proposed: patients with EoE plus atopic dermatitis and/or asthma may benefit from a single biologic addressing the shared Th2 driver across tissues. Real-world data supporting this multi-condition management approach are emerging [Umbrella24].</w:t>
      </w:r>
    </w:p>
    <w:p>
      <w:pPr>
        <w:pStyle w:val="Heading1"/>
        <w:spacing w:before="360" w:after="180"/>
      </w:pPr>
      <w:r>
        <w:rPr>
          <w:rFonts w:ascii="Arial" w:cs="Arial" w:eastAsia="Arial" w:hAnsi="Arial"/>
          <w:b/>
          <w:bCs/>
          <w:sz w:val="32"/>
          <w:szCs w:val="32"/>
        </w:rPr>
        <w:t xml:space="preserve">§8 — Testable Predictions</w:t>
      </w:r>
    </w:p>
    <w:p>
      <w:pPr>
        <w:spacing w:after="160"/>
      </w:pPr>
      <w:r>
        <w:rPr>
          <w:rFonts w:ascii="Arial" w:cs="Arial" w:eastAsia="Arial" w:hAnsi="Arial"/>
          <w:sz w:val="24"/>
          <w:szCs w:val="24"/>
        </w:rPr>
        <w:t xml:space="preserve">The following predictions are derived directly from the self-sustaining barrier failure framework. Each specifies the expected direction of effect, the patient population in which it is most testable, and what would falsify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80"/>
        <w:gridCol w:w="348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Prediction</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Design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Expected result / falsification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Serum eotaxin-3 at day 7–14 of food reintroduction predicts trigger response before eosinophil threshold is crossed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Prospective: food reintroduction + serial eotaxin-3 at day 7, 14 + biopsy at week 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Eotaxin-3 rise &gt;X ng/mL at day 7–14 predicts histologic relapse at week 6. Falsified if no correlation with subsequent biopsy outcome.</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P2</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IL-13 blockade restores filaggrin and claudin expression to a greater degree than IL-5 blockade</w:t>
            </w:r>
          </w:p>
        </w:tc>
        <w:tc>
          <w:tcPr>
            <w:tcW w:type="dxa" w:w="28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RCT: dupilumab vs mepolizumab — gene expression panel (EoE diagnostic panel) at baseline and 24 weeks</w:t>
            </w:r>
          </w:p>
        </w:tc>
        <w:tc>
          <w:tcPr>
            <w:tcW w:type="dxa" w:w="3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Dupilumab arm shows significantly greater normalisation of filaggrin/claudin transcripts. Falsified if both arms normalise barrier genes equivalently.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Mucosal impedance normalises before eosinophil count in dupilumab responders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Longitudinal: serial MI + biopsy at 4, 8, 16, 24 weeks in dupilumab-treated patients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MI increases (barrier repairs) before eosinophil counts fall below threshold. Falsified if eosinophilia resolves before MI normalises.</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P4</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Step-up 1FED → 4FED achieves equivalent final remission rates to immediate 6FED with fewer endoscopies and lower dropout</w:t>
            </w:r>
          </w:p>
        </w:tc>
        <w:tc>
          <w:tcPr>
            <w:tcW w:type="dxa" w:w="28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RCT: immediate 6FED vs step-up 1FED→4FED→6FED; primary endpoints: final remission rate and total endoscopic procedures</w:t>
            </w:r>
          </w:p>
        </w:tc>
        <w:tc>
          <w:tcPr>
            <w:tcW w:type="dxa" w:w="3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Step-up achieves same remission rate as immediate 6FED in fewer steps for most patients. Falsified if immediate 6FED produces significantly higher total remission.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TSLP blockade (tezepelumab) is non-inferior to IL-13 blockade if TSLP is the initiating alarmin signal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CROSSING Phase 3 trial (ongoing) — tezepelumab vs placebo; indirect comparison to dupilumab Phase 3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Tezepelumab achieves histologic and symptomatic response comparable to dupilumab. Falsified if response is substantially inferior — suggesting IL-13 is generated via TSLP-independent pathways.</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P6</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Concurrent barrier-repair therapy (barrier-strengthening agents: ceramides, profilaggrin peptides) enhances remission durability on dupilumab</w:t>
            </w:r>
          </w:p>
        </w:tc>
        <w:tc>
          <w:tcPr>
            <w:tcW w:type="dxa" w:w="28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RCT: dupilumab alone vs dupilumab + barrier-repair adjunct; primary endpoint: histologic remission maintained at 12 months after dupilumab discontinuation</w:t>
            </w:r>
          </w:p>
        </w:tc>
        <w:tc>
          <w:tcPr>
            <w:tcW w:type="dxa" w:w="3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Combination arm maintains remission longer after biologic discontinuation. Falsified if barrier-repair adjunct adds no durability benefit.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Fibrostenotic EoE patients show greater IL-13Rα2 expression in subepithelial fibroblasts than inflammatory-phase patients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Observational: subepithelial fibroblast gene expression at endoscopy in inflammatory vs fibrostenotic patients stratified by EREFS and FLIP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IL-13Rα2 and TGF-β pathway genes upregulated in proportion to fibrotic burden. Falsified if no correlation between IL-13Rα2 expression and EREFS/FLIP fibrostenotic scores.</w:t>
            </w:r>
          </w:p>
        </w:tc>
      </w:tr>
    </w:tbl>
    <w:p>
      <w:pPr>
        <w:spacing w:after="160"/>
      </w:pPr>
      <w:r>
        <w:rPr>
          <w:rFonts w:ascii="Arial" w:cs="Arial" w:eastAsia="Arial" w:hAnsi="Arial"/>
          <w:sz w:val="24"/>
          <w:szCs w:val="24"/>
        </w:rPr>
        <w:t xml:space="preserve">Table 3. Testable predictions derived from the self-sustaining barrier failure framework. P1 is immediately actionable with existing assay infrastructure during food reintroduction protocols. P5 will be partially answered by the CROSSING trial.</w:t>
      </w:r>
    </w:p>
    <w:p>
      <w:pPr>
        <w:pStyle w:val="Heading1"/>
        <w:spacing w:before="360" w:after="180"/>
      </w:pPr>
      <w:r>
        <w:rPr>
          <w:rFonts w:ascii="Arial" w:cs="Arial" w:eastAsia="Arial" w:hAnsi="Arial"/>
          <w:b/>
          <w:bCs/>
          <w:sz w:val="32"/>
          <w:szCs w:val="32"/>
        </w:rPr>
        <w:t xml:space="preserve">§9 — Open Gaps</w:t>
      </w:r>
    </w:p>
    <w:p>
      <w:pPr>
        <w:pStyle w:val="ListParagraph"/>
        <w:numPr>
          <w:ilvl w:val="0"/>
          <w:numId w:val="2"/>
        </w:numPr>
        <w:spacing w:after="100"/>
      </w:pPr>
      <w:r>
        <w:rPr>
          <w:rFonts w:ascii="Arial" w:cs="Arial" w:eastAsia="Arial" w:hAnsi="Arial"/>
          <w:sz w:val="24"/>
          <w:szCs w:val="24"/>
        </w:rPr>
        <w:t xml:space="preserve">Validated eotaxin-3 clinical cutoff: serum eotaxin-3 correlates with tissue eosinophilia but no clinically validated cutoff exists for diagnosis or treatment response monitoring. A prospective study correlating serial eotaxin-3 with simultaneous EREFS and biopsy across treatment conditions (dietary, steroid, biologic) would establish the first non-invasive disease activity biomarker for EoE. This is the highest near-term translational priority.</w:t>
      </w:r>
    </w:p>
    <w:p>
      <w:pPr>
        <w:pStyle w:val="ListParagraph"/>
        <w:numPr>
          <w:ilvl w:val="0"/>
          <w:numId w:val="2"/>
        </w:numPr>
        <w:spacing w:after="100"/>
      </w:pPr>
      <w:r>
        <w:rPr>
          <w:rFonts w:ascii="Arial" w:cs="Arial" w:eastAsia="Arial" w:hAnsi="Arial"/>
          <w:sz w:val="24"/>
          <w:szCs w:val="24"/>
        </w:rPr>
        <w:t xml:space="preserve">Mucosal impedance standardisation: MI detects barrier dysfunction before eosinophil threshold crossing but is not yet in routine clinical use due to equipment requirements and absence of standardised normal ranges. Establishing reference ranges and a clinical deployment protocol would enable barrier-state monitoring without repeated biopsy.</w:t>
      </w:r>
    </w:p>
    <w:p>
      <w:pPr>
        <w:pStyle w:val="ListParagraph"/>
        <w:numPr>
          <w:ilvl w:val="0"/>
          <w:numId w:val="2"/>
        </w:numPr>
        <w:spacing w:after="100"/>
      </w:pPr>
      <w:r>
        <w:rPr>
          <w:rFonts w:ascii="Arial" w:cs="Arial" w:eastAsia="Arial" w:hAnsi="Arial"/>
          <w:sz w:val="24"/>
          <w:szCs w:val="24"/>
        </w:rPr>
        <w:t xml:space="preserve">TSLP-independent IL-13 production pathways: tezepelumab targets TSLP, the upstream alarmin. If IL-13 is produced via ILC2s stimulated by IL-33 independently of TSLP, or via direct mast cell or Th2 activation not requiring TSLP, then TSLP blockade will be less effective than IL-13R blockade. The CROSSING trial will provide an indirect comparison. Understanding the relative contribution of TSLP vs IL-33 vs direct Th2 activation in individual patients may identify the subset for whom TSLP blockade is sufficient.</w:t>
      </w:r>
    </w:p>
    <w:p>
      <w:pPr>
        <w:pStyle w:val="ListParagraph"/>
        <w:numPr>
          <w:ilvl w:val="0"/>
          <w:numId w:val="2"/>
        </w:numPr>
        <w:spacing w:after="100"/>
      </w:pPr>
      <w:r>
        <w:rPr>
          <w:rFonts w:ascii="Arial" w:cs="Arial" w:eastAsia="Arial" w:hAnsi="Arial"/>
          <w:sz w:val="24"/>
          <w:szCs w:val="24"/>
        </w:rPr>
        <w:t xml:space="preserve">Barrier-repair as co-intervention: no trial has formally tested whether augmenting barrier repair (ceramide supplementation, profilaggrin peptides, barrier-strengthening topical agents) in parallel with immune suppression improves remission durability. The model predicts this combination would reduce relapse rates after biologic discontinuation; it has not been tested.</w:t>
      </w:r>
    </w:p>
    <w:p>
      <w:pPr>
        <w:pStyle w:val="ListParagraph"/>
        <w:numPr>
          <w:ilvl w:val="0"/>
          <w:numId w:val="2"/>
        </w:numPr>
        <w:spacing w:after="100"/>
      </w:pPr>
      <w:r>
        <w:rPr>
          <w:rFonts w:ascii="Arial" w:cs="Arial" w:eastAsia="Arial" w:hAnsi="Arial"/>
          <w:sz w:val="24"/>
          <w:szCs w:val="24"/>
        </w:rPr>
        <w:t xml:space="preserve">Optimal biologic timing relative to fibrostenotic progression: real-world dupilumab data suggests partial reversibility of fibrotic changes, but the relationship between disease duration, fibrotic burden, and biologic response is not quantified. A prospective study of biologic initiation timing (inflammatory phase vs established fibrostenosis) with serial FLIP and EREFS assessment would identify whether early initiation prevents fibrostenosis progression and reduces dilation requirements.</w:t>
      </w:r>
    </w:p>
    <w:p>
      <w:pPr>
        <w:pStyle w:val="ListParagraph"/>
        <w:numPr>
          <w:ilvl w:val="0"/>
          <w:numId w:val="2"/>
        </w:numPr>
        <w:spacing w:after="100"/>
      </w:pPr>
      <w:r>
        <w:rPr>
          <w:rFonts w:ascii="Arial" w:cs="Arial" w:eastAsia="Arial" w:hAnsi="Arial"/>
          <w:sz w:val="24"/>
          <w:szCs w:val="24"/>
        </w:rPr>
        <w:t xml:space="preserve">Genetic stratification for treatment selection: CAPN14 variants and filaggrin/tight junction gene polymorphisms predict constitutional barrier vulnerability. Whether these variants predict differential response to dietary therapy vs IL-13 blockade vs barrier-repair approaches has not been prospectively evaluated. Pharmacogenomic stratification could eventually enable precision selection of the treatment approach most likely to address the dominant failure mode in individual patients.</w:t>
      </w:r>
    </w:p>
    <w:p>
      <w:pPr>
        <w:pStyle w:val="ListParagraph"/>
        <w:numPr>
          <w:ilvl w:val="0"/>
          <w:numId w:val="2"/>
        </w:numPr>
        <w:spacing w:after="100"/>
      </w:pPr>
      <w:r>
        <w:rPr>
          <w:rFonts w:ascii="Arial" w:cs="Arial" w:eastAsia="Arial" w:hAnsi="Arial"/>
          <w:sz w:val="24"/>
          <w:szCs w:val="24"/>
        </w:rPr>
        <w:t xml:space="preserve">EoE microbiome: esophageal dysbiosis (altered Streptococcus/Prevotella balance, increased Haemophilus) is associated with EoE but causality and direction of effect are unclear. Whether dysbiosis contributes to initial barrier disruption or is a consequence of esophageal inflammation remains unresolved (Tier C).</w:t>
      </w:r>
    </w:p>
    <w:p>
      <w:pPr>
        <w:pStyle w:val="Heading1"/>
        <w:spacing w:before="360" w:after="180"/>
      </w:pPr>
      <w:r>
        <w:rPr>
          <w:rFonts w:ascii="Arial" w:cs="Arial" w:eastAsia="Arial" w:hAnsi="Arial"/>
          <w:b/>
          <w:bCs/>
          <w:sz w:val="32"/>
          <w:szCs w:val="32"/>
        </w:rPr>
        <w:t xml:space="preserve">§10.4 — Limitations</w:t>
      </w:r>
    </w:p>
    <w:p>
      <w:pPr>
        <w:spacing w:after="160"/>
      </w:pPr>
      <w:r>
        <w:rPr>
          <w:rFonts w:ascii="Arial" w:cs="Arial" w:eastAsia="Arial" w:hAnsi="Arial"/>
          <w:sz w:val="24"/>
          <w:szCs w:val="24"/>
        </w:rPr>
        <w:t xml:space="preserve">This paper is a mechanistic synthesis and narrative review, not a systematic review. The literature search was targeted toward barrier biology, Th2 immunology, and clinical trial evidence for EoE rather than exhaustive. Some relevant studies may have been missed, and the reference list (n=19) is selective rather than comprehensive. The conclusions should be read as a synthesis of the cited evidence, not as a meta-analytic consensus.</w:t>
      </w:r>
    </w:p>
    <w:p>
      <w:pPr>
        <w:spacing w:after="160"/>
      </w:pPr>
      <w:r>
        <w:rPr>
          <w:rFonts w:ascii="Arial" w:cs="Arial" w:eastAsia="Arial" w:hAnsi="Arial"/>
          <w:sz w:val="24"/>
          <w:szCs w:val="24"/>
        </w:rPr>
        <w:t xml:space="preserve">The self-sustaining barrier failure framing is proposed as a mechanistic model that better organises the existing data than an eosinophil-centric model. It is not a proven mechanism. The IL-13 → filaggrin/claudin suppression → barrier deterioration chain is individually well-supported; whether barrier repair driven by IL-13 suppression is the primary mechanism of dupilumab’s clinical benefit (vs other effects of IL-4/IL-13 dual blockade) has not been directly tested in a confirmatory trial designed around that hypothesis. P2 and P3 in the predictions table would directly test this.</w:t>
      </w:r>
    </w:p>
    <w:p>
      <w:pPr>
        <w:spacing w:after="160"/>
      </w:pPr>
      <w:r>
        <w:rPr>
          <w:rFonts w:ascii="Arial" w:cs="Arial" w:eastAsia="Arial" w:hAnsi="Arial"/>
          <w:sz w:val="24"/>
          <w:szCs w:val="24"/>
        </w:rPr>
        <w:t xml:space="preserve">The treatment architecture in §6 is derived from mechanistic reasoning plus clinical trial patterns, not from head-to-head comparative trials across all modalities. The step-up dietary protocol is supported by randomised trial evidence, but its optimal sequencing relative to pharmacotherapy, and the question of when combination therapy is preferable to serial escalation, remain open clinical questions.</w:t>
      </w:r>
    </w:p>
    <w:p>
      <w:pPr>
        <w:spacing w:after="160"/>
      </w:pPr>
      <w:r>
        <w:rPr>
          <w:rFonts w:ascii="Arial" w:cs="Arial" w:eastAsia="Arial" w:hAnsi="Arial"/>
          <w:sz w:val="24"/>
          <w:szCs w:val="24"/>
        </w:rPr>
        <w:t xml:space="preserve">The neurogenic amplification layer (§3) remains Tier B for most mechanistic claims and Tier C for the full proposed cascade from SP release to mast-cell activation to measurable clinical effect on EoE course. The barzolvolimab Phase 2 EvolvE topline results are informative in showing that mast-cell depletion alone did not improve key clinical outcomes, but they do not exclude a contributory neuroimmune role for mast cells within a broader, IL-13-maintained inflammatory network. The neurogenic component should therefore be read as a plausible amplification layer, not as a proven co-equal driver of disease.</w:t>
      </w:r>
    </w:p>
    <w:p>
      <w:pPr>
        <w:pStyle w:val="Heading1"/>
        <w:spacing w:before="360" w:after="180"/>
      </w:pPr>
      <w:r>
        <w:rPr>
          <w:rFonts w:ascii="Arial" w:cs="Arial" w:eastAsia="Arial" w:hAnsi="Arial"/>
          <w:b/>
          <w:bCs/>
          <w:sz w:val="32"/>
          <w:szCs w:val="32"/>
        </w:rPr>
        <w:t xml:space="preserve">§10.5 — Acknowledgments</w:t>
      </w:r>
    </w:p>
    <w:p>
      <w:pPr>
        <w:spacing w:after="160"/>
      </w:pPr>
      <w:r>
        <w:rPr>
          <w:rFonts w:ascii="Arial" w:cs="Arial" w:eastAsia="Arial" w:hAnsi="Arial"/>
          <w:sz w:val="24"/>
          <w:szCs w:val="24"/>
        </w:rPr>
        <w:t xml:space="preserve">The author thanks colleagues and readers who provided feedback on earlier drafts of this manuscript.</w:t>
      </w:r>
    </w:p>
    <w:p>
      <w:pPr>
        <w:spacing w:after="160"/>
      </w:pPr>
      <w:r>
        <w:rPr>
          <w:rFonts w:ascii="Arial" w:cs="Arial" w:eastAsia="Arial" w:hAnsi="Arial"/>
          <w:sz w:val="24"/>
          <w:szCs w:val="24"/>
        </w:rPr>
        <w:t xml:space="preserve">Disclosures</w:t>
      </w:r>
    </w:p>
    <w:p>
      <w:pPr>
        <w:spacing w:after="160"/>
      </w:pPr>
      <w:r>
        <w:rPr>
          <w:rFonts w:ascii="Arial" w:cs="Arial" w:eastAsia="Arial" w:hAnsi="Arial"/>
          <w:sz w:val="24"/>
          <w:szCs w:val="24"/>
        </w:rPr>
        <w:t xml:space="preserve">This manuscript is an independent, hypothesis-generating narrative review. AI-assisted writing tools were used for drafting support and literature organisation; all scientific claims, wording decisions, and citation checks were reviewed and verified against the cited sources by the author. Research files are publicly available at github.com/Sykopompos/Research-papers.</w:t>
      </w:r>
    </w:p>
    <w:p>
      <w:pPr>
        <w:pStyle w:val="Heading1"/>
        <w:spacing w:before="360" w:after="180"/>
      </w:pPr>
      <w:r>
        <w:rPr>
          <w:rFonts w:ascii="Arial" w:cs="Arial" w:eastAsia="Arial" w:hAnsi="Arial"/>
          <w:b/>
          <w:bCs/>
          <w:sz w:val="32"/>
          <w:szCs w:val="32"/>
        </w:rPr>
        <w:t xml:space="preserve">§11 — References</w:t>
      </w:r>
    </w:p>
    <w:p>
      <w:pPr>
        <w:spacing w:after="160"/>
      </w:pPr>
      <w:r>
        <w:rPr>
          <w:rFonts w:ascii="Arial" w:cs="Arial" w:eastAsia="Arial" w:hAnsi="Arial"/>
          <w:sz w:val="24"/>
          <w:szCs w:val="24"/>
        </w:rPr>
        <w:t xml:space="preserve">[Furuta07] G.T. Furuta et al. Eosinophilic esophagitis in children and adults: a systematic review and consensus recommendations for diagnosis and treatment. Gastroenterology 133 (2007) 1342–1363.</w:t>
      </w:r>
    </w:p>
    <w:p>
      <w:pPr>
        <w:spacing w:after="160"/>
      </w:pPr>
      <w:r>
        <w:rPr>
          <w:rFonts w:ascii="Arial" w:cs="Arial" w:eastAsia="Arial" w:hAnsi="Arial"/>
          <w:sz w:val="24"/>
          <w:szCs w:val="24"/>
        </w:rPr>
        <w:t xml:space="preserve">[Liacouras11] C.A. Liacouras et al. Eosinophilic esophagitis: updated consensus recommendations for children and adults. J Allergy Clin Immunol 128 (2011) 3–20.</w:t>
      </w:r>
    </w:p>
    <w:p>
      <w:pPr>
        <w:spacing w:after="160"/>
      </w:pPr>
      <w:r>
        <w:rPr>
          <w:rFonts w:ascii="Arial" w:cs="Arial" w:eastAsia="Arial" w:hAnsi="Arial"/>
          <w:sz w:val="24"/>
          <w:szCs w:val="24"/>
        </w:rPr>
        <w:t xml:space="preserve">[Blanchard06] M.G. Blanchard et al. Eotaxin-3 and a uniquely conserved gene-expression profile in eosinophilic esophagitis. J Clin Invest 116 (2006) 536–547.</w:t>
      </w:r>
    </w:p>
    <w:p>
      <w:pPr>
        <w:spacing w:after="160"/>
      </w:pPr>
      <w:r>
        <w:rPr>
          <w:rFonts w:ascii="Arial" w:cs="Arial" w:eastAsia="Arial" w:hAnsi="Arial"/>
          <w:sz w:val="24"/>
          <w:szCs w:val="24"/>
        </w:rPr>
        <w:t xml:space="preserve">[Rothenberg12] M.E. Rothenberg. Molecular, genetic, and cellular bases for treating eosinophilic esophagitis. Gastroenterology 143 (2012) 1582–1591.</w:t>
      </w:r>
    </w:p>
    <w:p>
      <w:pPr>
        <w:spacing w:after="160"/>
      </w:pPr>
      <w:r>
        <w:rPr>
          <w:rFonts w:ascii="Arial" w:cs="Arial" w:eastAsia="Arial" w:hAnsi="Arial"/>
          <w:sz w:val="24"/>
          <w:szCs w:val="24"/>
        </w:rPr>
        <w:t xml:space="preserve">[Kottyan17] L.C. Kottyan et al. Genetic variants at the 16p13 locus confer risk for eosinophilic esophagitis. Genes Immun 18 (2017) 281–289.</w:t>
      </w:r>
    </w:p>
    <w:p>
      <w:pPr>
        <w:spacing w:after="160"/>
      </w:pPr>
      <w:r>
        <w:rPr>
          <w:rFonts w:ascii="Arial" w:cs="Arial" w:eastAsia="Arial" w:hAnsi="Arial"/>
          <w:sz w:val="24"/>
          <w:szCs w:val="24"/>
        </w:rPr>
        <w:t xml:space="preserve">[Rothenberg24_NEJM] M.E. Rothenberg et al. Eosinophil depletion with benralizumab for eosinophilic esophagitis. N Engl J Med 391 (2024) 1596–1607.</w:t>
      </w:r>
    </w:p>
    <w:p>
      <w:pPr>
        <w:spacing w:after="160"/>
      </w:pPr>
      <w:r>
        <w:rPr>
          <w:rFonts w:ascii="Arial" w:cs="Arial" w:eastAsia="Arial" w:hAnsi="Arial"/>
          <w:sz w:val="24"/>
          <w:szCs w:val="24"/>
        </w:rPr>
        <w:t xml:space="preserve">[Dellon23_Gut] E.S. Dellon et al. Mepolizumab for treatment of adolescents and adults with eosinophilic oesophagitis: a multicentre, randomised, double-blind, placebo-controlled clinical trial. Gut 72 (2023) 1828–1837.</w:t>
      </w:r>
    </w:p>
    <w:p>
      <w:pPr>
        <w:spacing w:after="160"/>
      </w:pPr>
      <w:r>
        <w:rPr>
          <w:rFonts w:ascii="Arial" w:cs="Arial" w:eastAsia="Arial" w:hAnsi="Arial"/>
          <w:sz w:val="24"/>
          <w:szCs w:val="24"/>
        </w:rPr>
        <w:t xml:space="preserve">[Dellon22_NEJM] E.S. Dellon, M.E. Rothenberg, M.H. Collins et al. Dupilumab in adults and adolescents with eosinophilic esophagitis. N Engl J Med 387 (2022) 2317–2330.</w:t>
      </w:r>
    </w:p>
    <w:p>
      <w:pPr>
        <w:spacing w:after="160"/>
      </w:pPr>
      <w:r>
        <w:rPr>
          <w:rFonts w:ascii="Arial" w:cs="Arial" w:eastAsia="Arial" w:hAnsi="Arial"/>
          <w:sz w:val="24"/>
          <w:szCs w:val="24"/>
        </w:rPr>
        <w:t xml:space="preserve">[FDA2024] FDA label expansion: dupilumab approved for EoE in patients aged 1–11 years. Based on Chehade et al. N Engl J Med 390 (2024) 2239–2251.</w:t>
      </w:r>
    </w:p>
    <w:p>
      <w:pPr>
        <w:spacing w:after="160"/>
      </w:pPr>
      <w:r>
        <w:rPr>
          <w:rFonts w:ascii="Arial" w:cs="Arial" w:eastAsia="Arial" w:hAnsi="Arial"/>
          <w:sz w:val="24"/>
          <w:szCs w:val="24"/>
        </w:rPr>
        <w:t xml:space="preserve">[BOS24] I. Hirano et al. Budesonide Oral Suspension Improves Outcomes in Patients with Eosinophilic Esophagitis: results from a phase 3 trial. Clin Gastroenterol Hepatol 20 (2022) 525–534. [EOHILIA; FDA approved 2024]</w:t>
      </w:r>
    </w:p>
    <w:p>
      <w:pPr>
        <w:spacing w:after="160"/>
      </w:pPr>
      <w:r>
        <w:rPr>
          <w:rFonts w:ascii="Arial" w:cs="Arial" w:eastAsia="Arial" w:hAnsi="Arial"/>
          <w:sz w:val="24"/>
          <w:szCs w:val="24"/>
        </w:rPr>
        <w:t xml:space="preserve">[Dellon25_NEJMEvid] E.S. Dellon et al. Cendakimab in adults and adolescents with eosinophilic esophagitis. NEJM Evidence 4 (2025) EVIDoa2500095. Published September 23, 2025. NCT04753697.</w:t>
      </w:r>
    </w:p>
    <w:p>
      <w:pPr>
        <w:spacing w:after="160"/>
      </w:pPr>
      <w:r>
        <w:rPr>
          <w:rFonts w:ascii="Arial" w:cs="Arial" w:eastAsia="Arial" w:hAnsi="Arial"/>
          <w:sz w:val="24"/>
          <w:szCs w:val="24"/>
        </w:rPr>
        <w:t xml:space="preserve">[Barzolvolimab25] Celldex Therapeutics. Topline results: Phase 2 EvolvE study of barzolvolimab in eosinophilic esophagitis. Press release, August 19, 2025. NCT05774184. Primary endpoint (mast cell depletion) met; no improvement in DSQ (p=0.33), EREFS (p=0.95), or eosinophil counts vs placebo. Development discontinued in EoE.</w:t>
      </w:r>
    </w:p>
    <w:p>
      <w:pPr>
        <w:spacing w:after="160"/>
      </w:pPr>
      <w:r>
        <w:rPr>
          <w:rFonts w:ascii="Arial" w:cs="Arial" w:eastAsia="Arial" w:hAnsi="Arial"/>
          <w:sz w:val="24"/>
          <w:szCs w:val="24"/>
        </w:rPr>
        <w:t xml:space="preserve">[Kliewer23] K.L. Kliewer et al. One-food versus six-food elimination diet therapy for the treatment of eosinophilic oesophagitis: a multicentre, randomised, open-label trial. Lancet Gastroenterol Hepatol 8 (2023) 408–421.</w:t>
      </w:r>
    </w:p>
    <w:p>
      <w:pPr>
        <w:spacing w:after="160"/>
      </w:pPr>
      <w:r>
        <w:rPr>
          <w:rFonts w:ascii="Arial" w:cs="Arial" w:eastAsia="Arial" w:hAnsi="Arial"/>
          <w:sz w:val="24"/>
          <w:szCs w:val="24"/>
        </w:rPr>
        <w:t xml:space="preserve">[Rothenberg24] M.E. Rothenberg et al. One-food versus 4-food elimination diet for pediatric eosinophilic esophagitis: A multisite randomized trial. J Allergy Clin Immunol 155 (2025) 520–532 (published Sept 2024).</w:t>
      </w:r>
    </w:p>
    <w:p>
      <w:pPr>
        <w:spacing w:after="160"/>
      </w:pPr>
      <w:r>
        <w:rPr>
          <w:rFonts w:ascii="Arial" w:cs="Arial" w:eastAsia="Arial" w:hAnsi="Arial"/>
          <w:sz w:val="24"/>
          <w:szCs w:val="24"/>
        </w:rPr>
        <w:t xml:space="preserve">[Groetch23] M. Groetch et al. Efficacy of Elimination Diets in Eosinophilic Esophagitis: A Systematic Review and Meta-analysis. Clin Gastroenterol Hepatol 22 (2024) 34–45.</w:t>
      </w:r>
    </w:p>
    <w:p>
      <w:pPr>
        <w:spacing w:after="160"/>
      </w:pPr>
      <w:r>
        <w:rPr>
          <w:rFonts w:ascii="Arial" w:cs="Arial" w:eastAsia="Arial" w:hAnsi="Arial"/>
          <w:sz w:val="24"/>
          <w:szCs w:val="24"/>
        </w:rPr>
        <w:t xml:space="preserve">[LeeDellon24] C.J. Lee and E.S. Dellon. Real-World Efficacy of Dupilumab in Severe, Treatment-Refractory, and Fibrostenotic Patients With Eosinophilic Esophagitis. Clin Gastroenterol Hepatol 22 (2024) 252–258.</w:t>
      </w:r>
    </w:p>
    <w:p>
      <w:pPr>
        <w:spacing w:after="160"/>
      </w:pPr>
      <w:r>
        <w:rPr>
          <w:rFonts w:ascii="Arial" w:cs="Arial" w:eastAsia="Arial" w:hAnsi="Arial"/>
          <w:sz w:val="24"/>
          <w:szCs w:val="24"/>
        </w:rPr>
        <w:t xml:space="preserve">[Update23] E.S. Dellon et al. Updated international consensus diagnostic criteria for eosinophilic esophagitis: proceedings of the AGREE conference. Gastroenterology 165 (2023) 1098–1116.</w:t>
      </w:r>
    </w:p>
    <w:p>
      <w:pPr>
        <w:spacing w:after="160"/>
      </w:pPr>
      <w:r>
        <w:rPr>
          <w:rFonts w:ascii="Arial" w:cs="Arial" w:eastAsia="Arial" w:hAnsi="Arial"/>
          <w:sz w:val="24"/>
          <w:szCs w:val="24"/>
        </w:rPr>
        <w:t xml:space="preserve">[Umbrella24] S. Manti et al. Eosinophilic esophagitis in the “atopic march”: dupilumab as an umbrella strategy for multiple coexisting atopic diseases. Front Med 11 (2024) 1513417. doi: 10.3389/fmed.2024.1513417.</w:t>
      </w:r>
    </w:p>
    <w:p>
      <w:pPr>
        <w:spacing w:after="160"/>
      </w:pPr>
      <w:r>
        <w:rPr>
          <w:rFonts w:ascii="Arial" w:cs="Arial" w:eastAsia="Arial" w:hAnsi="Arial"/>
          <w:sz w:val="24"/>
          <w:szCs w:val="24"/>
        </w:rPr>
        <w:t xml:space="preserve">[Tezepelumab_CROSSING] NCT05583227. CROSSING Phase 3 trial: tezepelumab vs placebo in EoE. 360 patients aged 12–80; co-primary endpoints histologic remission and DSQ score at week 16; primary completion January 2027.</w:t>
      </w:r>
    </w:p>
    <w:p>
      <w:pPr>
        <w:spacing w:after="120"/>
      </w:pPr>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2026-03-17T01:27:06.736Z</dcterms:created>
  <dcterms:modified xsi:type="dcterms:W3CDTF">2026-03-17T01:27:06.737Z</dcterms:modified>
</cp:coreProperties>
</file>

<file path=docProps/custom.xml><?xml version="1.0" encoding="utf-8"?>
<Properties xmlns="http://schemas.openxmlformats.org/officeDocument/2006/custom-properties" xmlns:vt="http://schemas.openxmlformats.org/officeDocument/2006/docPropsVTypes"/>
</file>